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BE2E4">
      <w:pPr>
        <w:pStyle w:val="46"/>
        <w:bidi w:val="0"/>
        <w:rPr>
          <w:rFonts w:hint="default"/>
          <w:color w:val="auto"/>
          <w:highlight w:val="none"/>
        </w:rPr>
      </w:pPr>
    </w:p>
    <w:p w14:paraId="40052814">
      <w:pPr>
        <w:pStyle w:val="46"/>
        <w:bidi w:val="0"/>
        <w:rPr>
          <w:rFonts w:hint="default"/>
          <w:color w:val="auto"/>
          <w:highlight w:val="none"/>
        </w:rPr>
      </w:pPr>
    </w:p>
    <w:p w14:paraId="446A5A95">
      <w:pPr>
        <w:pStyle w:val="46"/>
        <w:bidi w:val="0"/>
        <w:rPr>
          <w:rFonts w:hint="default"/>
          <w:color w:val="auto"/>
          <w:highlight w:val="none"/>
        </w:rPr>
      </w:pPr>
    </w:p>
    <w:p w14:paraId="7F94108C">
      <w:pPr>
        <w:pStyle w:val="46"/>
        <w:bidi w:val="0"/>
        <w:rPr>
          <w:rFonts w:hint="default"/>
          <w:color w:val="auto"/>
          <w:highlight w:val="none"/>
        </w:rPr>
      </w:pPr>
    </w:p>
    <w:p w14:paraId="050E51E6">
      <w:pPr>
        <w:adjustRightInd w:val="0"/>
        <w:snapToGrid w:val="0"/>
        <w:spacing w:line="240" w:lineRule="auto"/>
        <w:jc w:val="center"/>
        <w:rPr>
          <w:rFonts w:hint="eastAsia" w:ascii="方正仿宋_GBK" w:hAnsi="方正仿宋_GBK" w:eastAsia="方正仿宋_GBK" w:cs="方正仿宋_GBK"/>
          <w:b/>
          <w:bCs w:val="0"/>
          <w:color w:val="auto"/>
          <w:sz w:val="72"/>
          <w:szCs w:val="72"/>
          <w:highlight w:val="none"/>
        </w:rPr>
      </w:pPr>
      <w:bookmarkStart w:id="0" w:name="_Toc31633"/>
      <w:bookmarkStart w:id="1" w:name="_Toc10958"/>
      <w:r>
        <w:rPr>
          <w:rFonts w:hint="eastAsia" w:ascii="方正仿宋_GBK" w:hAnsi="方正仿宋_GBK" w:eastAsia="方正仿宋_GBK" w:cs="方正仿宋_GBK"/>
          <w:b/>
          <w:bCs w:val="0"/>
          <w:color w:val="auto"/>
          <w:sz w:val="72"/>
          <w:szCs w:val="72"/>
          <w:highlight w:val="none"/>
        </w:rPr>
        <w:t>建设项目</w:t>
      </w:r>
      <w:r>
        <w:rPr>
          <w:rFonts w:hint="eastAsia" w:ascii="方正仿宋_GBK" w:hAnsi="方正仿宋_GBK" w:eastAsia="方正仿宋_GBK" w:cs="方正仿宋_GBK"/>
          <w:b/>
          <w:bCs w:val="0"/>
          <w:color w:val="auto"/>
          <w:sz w:val="72"/>
          <w:szCs w:val="72"/>
          <w:highlight w:val="none"/>
          <w:lang w:val="en-US" w:eastAsia="zh-CN"/>
        </w:rPr>
        <w:t>生态</w:t>
      </w:r>
      <w:r>
        <w:rPr>
          <w:rFonts w:hint="eastAsia" w:ascii="方正仿宋_GBK" w:hAnsi="方正仿宋_GBK" w:eastAsia="方正仿宋_GBK" w:cs="方正仿宋_GBK"/>
          <w:b/>
          <w:bCs w:val="0"/>
          <w:color w:val="auto"/>
          <w:sz w:val="72"/>
          <w:szCs w:val="72"/>
          <w:highlight w:val="none"/>
        </w:rPr>
        <w:t>环境影响</w:t>
      </w:r>
    </w:p>
    <w:p w14:paraId="46B84C98">
      <w:pPr>
        <w:adjustRightInd w:val="0"/>
        <w:snapToGrid w:val="0"/>
        <w:spacing w:line="240" w:lineRule="auto"/>
        <w:jc w:val="center"/>
        <w:rPr>
          <w:rFonts w:hint="eastAsia" w:ascii="华文宋体" w:hAnsi="华文宋体" w:eastAsia="华文宋体" w:cs="华文宋体"/>
          <w:b/>
          <w:bCs w:val="0"/>
          <w:color w:val="auto"/>
          <w:sz w:val="72"/>
          <w:szCs w:val="72"/>
          <w:highlight w:val="none"/>
        </w:rPr>
      </w:pPr>
      <w:r>
        <w:rPr>
          <w:rFonts w:hint="eastAsia" w:ascii="方正仿宋_GBK" w:hAnsi="方正仿宋_GBK" w:eastAsia="方正仿宋_GBK" w:cs="方正仿宋_GBK"/>
          <w:b/>
          <w:bCs w:val="0"/>
          <w:color w:val="auto"/>
          <w:sz w:val="72"/>
          <w:szCs w:val="72"/>
          <w:highlight w:val="none"/>
        </w:rPr>
        <w:t>报告表</w:t>
      </w:r>
      <w:bookmarkEnd w:id="0"/>
      <w:bookmarkEnd w:id="1"/>
    </w:p>
    <w:p w14:paraId="50809543">
      <w:pPr>
        <w:adjustRightInd w:val="0"/>
        <w:snapToGrid w:val="0"/>
        <w:spacing w:before="192" w:beforeLines="80" w:line="240" w:lineRule="auto"/>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09F26772">
      <w:pPr>
        <w:pStyle w:val="46"/>
        <w:bidi w:val="0"/>
        <w:rPr>
          <w:rFonts w:hint="default"/>
          <w:color w:val="auto"/>
          <w:highlight w:val="none"/>
        </w:rPr>
      </w:pPr>
    </w:p>
    <w:p w14:paraId="09ED92F7">
      <w:pPr>
        <w:pStyle w:val="46"/>
        <w:bidi w:val="0"/>
        <w:rPr>
          <w:rFonts w:hint="default"/>
          <w:color w:val="auto"/>
          <w:highlight w:val="none"/>
        </w:rPr>
      </w:pPr>
    </w:p>
    <w:p w14:paraId="16E848E2">
      <w:pPr>
        <w:pStyle w:val="46"/>
        <w:bidi w:val="0"/>
        <w:rPr>
          <w:rFonts w:hint="default"/>
          <w:color w:val="auto"/>
          <w:highlight w:val="none"/>
        </w:rPr>
      </w:pPr>
    </w:p>
    <w:p w14:paraId="7DE72D13">
      <w:pPr>
        <w:pStyle w:val="46"/>
        <w:bidi w:val="0"/>
        <w:rPr>
          <w:rFonts w:hint="default"/>
          <w:color w:val="auto"/>
          <w:highlight w:val="none"/>
        </w:rPr>
      </w:pPr>
    </w:p>
    <w:p w14:paraId="3323FAA1">
      <w:pPr>
        <w:pStyle w:val="46"/>
        <w:bidi w:val="0"/>
        <w:rPr>
          <w:rFonts w:hint="default"/>
          <w:color w:val="auto"/>
          <w:highlight w:val="none"/>
        </w:rPr>
      </w:pPr>
    </w:p>
    <w:p w14:paraId="23109A1C">
      <w:pPr>
        <w:pStyle w:val="46"/>
        <w:bidi w:val="0"/>
        <w:rPr>
          <w:rFonts w:hint="eastAsia"/>
          <w:color w:val="auto"/>
          <w:highlight w:val="none"/>
          <w:lang w:eastAsia="zh-CN"/>
        </w:rPr>
      </w:pPr>
    </w:p>
    <w:p w14:paraId="33DFD683">
      <w:pPr>
        <w:pStyle w:val="46"/>
        <w:bidi w:val="0"/>
        <w:rPr>
          <w:rFonts w:hint="default"/>
          <w:color w:val="auto"/>
          <w:highlight w:val="none"/>
        </w:rPr>
      </w:pPr>
    </w:p>
    <w:p w14:paraId="57FE3A54">
      <w:pPr>
        <w:pStyle w:val="46"/>
        <w:bidi w:val="0"/>
        <w:rPr>
          <w:rFonts w:hint="default"/>
          <w:color w:val="auto"/>
          <w:highlight w:val="none"/>
        </w:rPr>
      </w:pPr>
    </w:p>
    <w:p w14:paraId="0101C240">
      <w:pPr>
        <w:pStyle w:val="46"/>
        <w:bidi w:val="0"/>
        <w:rPr>
          <w:rFonts w:hint="default"/>
          <w:color w:val="auto"/>
          <w:highlight w:val="none"/>
        </w:rPr>
      </w:pPr>
    </w:p>
    <w:p w14:paraId="446E3F3B">
      <w:pPr>
        <w:pStyle w:val="46"/>
        <w:bidi w:val="0"/>
        <w:rPr>
          <w:rFonts w:hint="default"/>
          <w:color w:val="auto"/>
          <w:highlight w:val="none"/>
        </w:rPr>
      </w:pPr>
    </w:p>
    <w:p w14:paraId="48B1AFB5">
      <w:pPr>
        <w:pStyle w:val="46"/>
        <w:bidi w:val="0"/>
        <w:rPr>
          <w:rFonts w:hint="eastAsia" w:eastAsia="宋体"/>
          <w:color w:val="auto"/>
          <w:highlight w:val="none"/>
          <w:lang w:eastAsia="zh-CN"/>
        </w:rPr>
      </w:pPr>
    </w:p>
    <w:p w14:paraId="20E302C5">
      <w:pPr>
        <w:pStyle w:val="46"/>
        <w:bidi w:val="0"/>
        <w:rPr>
          <w:rFonts w:hint="default"/>
          <w:color w:val="auto"/>
          <w:highlight w:val="none"/>
        </w:rPr>
      </w:pPr>
    </w:p>
    <w:p w14:paraId="55748A46">
      <w:pPr>
        <w:adjustRightInd w:val="0"/>
        <w:snapToGrid w:val="0"/>
        <w:spacing w:line="288" w:lineRule="auto"/>
        <w:ind w:firstLine="320" w:firstLineChars="100"/>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rPr>
        <w:t>项目名称：</w:t>
      </w:r>
      <w:r>
        <w:rPr>
          <w:rFonts w:hint="default" w:ascii="Times New Roman" w:hAnsi="Times New Roman" w:eastAsia="仿宋" w:cs="Times New Roman"/>
          <w:color w:val="auto"/>
          <w:sz w:val="32"/>
          <w:szCs w:val="32"/>
          <w:highlight w:val="none"/>
          <w:u w:val="single"/>
          <w:lang w:val="en-US" w:eastAsia="zh-CN"/>
        </w:rPr>
        <w:t xml:space="preserve"> </w:t>
      </w:r>
      <w:r>
        <w:rPr>
          <w:rFonts w:hint="eastAsia" w:eastAsia="仿宋" w:cs="Times New Roman"/>
          <w:color w:val="auto"/>
          <w:sz w:val="32"/>
          <w:szCs w:val="32"/>
          <w:highlight w:val="none"/>
          <w:u w:val="single"/>
          <w:lang w:val="en-US" w:eastAsia="zh-CN"/>
        </w:rPr>
        <w:t xml:space="preserve">   </w:t>
      </w:r>
      <w:r>
        <w:rPr>
          <w:rFonts w:hint="eastAsia" w:eastAsia="仿宋" w:cs="Times New Roman"/>
          <w:color w:val="auto"/>
          <w:sz w:val="32"/>
          <w:szCs w:val="32"/>
          <w:highlight w:val="none"/>
          <w:u w:val="single"/>
          <w:lang w:eastAsia="zh-CN"/>
        </w:rPr>
        <w:t>呼玛县瑞和种植专业合作社建设项目</w:t>
      </w:r>
      <w:r>
        <w:rPr>
          <w:rFonts w:hint="eastAsia" w:eastAsia="仿宋" w:cs="Times New Roman"/>
          <w:color w:val="auto"/>
          <w:sz w:val="32"/>
          <w:szCs w:val="32"/>
          <w:highlight w:val="none"/>
          <w:u w:val="single"/>
          <w:lang w:val="en-US" w:eastAsia="zh-CN"/>
        </w:rPr>
        <w:t xml:space="preserve">    </w:t>
      </w:r>
    </w:p>
    <w:p w14:paraId="0B20FA15">
      <w:pPr>
        <w:adjustRightInd w:val="0"/>
        <w:snapToGrid w:val="0"/>
        <w:spacing w:line="288" w:lineRule="auto"/>
        <w:ind w:firstLine="320" w:firstLineChars="100"/>
        <w:jc w:val="both"/>
        <w:rPr>
          <w:rFonts w:hint="default" w:ascii="Times New Roman" w:hAnsi="Times New Roman" w:eastAsia="仿宋" w:cs="Times New Roman"/>
          <w:color w:val="auto"/>
          <w:sz w:val="32"/>
          <w:szCs w:val="32"/>
          <w:highlight w:val="none"/>
          <w:u w:val="single"/>
          <w:lang w:val="en-US" w:eastAsia="zh-CN"/>
        </w:rPr>
      </w:pPr>
      <w:r>
        <w:rPr>
          <w:rFonts w:hint="default" w:ascii="Times New Roman" w:hAnsi="Times New Roman" w:eastAsia="仿宋" w:cs="Times New Roman"/>
          <w:color w:val="auto"/>
          <w:sz w:val="32"/>
          <w:szCs w:val="32"/>
          <w:highlight w:val="none"/>
        </w:rPr>
        <w:t>建设单位（盖章）：</w:t>
      </w:r>
      <w:r>
        <w:rPr>
          <w:rFonts w:hint="eastAsia" w:eastAsia="仿宋" w:cs="Times New Roman"/>
          <w:color w:val="auto"/>
          <w:sz w:val="32"/>
          <w:szCs w:val="32"/>
          <w:highlight w:val="none"/>
          <w:u w:val="single"/>
          <w:lang w:val="en-US" w:eastAsia="zh-CN"/>
        </w:rPr>
        <w:t xml:space="preserve">    </w:t>
      </w:r>
      <w:r>
        <w:rPr>
          <w:rFonts w:hint="eastAsia" w:eastAsia="仿宋" w:cs="Times New Roman"/>
          <w:color w:val="auto"/>
          <w:sz w:val="32"/>
          <w:szCs w:val="32"/>
          <w:highlight w:val="none"/>
          <w:u w:val="single"/>
          <w:lang w:eastAsia="zh-CN"/>
        </w:rPr>
        <w:t>呼玛县瑞和种植专业合作社</w:t>
      </w:r>
      <w:r>
        <w:rPr>
          <w:rFonts w:hint="eastAsia" w:eastAsia="仿宋" w:cs="Times New Roman"/>
          <w:color w:val="auto"/>
          <w:sz w:val="32"/>
          <w:szCs w:val="32"/>
          <w:highlight w:val="none"/>
          <w:u w:val="single"/>
          <w:lang w:val="en-US" w:eastAsia="zh-CN"/>
        </w:rPr>
        <w:t xml:space="preserve">    </w:t>
      </w:r>
    </w:p>
    <w:p w14:paraId="5FB3B0B5">
      <w:pPr>
        <w:adjustRightInd w:val="0"/>
        <w:snapToGrid w:val="0"/>
        <w:spacing w:line="288" w:lineRule="auto"/>
        <w:ind w:firstLine="320" w:firstLineChars="100"/>
        <w:rPr>
          <w:rFonts w:hint="default" w:ascii="Times New Roman" w:hAnsi="Times New Roman" w:eastAsia="仿宋" w:cs="Times New Roman"/>
          <w:color w:val="auto"/>
          <w:sz w:val="32"/>
          <w:szCs w:val="32"/>
          <w:highlight w:val="none"/>
          <w:u w:val="single"/>
          <w:lang w:val="en-US" w:eastAsia="zh-CN"/>
        </w:rPr>
      </w:pPr>
      <w:r>
        <w:rPr>
          <w:rFonts w:hint="default" w:ascii="Times New Roman" w:hAnsi="Times New Roman" w:eastAsia="仿宋" w:cs="Times New Roman"/>
          <w:color w:val="auto"/>
          <w:sz w:val="32"/>
          <w:szCs w:val="32"/>
          <w:highlight w:val="none"/>
        </w:rPr>
        <w:t>编制日期：</w:t>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u w:val="single"/>
        </w:rPr>
        <w:t>202</w:t>
      </w:r>
      <w:r>
        <w:rPr>
          <w:rFonts w:hint="eastAsia" w:eastAsia="仿宋" w:cs="Times New Roman"/>
          <w:color w:val="auto"/>
          <w:sz w:val="32"/>
          <w:szCs w:val="32"/>
          <w:highlight w:val="none"/>
          <w:u w:val="single"/>
          <w:lang w:val="en-US" w:eastAsia="zh-CN"/>
        </w:rPr>
        <w:t>6</w:t>
      </w:r>
      <w:r>
        <w:rPr>
          <w:rFonts w:hint="default" w:ascii="Times New Roman" w:hAnsi="Times New Roman" w:eastAsia="仿宋" w:cs="Times New Roman"/>
          <w:color w:val="auto"/>
          <w:sz w:val="32"/>
          <w:szCs w:val="32"/>
          <w:highlight w:val="none"/>
          <w:u w:val="single"/>
        </w:rPr>
        <w:t>年</w:t>
      </w:r>
      <w:r>
        <w:rPr>
          <w:rFonts w:hint="eastAsia" w:eastAsia="仿宋" w:cs="Times New Roman"/>
          <w:color w:val="auto"/>
          <w:sz w:val="32"/>
          <w:szCs w:val="32"/>
          <w:highlight w:val="none"/>
          <w:u w:val="single"/>
          <w:lang w:val="en-US" w:eastAsia="zh-CN"/>
        </w:rPr>
        <w:t>8</w:t>
      </w:r>
      <w:r>
        <w:rPr>
          <w:rFonts w:hint="default" w:ascii="Times New Roman" w:hAnsi="Times New Roman" w:eastAsia="仿宋" w:cs="Times New Roman"/>
          <w:color w:val="auto"/>
          <w:sz w:val="32"/>
          <w:szCs w:val="32"/>
          <w:highlight w:val="none"/>
          <w:u w:val="single"/>
        </w:rPr>
        <w:t>月</w:t>
      </w:r>
      <w:r>
        <w:rPr>
          <w:rFonts w:hint="default" w:ascii="Times New Roman" w:hAnsi="Times New Roman" w:eastAsia="仿宋" w:cs="Times New Roman"/>
          <w:color w:val="auto"/>
          <w:sz w:val="32"/>
          <w:szCs w:val="32"/>
          <w:highlight w:val="none"/>
          <w:u w:val="single"/>
          <w:lang w:val="en-US" w:eastAsia="zh-CN"/>
        </w:rPr>
        <w:t xml:space="preserve">          </w:t>
      </w:r>
      <w:r>
        <w:rPr>
          <w:rFonts w:hint="eastAsia"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u w:val="single"/>
          <w:lang w:val="en-US" w:eastAsia="zh-CN"/>
        </w:rPr>
        <w:t xml:space="preserve"> </w:t>
      </w:r>
    </w:p>
    <w:p w14:paraId="628A97DD">
      <w:pPr>
        <w:pStyle w:val="46"/>
        <w:bidi w:val="0"/>
        <w:rPr>
          <w:rFonts w:hint="default" w:ascii="Times New Roman" w:hAnsi="Times New Roman" w:cs="Times New Roman"/>
          <w:color w:val="auto"/>
          <w:highlight w:val="none"/>
        </w:rPr>
      </w:pPr>
      <w:bookmarkStart w:id="2" w:name="_Hlk57884087"/>
    </w:p>
    <w:p w14:paraId="5BE1C8C9">
      <w:pPr>
        <w:pStyle w:val="46"/>
        <w:bidi w:val="0"/>
        <w:rPr>
          <w:rFonts w:hint="default" w:ascii="Times New Roman" w:hAnsi="Times New Roman" w:cs="Times New Roman"/>
          <w:color w:val="auto"/>
          <w:highlight w:val="none"/>
        </w:rPr>
      </w:pPr>
    </w:p>
    <w:p w14:paraId="1248B9AF">
      <w:pPr>
        <w:pStyle w:val="46"/>
        <w:bidi w:val="0"/>
        <w:rPr>
          <w:rFonts w:hint="default" w:ascii="Times New Roman" w:hAnsi="Times New Roman" w:cs="Times New Roman"/>
          <w:color w:val="auto"/>
          <w:highlight w:val="none"/>
        </w:rPr>
      </w:pPr>
    </w:p>
    <w:p w14:paraId="3EEF34AB">
      <w:pPr>
        <w:pStyle w:val="46"/>
        <w:bidi w:val="0"/>
        <w:rPr>
          <w:rFonts w:hint="default" w:ascii="Times New Roman" w:hAnsi="Times New Roman" w:cs="Times New Roman"/>
          <w:color w:val="auto"/>
          <w:highlight w:val="none"/>
        </w:rPr>
      </w:pPr>
    </w:p>
    <w:bookmarkEnd w:id="2"/>
    <w:p w14:paraId="33005B5A">
      <w:pPr>
        <w:adjustRightInd w:val="0"/>
        <w:snapToGrid w:val="0"/>
        <w:spacing w:line="288" w:lineRule="auto"/>
        <w:jc w:val="center"/>
        <w:rPr>
          <w:rFonts w:hint="default" w:ascii="Times New Roman" w:hAnsi="Times New Roman" w:eastAsia="楷体_GB2312" w:cs="Times New Roman"/>
          <w:color w:val="auto"/>
          <w:sz w:val="36"/>
          <w:szCs w:val="36"/>
          <w:highlight w:val="none"/>
        </w:rPr>
      </w:pPr>
      <w:r>
        <w:rPr>
          <w:rFonts w:hint="default" w:ascii="Times New Roman" w:hAnsi="Times New Roman" w:eastAsia="楷体_GB2312" w:cs="Times New Roman"/>
          <w:color w:val="auto"/>
          <w:sz w:val="36"/>
          <w:szCs w:val="36"/>
          <w:highlight w:val="none"/>
        </w:rPr>
        <w:t>中华人民共和国生态环境部制</w:t>
      </w:r>
    </w:p>
    <w:p w14:paraId="081E4175">
      <w:pPr>
        <w:pStyle w:val="46"/>
        <w:bidi w:val="0"/>
        <w:rPr>
          <w:rFonts w:hint="default"/>
          <w:color w:val="auto"/>
          <w:highlight w:val="none"/>
        </w:rPr>
      </w:pPr>
    </w:p>
    <w:p w14:paraId="2996F640">
      <w:pPr>
        <w:pStyle w:val="46"/>
        <w:bidi w:val="0"/>
        <w:rPr>
          <w:rFonts w:hint="default"/>
          <w:color w:val="auto"/>
          <w:highlight w:val="none"/>
        </w:rPr>
      </w:pPr>
    </w:p>
    <w:p w14:paraId="5C998145">
      <w:pPr>
        <w:pStyle w:val="46"/>
        <w:bidi w:val="0"/>
        <w:rPr>
          <w:rFonts w:hint="default"/>
          <w:color w:val="auto"/>
          <w:highlight w:val="none"/>
        </w:rPr>
        <w:sectPr>
          <w:footerReference r:id="rId5" w:type="even"/>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docGrid w:linePitch="312" w:charSpace="0"/>
        </w:sectPr>
      </w:pPr>
    </w:p>
    <w:p w14:paraId="1218D31A">
      <w:pPr>
        <w:jc w:val="center"/>
        <w:rPr>
          <w:rFonts w:hint="eastAsia" w:ascii="Times New Roman" w:hAnsi="Times New Roman" w:eastAsia="宋体" w:cs="Times New Roman"/>
          <w:snapToGrid w:val="0"/>
          <w:color w:val="auto"/>
          <w:sz w:val="30"/>
          <w:szCs w:val="30"/>
          <w:highlight w:val="none"/>
          <w:lang w:eastAsia="zh-CN"/>
        </w:rPr>
      </w:pPr>
      <w:r>
        <w:drawing>
          <wp:anchor distT="0" distB="0" distL="114300" distR="114300" simplePos="0" relativeHeight="251705344" behindDoc="1" locked="0" layoutInCell="1" allowOverlap="1">
            <wp:simplePos x="0" y="0"/>
            <wp:positionH relativeFrom="column">
              <wp:posOffset>-1035050</wp:posOffset>
            </wp:positionH>
            <wp:positionV relativeFrom="paragraph">
              <wp:posOffset>-728980</wp:posOffset>
            </wp:positionV>
            <wp:extent cx="7343775" cy="10320655"/>
            <wp:effectExtent l="0" t="0" r="9525" b="4445"/>
            <wp:wrapNone/>
            <wp:docPr id="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pic:cNvPicPr>
                      <a:picLocks noChangeAspect="1"/>
                    </pic:cNvPicPr>
                  </pic:nvPicPr>
                  <pic:blipFill>
                    <a:blip r:embed="rId16"/>
                    <a:stretch>
                      <a:fillRect/>
                    </a:stretch>
                  </pic:blipFill>
                  <pic:spPr>
                    <a:xfrm>
                      <a:off x="0" y="0"/>
                      <a:ext cx="7343775" cy="10320655"/>
                    </a:xfrm>
                    <a:prstGeom prst="rect">
                      <a:avLst/>
                    </a:prstGeom>
                    <a:noFill/>
                    <a:ln>
                      <a:noFill/>
                    </a:ln>
                  </pic:spPr>
                </pic:pic>
              </a:graphicData>
            </a:graphic>
          </wp:anchor>
        </w:drawing>
      </w:r>
      <w:r>
        <w:rPr>
          <w:rFonts w:hint="default" w:ascii="Times New Roman" w:hAnsi="Times New Roman" w:cs="Times New Roman"/>
          <w:snapToGrid w:val="0"/>
          <w:color w:val="auto"/>
          <w:sz w:val="30"/>
          <w:szCs w:val="30"/>
          <w:highlight w:val="none"/>
        </w:rPr>
        <w:br w:type="page"/>
      </w:r>
    </w:p>
    <w:p w14:paraId="49D65C55">
      <w:pPr>
        <w:jc w:val="center"/>
        <w:rPr>
          <w:rFonts w:hint="default" w:ascii="Times New Roman" w:hAnsi="Times New Roman" w:cs="Times New Roman"/>
          <w:b/>
          <w:bCs/>
          <w:color w:val="auto"/>
          <w:sz w:val="36"/>
          <w:szCs w:val="36"/>
          <w:highlight w:val="none"/>
        </w:rPr>
      </w:pPr>
      <w:r>
        <w:rPr>
          <w:rFonts w:hint="default" w:ascii="Times New Roman" w:hAnsi="Times New Roman" w:cs="Times New Roman"/>
          <w:b/>
          <w:bCs/>
          <w:color w:val="auto"/>
          <w:sz w:val="36"/>
          <w:szCs w:val="36"/>
          <w:highlight w:val="none"/>
        </w:rPr>
        <w:t>目  录</w:t>
      </w:r>
    </w:p>
    <w:p w14:paraId="53DB3C3F">
      <w:pPr>
        <w:pStyle w:val="22"/>
        <w:tabs>
          <w:tab w:val="right" w:leader="dot" w:pos="8306"/>
        </w:tabs>
        <w:rPr>
          <w:b/>
          <w:bCs/>
          <w:sz w:val="28"/>
          <w:szCs w:val="28"/>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TOC \o "1-1" \h \u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_Toc22040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一、建设项目基本情况</w:t>
      </w:r>
      <w:r>
        <w:rPr>
          <w:b/>
          <w:bCs/>
          <w:sz w:val="28"/>
          <w:szCs w:val="28"/>
        </w:rPr>
        <w:tab/>
      </w:r>
      <w:r>
        <w:rPr>
          <w:b/>
          <w:bCs/>
          <w:sz w:val="28"/>
          <w:szCs w:val="28"/>
        </w:rPr>
        <w:fldChar w:fldCharType="begin"/>
      </w:r>
      <w:r>
        <w:rPr>
          <w:b/>
          <w:bCs/>
          <w:sz w:val="28"/>
          <w:szCs w:val="28"/>
        </w:rPr>
        <w:instrText xml:space="preserve"> PAGEREF _Toc22040 \h </w:instrText>
      </w:r>
      <w:r>
        <w:rPr>
          <w:b/>
          <w:bCs/>
          <w:sz w:val="28"/>
          <w:szCs w:val="28"/>
        </w:rPr>
        <w:fldChar w:fldCharType="separate"/>
      </w:r>
      <w:r>
        <w:rPr>
          <w:b/>
          <w:bCs/>
          <w:sz w:val="28"/>
          <w:szCs w:val="28"/>
        </w:rPr>
        <w:t>1</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3052D60B">
      <w:pPr>
        <w:pStyle w:val="22"/>
        <w:tabs>
          <w:tab w:val="right" w:leader="dot" w:pos="8306"/>
        </w:tabs>
        <w:rPr>
          <w:b/>
          <w:bCs/>
          <w:sz w:val="28"/>
          <w:szCs w:val="28"/>
        </w:rPr>
      </w:pP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_Toc31607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二、建设项目工程分析</w:t>
      </w:r>
      <w:r>
        <w:rPr>
          <w:b/>
          <w:bCs/>
          <w:sz w:val="28"/>
          <w:szCs w:val="28"/>
        </w:rPr>
        <w:tab/>
      </w:r>
      <w:r>
        <w:rPr>
          <w:b/>
          <w:bCs/>
          <w:sz w:val="28"/>
          <w:szCs w:val="28"/>
        </w:rPr>
        <w:fldChar w:fldCharType="begin"/>
      </w:r>
      <w:r>
        <w:rPr>
          <w:b/>
          <w:bCs/>
          <w:sz w:val="28"/>
          <w:szCs w:val="28"/>
        </w:rPr>
        <w:instrText xml:space="preserve"> PAGEREF _Toc31607 \h </w:instrText>
      </w:r>
      <w:r>
        <w:rPr>
          <w:b/>
          <w:bCs/>
          <w:sz w:val="28"/>
          <w:szCs w:val="28"/>
        </w:rPr>
        <w:fldChar w:fldCharType="separate"/>
      </w:r>
      <w:r>
        <w:rPr>
          <w:b/>
          <w:bCs/>
          <w:sz w:val="28"/>
          <w:szCs w:val="28"/>
        </w:rPr>
        <w:t>12</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60A1F87A">
      <w:pPr>
        <w:pStyle w:val="22"/>
        <w:tabs>
          <w:tab w:val="right" w:leader="dot" w:pos="8306"/>
        </w:tabs>
        <w:rPr>
          <w:b/>
          <w:bCs/>
          <w:sz w:val="28"/>
          <w:szCs w:val="28"/>
        </w:rPr>
      </w:pP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_Toc23734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三、区域环境质量现状、环境保护目标及评价标准</w:t>
      </w:r>
      <w:r>
        <w:rPr>
          <w:b/>
          <w:bCs/>
          <w:sz w:val="28"/>
          <w:szCs w:val="28"/>
        </w:rPr>
        <w:tab/>
      </w:r>
      <w:r>
        <w:rPr>
          <w:b/>
          <w:bCs/>
          <w:sz w:val="28"/>
          <w:szCs w:val="28"/>
        </w:rPr>
        <w:fldChar w:fldCharType="begin"/>
      </w:r>
      <w:r>
        <w:rPr>
          <w:b/>
          <w:bCs/>
          <w:sz w:val="28"/>
          <w:szCs w:val="28"/>
        </w:rPr>
        <w:instrText xml:space="preserve"> PAGEREF _Toc23734 \h </w:instrText>
      </w:r>
      <w:r>
        <w:rPr>
          <w:b/>
          <w:bCs/>
          <w:sz w:val="28"/>
          <w:szCs w:val="28"/>
        </w:rPr>
        <w:fldChar w:fldCharType="separate"/>
      </w:r>
      <w:r>
        <w:rPr>
          <w:b/>
          <w:bCs/>
          <w:sz w:val="28"/>
          <w:szCs w:val="28"/>
        </w:rPr>
        <w:t>21</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43AA65F4">
      <w:pPr>
        <w:pStyle w:val="22"/>
        <w:tabs>
          <w:tab w:val="right" w:leader="dot" w:pos="8306"/>
        </w:tabs>
        <w:rPr>
          <w:b/>
          <w:bCs/>
          <w:sz w:val="28"/>
          <w:szCs w:val="28"/>
        </w:rPr>
      </w:pP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_Toc18901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四、主要环境影响和保护措施</w:t>
      </w:r>
      <w:r>
        <w:rPr>
          <w:b/>
          <w:bCs/>
          <w:sz w:val="28"/>
          <w:szCs w:val="28"/>
        </w:rPr>
        <w:tab/>
      </w:r>
      <w:r>
        <w:rPr>
          <w:b/>
          <w:bCs/>
          <w:sz w:val="28"/>
          <w:szCs w:val="28"/>
        </w:rPr>
        <w:fldChar w:fldCharType="begin"/>
      </w:r>
      <w:r>
        <w:rPr>
          <w:b/>
          <w:bCs/>
          <w:sz w:val="28"/>
          <w:szCs w:val="28"/>
        </w:rPr>
        <w:instrText xml:space="preserve"> PAGEREF _Toc18901 \h </w:instrText>
      </w:r>
      <w:r>
        <w:rPr>
          <w:b/>
          <w:bCs/>
          <w:sz w:val="28"/>
          <w:szCs w:val="28"/>
        </w:rPr>
        <w:fldChar w:fldCharType="separate"/>
      </w:r>
      <w:r>
        <w:rPr>
          <w:b/>
          <w:bCs/>
          <w:sz w:val="28"/>
          <w:szCs w:val="28"/>
        </w:rPr>
        <w:t>27</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23E960DE">
      <w:pPr>
        <w:pStyle w:val="22"/>
        <w:tabs>
          <w:tab w:val="right" w:leader="dot" w:pos="8306"/>
        </w:tabs>
        <w:rPr>
          <w:b/>
          <w:bCs/>
          <w:sz w:val="28"/>
          <w:szCs w:val="28"/>
        </w:rPr>
      </w:pP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_Toc280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五、环境保护措施监督检查清单</w:t>
      </w:r>
      <w:r>
        <w:rPr>
          <w:b/>
          <w:bCs/>
          <w:sz w:val="28"/>
          <w:szCs w:val="28"/>
        </w:rPr>
        <w:tab/>
      </w:r>
      <w:r>
        <w:rPr>
          <w:b/>
          <w:bCs/>
          <w:sz w:val="28"/>
          <w:szCs w:val="28"/>
        </w:rPr>
        <w:fldChar w:fldCharType="begin"/>
      </w:r>
      <w:r>
        <w:rPr>
          <w:b/>
          <w:bCs/>
          <w:sz w:val="28"/>
          <w:szCs w:val="28"/>
        </w:rPr>
        <w:instrText xml:space="preserve"> PAGEREF _Toc280 \h </w:instrText>
      </w:r>
      <w:r>
        <w:rPr>
          <w:b/>
          <w:bCs/>
          <w:sz w:val="28"/>
          <w:szCs w:val="28"/>
        </w:rPr>
        <w:fldChar w:fldCharType="separate"/>
      </w:r>
      <w:r>
        <w:rPr>
          <w:b/>
          <w:bCs/>
          <w:sz w:val="28"/>
          <w:szCs w:val="28"/>
        </w:rPr>
        <w:t>47</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463F2463">
      <w:pPr>
        <w:pStyle w:val="22"/>
        <w:tabs>
          <w:tab w:val="right" w:leader="dot" w:pos="8306"/>
        </w:tabs>
        <w:rPr>
          <w:b/>
          <w:bCs/>
          <w:sz w:val="28"/>
          <w:szCs w:val="28"/>
        </w:rPr>
      </w:pPr>
      <w:r>
        <w:rPr>
          <w:rFonts w:hint="default" w:ascii="Times New Roman" w:hAnsi="Times New Roman" w:cs="Times New Roman"/>
          <w:b/>
          <w:bCs/>
          <w:color w:val="auto"/>
          <w:sz w:val="28"/>
          <w:szCs w:val="22"/>
          <w:highlight w:val="none"/>
        </w:rPr>
        <w:fldChar w:fldCharType="begin"/>
      </w:r>
      <w:r>
        <w:rPr>
          <w:rFonts w:hint="default" w:ascii="Times New Roman" w:hAnsi="Times New Roman" w:cs="Times New Roman"/>
          <w:b/>
          <w:bCs/>
          <w:sz w:val="28"/>
          <w:szCs w:val="22"/>
          <w:highlight w:val="none"/>
        </w:rPr>
        <w:instrText xml:space="preserve"> HYPERLINK \l _Toc3037 </w:instrText>
      </w:r>
      <w:r>
        <w:rPr>
          <w:rFonts w:hint="default" w:ascii="Times New Roman" w:hAnsi="Times New Roman" w:cs="Times New Roman"/>
          <w:b/>
          <w:bCs/>
          <w:sz w:val="28"/>
          <w:szCs w:val="22"/>
          <w:highlight w:val="none"/>
        </w:rPr>
        <w:fldChar w:fldCharType="separate"/>
      </w:r>
      <w:r>
        <w:rPr>
          <w:rFonts w:hint="default" w:ascii="Times New Roman" w:hAnsi="Times New Roman" w:cs="Times New Roman"/>
          <w:b/>
          <w:bCs/>
          <w:snapToGrid w:val="0"/>
          <w:sz w:val="28"/>
          <w:szCs w:val="32"/>
          <w:highlight w:val="none"/>
        </w:rPr>
        <w:t>六、结论</w:t>
      </w:r>
      <w:r>
        <w:rPr>
          <w:b/>
          <w:bCs/>
          <w:sz w:val="28"/>
          <w:szCs w:val="28"/>
        </w:rPr>
        <w:tab/>
      </w:r>
      <w:r>
        <w:rPr>
          <w:b/>
          <w:bCs/>
          <w:sz w:val="28"/>
          <w:szCs w:val="28"/>
        </w:rPr>
        <w:fldChar w:fldCharType="begin"/>
      </w:r>
      <w:r>
        <w:rPr>
          <w:b/>
          <w:bCs/>
          <w:sz w:val="28"/>
          <w:szCs w:val="28"/>
        </w:rPr>
        <w:instrText xml:space="preserve"> PAGEREF _Toc3037 \h </w:instrText>
      </w:r>
      <w:r>
        <w:rPr>
          <w:b/>
          <w:bCs/>
          <w:sz w:val="28"/>
          <w:szCs w:val="28"/>
        </w:rPr>
        <w:fldChar w:fldCharType="separate"/>
      </w:r>
      <w:r>
        <w:rPr>
          <w:b/>
          <w:bCs/>
          <w:sz w:val="28"/>
          <w:szCs w:val="28"/>
        </w:rPr>
        <w:t>49</w:t>
      </w:r>
      <w:r>
        <w:rPr>
          <w:b/>
          <w:bCs/>
          <w:sz w:val="28"/>
          <w:szCs w:val="28"/>
        </w:rPr>
        <w:fldChar w:fldCharType="end"/>
      </w:r>
      <w:r>
        <w:rPr>
          <w:rFonts w:hint="default" w:ascii="Times New Roman" w:hAnsi="Times New Roman" w:cs="Times New Roman"/>
          <w:b/>
          <w:bCs/>
          <w:color w:val="auto"/>
          <w:sz w:val="28"/>
          <w:szCs w:val="22"/>
          <w:highlight w:val="none"/>
        </w:rPr>
        <w:fldChar w:fldCharType="end"/>
      </w:r>
    </w:p>
    <w:p w14:paraId="6F49E783">
      <w:pPr>
        <w:pStyle w:val="22"/>
        <w:tabs>
          <w:tab w:val="right" w:leader="dot" w:pos="8306"/>
        </w:tabs>
        <w:rPr>
          <w:b/>
          <w:bCs/>
        </w:rPr>
      </w:pPr>
      <w:r>
        <w:rPr>
          <w:rFonts w:hint="default" w:ascii="Times New Roman" w:hAnsi="Times New Roman" w:cs="Times New Roman"/>
          <w:b/>
          <w:bCs/>
          <w:color w:val="auto"/>
          <w:szCs w:val="21"/>
          <w:highlight w:val="none"/>
        </w:rPr>
        <w:fldChar w:fldCharType="begin"/>
      </w:r>
      <w:r>
        <w:rPr>
          <w:rFonts w:hint="default" w:ascii="Times New Roman" w:hAnsi="Times New Roman" w:cs="Times New Roman"/>
          <w:b/>
          <w:bCs/>
          <w:szCs w:val="21"/>
          <w:highlight w:val="none"/>
        </w:rPr>
        <w:instrText xml:space="preserve"> HYPERLINK \l _Toc5264 </w:instrText>
      </w:r>
      <w:r>
        <w:rPr>
          <w:rFonts w:hint="default" w:ascii="Times New Roman" w:hAnsi="Times New Roman" w:cs="Times New Roman"/>
          <w:b/>
          <w:bCs/>
          <w:szCs w:val="21"/>
          <w:highlight w:val="none"/>
        </w:rPr>
        <w:fldChar w:fldCharType="separate"/>
      </w:r>
      <w:r>
        <w:rPr>
          <w:rFonts w:hint="default" w:ascii="Times New Roman" w:hAnsi="Times New Roman" w:cs="Times New Roman"/>
          <w:b/>
          <w:bCs/>
          <w:snapToGrid w:val="0"/>
          <w:szCs w:val="30"/>
          <w:highlight w:val="none"/>
        </w:rPr>
        <w:t>附表：建设项目污染物排放量汇总表</w:t>
      </w:r>
      <w:r>
        <w:rPr>
          <w:b/>
          <w:bCs/>
        </w:rPr>
        <w:tab/>
      </w:r>
      <w:r>
        <w:rPr>
          <w:b/>
          <w:bCs/>
        </w:rPr>
        <w:fldChar w:fldCharType="begin"/>
      </w:r>
      <w:r>
        <w:rPr>
          <w:b/>
          <w:bCs/>
        </w:rPr>
        <w:instrText xml:space="preserve"> PAGEREF _Toc5264 \h </w:instrText>
      </w:r>
      <w:r>
        <w:rPr>
          <w:b/>
          <w:bCs/>
        </w:rPr>
        <w:fldChar w:fldCharType="separate"/>
      </w:r>
      <w:r>
        <w:rPr>
          <w:b/>
          <w:bCs/>
        </w:rPr>
        <w:t>50</w:t>
      </w:r>
      <w:r>
        <w:rPr>
          <w:b/>
          <w:bCs/>
        </w:rPr>
        <w:fldChar w:fldCharType="end"/>
      </w:r>
      <w:r>
        <w:rPr>
          <w:rFonts w:hint="default" w:ascii="Times New Roman" w:hAnsi="Times New Roman" w:cs="Times New Roman"/>
          <w:b/>
          <w:bCs/>
          <w:color w:val="auto"/>
          <w:szCs w:val="21"/>
          <w:highlight w:val="none"/>
        </w:rPr>
        <w:fldChar w:fldCharType="end"/>
      </w:r>
    </w:p>
    <w:p w14:paraId="1CAA0688">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_Toc3935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附图</w:t>
      </w:r>
      <w:r>
        <w:rPr>
          <w:rFonts w:hint="default" w:ascii="Times New Roman" w:hAnsi="Times New Roman" w:cs="Times New Roman"/>
          <w:highlight w:val="none"/>
          <w:lang w:val="en-US" w:eastAsia="zh-CN"/>
        </w:rPr>
        <w:t>1</w:t>
      </w:r>
      <w:r>
        <w:rPr>
          <w:rFonts w:hint="default" w:ascii="Times New Roman" w:hAnsi="Times New Roman" w:cs="Times New Roman"/>
          <w:highlight w:val="none"/>
        </w:rPr>
        <w:t xml:space="preserve"> 项目地理位置图</w:t>
      </w:r>
      <w:r>
        <w:tab/>
      </w:r>
      <w:r>
        <w:fldChar w:fldCharType="begin"/>
      </w:r>
      <w:r>
        <w:instrText xml:space="preserve"> PAGEREF _Toc3935 \h </w:instrText>
      </w:r>
      <w:r>
        <w:fldChar w:fldCharType="separate"/>
      </w:r>
      <w:r>
        <w:t>51</w:t>
      </w:r>
      <w:r>
        <w:fldChar w:fldCharType="end"/>
      </w:r>
      <w:r>
        <w:rPr>
          <w:rFonts w:hint="default" w:ascii="Times New Roman" w:hAnsi="Times New Roman" w:cs="Times New Roman"/>
          <w:color w:val="auto"/>
          <w:szCs w:val="21"/>
          <w:highlight w:val="none"/>
        </w:rPr>
        <w:fldChar w:fldCharType="end"/>
      </w:r>
    </w:p>
    <w:p w14:paraId="55808724">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_Toc28784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附图</w:t>
      </w:r>
      <w:r>
        <w:rPr>
          <w:rFonts w:hint="default" w:ascii="Times New Roman" w:hAnsi="Times New Roman" w:cs="Times New Roman"/>
          <w:highlight w:val="none"/>
          <w:lang w:val="en-US" w:eastAsia="zh-CN"/>
        </w:rPr>
        <w:t>2</w:t>
      </w:r>
      <w:r>
        <w:rPr>
          <w:rFonts w:hint="default" w:ascii="Times New Roman" w:hAnsi="Times New Roman" w:cs="Times New Roman"/>
          <w:highlight w:val="none"/>
        </w:rPr>
        <w:t xml:space="preserve"> 环境保护目标关系图</w:t>
      </w:r>
      <w:r>
        <w:tab/>
      </w:r>
      <w:r>
        <w:fldChar w:fldCharType="begin"/>
      </w:r>
      <w:r>
        <w:instrText xml:space="preserve"> PAGEREF _Toc28784 \h </w:instrText>
      </w:r>
      <w:r>
        <w:fldChar w:fldCharType="separate"/>
      </w:r>
      <w:r>
        <w:t>53</w:t>
      </w:r>
      <w:r>
        <w:fldChar w:fldCharType="end"/>
      </w:r>
      <w:r>
        <w:rPr>
          <w:rFonts w:hint="default" w:ascii="Times New Roman" w:hAnsi="Times New Roman" w:cs="Times New Roman"/>
          <w:color w:val="auto"/>
          <w:szCs w:val="21"/>
          <w:highlight w:val="none"/>
        </w:rPr>
        <w:fldChar w:fldCharType="end"/>
      </w:r>
    </w:p>
    <w:p w14:paraId="41C0A23B">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_Toc16812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附图</w:t>
      </w:r>
      <w:r>
        <w:rPr>
          <w:rFonts w:hint="default" w:ascii="Times New Roman" w:hAnsi="Times New Roman" w:cs="Times New Roman"/>
          <w:highlight w:val="none"/>
          <w:lang w:val="en-US" w:eastAsia="zh-CN"/>
        </w:rPr>
        <w:t>3</w:t>
      </w:r>
      <w:r>
        <w:rPr>
          <w:rFonts w:hint="default" w:ascii="Times New Roman" w:hAnsi="Times New Roman" w:cs="Times New Roman"/>
          <w:highlight w:val="none"/>
        </w:rPr>
        <w:t xml:space="preserve"> 项目平面布置</w:t>
      </w:r>
      <w:r>
        <w:tab/>
      </w:r>
      <w:r>
        <w:fldChar w:fldCharType="begin"/>
      </w:r>
      <w:r>
        <w:instrText xml:space="preserve"> PAGEREF _Toc16812 \h </w:instrText>
      </w:r>
      <w:r>
        <w:fldChar w:fldCharType="separate"/>
      </w:r>
      <w:r>
        <w:t>54</w:t>
      </w:r>
      <w:r>
        <w:fldChar w:fldCharType="end"/>
      </w:r>
      <w:r>
        <w:rPr>
          <w:rFonts w:hint="default" w:ascii="Times New Roman" w:hAnsi="Times New Roman" w:cs="Times New Roman"/>
          <w:color w:val="auto"/>
          <w:szCs w:val="21"/>
          <w:highlight w:val="none"/>
        </w:rPr>
        <w:fldChar w:fldCharType="end"/>
      </w:r>
    </w:p>
    <w:p w14:paraId="14D21503">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_Toc32230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附图</w:t>
      </w:r>
      <w:r>
        <w:rPr>
          <w:rFonts w:hint="default" w:ascii="Times New Roman" w:hAnsi="Times New Roman" w:cs="Times New Roman"/>
          <w:highlight w:val="none"/>
          <w:lang w:val="en-US" w:eastAsia="zh-CN"/>
        </w:rPr>
        <w:t>4</w:t>
      </w:r>
      <w:r>
        <w:rPr>
          <w:rFonts w:hint="default" w:ascii="Times New Roman" w:hAnsi="Times New Roman" w:cs="Times New Roman"/>
          <w:highlight w:val="none"/>
        </w:rPr>
        <w:t xml:space="preserve"> 项目周边环境现状照片</w:t>
      </w:r>
      <w:r>
        <w:tab/>
      </w:r>
      <w:r>
        <w:fldChar w:fldCharType="begin"/>
      </w:r>
      <w:r>
        <w:instrText xml:space="preserve"> PAGEREF _Toc32230 \h </w:instrText>
      </w:r>
      <w:r>
        <w:fldChar w:fldCharType="separate"/>
      </w:r>
      <w:r>
        <w:t>55</w:t>
      </w:r>
      <w:r>
        <w:fldChar w:fldCharType="end"/>
      </w:r>
      <w:r>
        <w:rPr>
          <w:rFonts w:hint="default" w:ascii="Times New Roman" w:hAnsi="Times New Roman" w:cs="Times New Roman"/>
          <w:color w:val="auto"/>
          <w:szCs w:val="21"/>
          <w:highlight w:val="none"/>
        </w:rPr>
        <w:fldChar w:fldCharType="end"/>
      </w:r>
    </w:p>
    <w:p w14:paraId="2C2A91F5">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_Toc3725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 xml:space="preserve">附件1 </w:t>
      </w:r>
      <w:r>
        <w:rPr>
          <w:rFonts w:hint="eastAsia" w:cs="Times New Roman"/>
          <w:highlight w:val="none"/>
          <w:lang w:val="en-US" w:eastAsia="zh-CN"/>
        </w:rPr>
        <w:t>土地手续</w:t>
      </w:r>
      <w:r>
        <w:tab/>
      </w:r>
      <w:r>
        <w:fldChar w:fldCharType="begin"/>
      </w:r>
      <w:r>
        <w:instrText xml:space="preserve"> PAGEREF _Toc3725 \h </w:instrText>
      </w:r>
      <w:r>
        <w:fldChar w:fldCharType="separate"/>
      </w:r>
      <w:r>
        <w:t>56</w:t>
      </w:r>
      <w:r>
        <w:fldChar w:fldCharType="end"/>
      </w:r>
      <w:r>
        <w:rPr>
          <w:rFonts w:hint="default" w:ascii="Times New Roman" w:hAnsi="Times New Roman" w:cs="Times New Roman"/>
          <w:color w:val="auto"/>
          <w:szCs w:val="21"/>
          <w:highlight w:val="none"/>
        </w:rPr>
        <w:fldChar w:fldCharType="end"/>
      </w:r>
    </w:p>
    <w:p w14:paraId="16D888E5">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_Toc28422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附件</w:t>
      </w:r>
      <w:r>
        <w:rPr>
          <w:rFonts w:hint="default" w:ascii="Times New Roman" w:hAnsi="Times New Roman" w:cs="Times New Roman"/>
          <w:highlight w:val="none"/>
          <w:lang w:val="en-US" w:eastAsia="zh-CN"/>
        </w:rPr>
        <w:t>2</w:t>
      </w:r>
      <w:r>
        <w:rPr>
          <w:rFonts w:hint="default" w:ascii="Times New Roman" w:hAnsi="Times New Roman" w:cs="Times New Roman"/>
          <w:highlight w:val="none"/>
        </w:rPr>
        <w:t xml:space="preserve"> 营业执照</w:t>
      </w:r>
      <w:r>
        <w:tab/>
      </w:r>
      <w:r>
        <w:fldChar w:fldCharType="begin"/>
      </w:r>
      <w:r>
        <w:instrText xml:space="preserve"> PAGEREF _Toc28422 \h </w:instrText>
      </w:r>
      <w:r>
        <w:fldChar w:fldCharType="separate"/>
      </w:r>
      <w:r>
        <w:t>57</w:t>
      </w:r>
      <w:r>
        <w:fldChar w:fldCharType="end"/>
      </w:r>
      <w:r>
        <w:rPr>
          <w:rFonts w:hint="default" w:ascii="Times New Roman" w:hAnsi="Times New Roman" w:cs="Times New Roman"/>
          <w:color w:val="auto"/>
          <w:szCs w:val="21"/>
          <w:highlight w:val="none"/>
        </w:rPr>
        <w:fldChar w:fldCharType="end"/>
      </w:r>
    </w:p>
    <w:p w14:paraId="3A60036C">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_Toc12031 </w:instrText>
      </w:r>
      <w:r>
        <w:rPr>
          <w:rFonts w:hint="default" w:ascii="Times New Roman" w:hAnsi="Times New Roman" w:cs="Times New Roman"/>
          <w:szCs w:val="21"/>
          <w:highlight w:val="none"/>
        </w:rPr>
        <w:fldChar w:fldCharType="separate"/>
      </w:r>
      <w:r>
        <w:rPr>
          <w:rFonts w:hint="eastAsia" w:ascii="Times New Roman" w:hAnsi="Times New Roman"/>
          <w:highlight w:val="none"/>
          <w:lang w:val="en-US" w:eastAsia="zh-CN"/>
        </w:rPr>
        <w:t>附件</w:t>
      </w:r>
      <w:r>
        <w:rPr>
          <w:rFonts w:hint="eastAsia"/>
          <w:highlight w:val="none"/>
          <w:lang w:val="en-US" w:eastAsia="zh-CN"/>
        </w:rPr>
        <w:t>3</w:t>
      </w:r>
      <w:r>
        <w:rPr>
          <w:rFonts w:hint="eastAsia" w:ascii="Times New Roman" w:hAnsi="Times New Roman"/>
          <w:highlight w:val="none"/>
          <w:lang w:val="en-US" w:eastAsia="zh-CN"/>
        </w:rPr>
        <w:t xml:space="preserve"> 生物质</w:t>
      </w:r>
      <w:r>
        <w:rPr>
          <w:rFonts w:hint="eastAsia"/>
          <w:highlight w:val="none"/>
          <w:lang w:val="en-US" w:eastAsia="zh-CN"/>
        </w:rPr>
        <w:t>成型燃料</w:t>
      </w:r>
      <w:r>
        <w:rPr>
          <w:rFonts w:hint="eastAsia" w:ascii="Times New Roman" w:hAnsi="Times New Roman"/>
          <w:highlight w:val="none"/>
          <w:lang w:val="en-US" w:eastAsia="zh-CN"/>
        </w:rPr>
        <w:t>检测报告</w:t>
      </w:r>
      <w:r>
        <w:tab/>
      </w:r>
      <w:r>
        <w:fldChar w:fldCharType="begin"/>
      </w:r>
      <w:r>
        <w:instrText xml:space="preserve"> PAGEREF _Toc12031 \h </w:instrText>
      </w:r>
      <w:r>
        <w:fldChar w:fldCharType="separate"/>
      </w:r>
      <w:r>
        <w:t>58</w:t>
      </w:r>
      <w:r>
        <w:fldChar w:fldCharType="end"/>
      </w:r>
      <w:r>
        <w:rPr>
          <w:rFonts w:hint="default" w:ascii="Times New Roman" w:hAnsi="Times New Roman" w:cs="Times New Roman"/>
          <w:color w:val="auto"/>
          <w:szCs w:val="21"/>
          <w:highlight w:val="none"/>
        </w:rPr>
        <w:fldChar w:fldCharType="end"/>
      </w:r>
    </w:p>
    <w:p w14:paraId="2962C676">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_Toc16598 </w:instrText>
      </w:r>
      <w:r>
        <w:rPr>
          <w:rFonts w:hint="default" w:ascii="Times New Roman" w:hAnsi="Times New Roman" w:cs="Times New Roman"/>
          <w:szCs w:val="21"/>
          <w:highlight w:val="none"/>
        </w:rPr>
        <w:fldChar w:fldCharType="separate"/>
      </w:r>
      <w:r>
        <w:rPr>
          <w:rFonts w:hint="default" w:ascii="Times New Roman" w:hAnsi="Times New Roman" w:cs="Times New Roman"/>
          <w:highlight w:val="none"/>
        </w:rPr>
        <w:t>附件</w:t>
      </w:r>
      <w:r>
        <w:rPr>
          <w:rFonts w:hint="eastAsia" w:cs="Times New Roman"/>
          <w:highlight w:val="none"/>
          <w:lang w:val="en-US" w:eastAsia="zh-CN"/>
        </w:rPr>
        <w:t>4</w:t>
      </w:r>
      <w:r>
        <w:rPr>
          <w:rFonts w:hint="default" w:ascii="Times New Roman" w:hAnsi="Times New Roman" w:cs="Times New Roman"/>
          <w:highlight w:val="none"/>
        </w:rPr>
        <w:t xml:space="preserve"> </w:t>
      </w:r>
      <w:r>
        <w:rPr>
          <w:rFonts w:hint="eastAsia"/>
          <w:highlight w:val="none"/>
          <w:lang w:val="en-US" w:eastAsia="zh-CN"/>
        </w:rPr>
        <w:t>引用</w:t>
      </w:r>
      <w:r>
        <w:rPr>
          <w:rFonts w:hint="eastAsia" w:cs="Times New Roman"/>
          <w:highlight w:val="none"/>
          <w:lang w:val="en-US" w:eastAsia="zh-CN"/>
        </w:rPr>
        <w:t>现状监测报告</w:t>
      </w:r>
      <w:r>
        <w:tab/>
      </w:r>
      <w:r>
        <w:fldChar w:fldCharType="begin"/>
      </w:r>
      <w:r>
        <w:instrText xml:space="preserve"> PAGEREF _Toc16598 \h </w:instrText>
      </w:r>
      <w:r>
        <w:fldChar w:fldCharType="separate"/>
      </w:r>
      <w:r>
        <w:t>59</w:t>
      </w:r>
      <w:r>
        <w:fldChar w:fldCharType="end"/>
      </w:r>
      <w:r>
        <w:rPr>
          <w:rFonts w:hint="default" w:ascii="Times New Roman" w:hAnsi="Times New Roman" w:cs="Times New Roman"/>
          <w:color w:val="auto"/>
          <w:szCs w:val="21"/>
          <w:highlight w:val="none"/>
        </w:rPr>
        <w:fldChar w:fldCharType="end"/>
      </w:r>
    </w:p>
    <w:p w14:paraId="63BAA116">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_Toc29756 </w:instrText>
      </w:r>
      <w:r>
        <w:rPr>
          <w:rFonts w:hint="default" w:ascii="Times New Roman" w:hAnsi="Times New Roman" w:cs="Times New Roman"/>
          <w:szCs w:val="21"/>
          <w:highlight w:val="none"/>
        </w:rPr>
        <w:fldChar w:fldCharType="separate"/>
      </w:r>
      <w:r>
        <w:rPr>
          <w:rFonts w:hint="default" w:ascii="Times New Roman" w:hAnsi="Times New Roman" w:eastAsia="宋体" w:cs="Times New Roman"/>
          <w:highlight w:val="none"/>
          <w:lang w:val="en-US" w:eastAsia="zh-CN"/>
        </w:rPr>
        <w:t>附件</w:t>
      </w:r>
      <w:r>
        <w:rPr>
          <w:rFonts w:hint="eastAsia" w:cs="Times New Roman"/>
          <w:highlight w:val="none"/>
          <w:lang w:val="en-US" w:eastAsia="zh-CN"/>
        </w:rPr>
        <w:t>5</w:t>
      </w:r>
      <w:r>
        <w:rPr>
          <w:rFonts w:hint="default" w:ascii="Times New Roman" w:hAnsi="Times New Roman" w:eastAsia="宋体" w:cs="Times New Roman"/>
          <w:highlight w:val="none"/>
          <w:lang w:val="en-US" w:eastAsia="zh-CN"/>
        </w:rPr>
        <w:t xml:space="preserve"> 生态环境分区管控分析报告</w:t>
      </w:r>
      <w:r>
        <w:tab/>
      </w:r>
      <w:r>
        <w:fldChar w:fldCharType="begin"/>
      </w:r>
      <w:r>
        <w:instrText xml:space="preserve"> PAGEREF _Toc29756 \h </w:instrText>
      </w:r>
      <w:r>
        <w:fldChar w:fldCharType="separate"/>
      </w:r>
      <w:r>
        <w:t>64</w:t>
      </w:r>
      <w:r>
        <w:fldChar w:fldCharType="end"/>
      </w:r>
      <w:r>
        <w:rPr>
          <w:rFonts w:hint="default" w:ascii="Times New Roman" w:hAnsi="Times New Roman" w:cs="Times New Roman"/>
          <w:color w:val="auto"/>
          <w:szCs w:val="21"/>
          <w:highlight w:val="none"/>
        </w:rPr>
        <w:fldChar w:fldCharType="end"/>
      </w:r>
    </w:p>
    <w:p w14:paraId="4BF6720F">
      <w:pPr>
        <w:pStyle w:val="22"/>
        <w:tabs>
          <w:tab w:val="right" w:leader="dot" w:pos="8306"/>
        </w:tabs>
      </w:pPr>
      <w:r>
        <w:rPr>
          <w:rFonts w:hint="default" w:ascii="Times New Roman" w:hAnsi="Times New Roman" w:cs="Times New Roman"/>
          <w:color w:val="auto"/>
          <w:szCs w:val="21"/>
          <w:highlight w:val="none"/>
        </w:rPr>
        <w:fldChar w:fldCharType="begin"/>
      </w:r>
      <w:r>
        <w:rPr>
          <w:rFonts w:hint="default" w:ascii="Times New Roman" w:hAnsi="Times New Roman" w:cs="Times New Roman"/>
          <w:szCs w:val="21"/>
          <w:highlight w:val="none"/>
        </w:rPr>
        <w:instrText xml:space="preserve"> HYPERLINK \l _Toc17593 </w:instrText>
      </w:r>
      <w:r>
        <w:rPr>
          <w:rFonts w:hint="default" w:ascii="Times New Roman" w:hAnsi="Times New Roman" w:cs="Times New Roman"/>
          <w:szCs w:val="21"/>
          <w:highlight w:val="none"/>
        </w:rPr>
        <w:fldChar w:fldCharType="separate"/>
      </w:r>
      <w:r>
        <w:rPr>
          <w:rFonts w:hint="default" w:ascii="Times New Roman" w:hAnsi="Times New Roman" w:eastAsia="宋体" w:cs="Times New Roman"/>
          <w:highlight w:val="none"/>
          <w:lang w:val="en-US" w:eastAsia="zh-CN"/>
        </w:rPr>
        <w:t>附件</w:t>
      </w:r>
      <w:r>
        <w:rPr>
          <w:rFonts w:hint="eastAsia" w:cs="Times New Roman"/>
          <w:highlight w:val="none"/>
          <w:lang w:val="en-US" w:eastAsia="zh-CN"/>
        </w:rPr>
        <w:t>6</w:t>
      </w:r>
      <w:r>
        <w:rPr>
          <w:rFonts w:hint="default" w:ascii="Times New Roman" w:hAnsi="Times New Roman" w:eastAsia="宋体" w:cs="Times New Roman"/>
          <w:highlight w:val="none"/>
          <w:lang w:val="en-US" w:eastAsia="zh-CN"/>
        </w:rPr>
        <w:t xml:space="preserve"> 核定排放量计算说明</w:t>
      </w:r>
      <w:r>
        <w:tab/>
      </w:r>
      <w:r>
        <w:fldChar w:fldCharType="begin"/>
      </w:r>
      <w:r>
        <w:instrText xml:space="preserve"> PAGEREF _Toc17593 \h </w:instrText>
      </w:r>
      <w:r>
        <w:fldChar w:fldCharType="separate"/>
      </w:r>
      <w:r>
        <w:t>74</w:t>
      </w:r>
      <w:r>
        <w:fldChar w:fldCharType="end"/>
      </w:r>
      <w:r>
        <w:rPr>
          <w:rFonts w:hint="default" w:ascii="Times New Roman" w:hAnsi="Times New Roman" w:cs="Times New Roman"/>
          <w:color w:val="auto"/>
          <w:szCs w:val="21"/>
          <w:highlight w:val="none"/>
        </w:rPr>
        <w:fldChar w:fldCharType="end"/>
      </w:r>
    </w:p>
    <w:p w14:paraId="0A9B7048">
      <w:pPr>
        <w:wordWrap w:val="0"/>
        <w:topLinePun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fldChar w:fldCharType="end"/>
      </w:r>
    </w:p>
    <w:p w14:paraId="27D4F53F">
      <w:pPr>
        <w:jc w:val="left"/>
        <w:outlineLvl w:val="0"/>
        <w:rPr>
          <w:rFonts w:hint="default" w:ascii="Times New Roman" w:hAnsi="Times New Roman" w:cs="Times New Roman"/>
          <w:snapToGrid w:val="0"/>
          <w:color w:val="auto"/>
          <w:sz w:val="21"/>
          <w:szCs w:val="21"/>
          <w:highlight w:val="none"/>
        </w:rPr>
        <w:sectPr>
          <w:headerReference r:id="rId6" w:type="default"/>
          <w:footerReference r:id="rId7" w:type="default"/>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45259500">
      <w:pPr>
        <w:keepNext w:val="0"/>
        <w:keepLines w:val="0"/>
        <w:pageBreakBefore w:val="0"/>
        <w:widowControl w:val="0"/>
        <w:kinsoku/>
        <w:wordWrap w:val="0"/>
        <w:overflowPunct/>
        <w:topLinePunct/>
        <w:autoSpaceDE/>
        <w:autoSpaceDN/>
        <w:bidi w:val="0"/>
        <w:adjustRightInd/>
        <w:snapToGrid/>
        <w:spacing w:line="240" w:lineRule="auto"/>
        <w:jc w:val="center"/>
        <w:textAlignment w:val="auto"/>
        <w:outlineLvl w:val="0"/>
        <w:rPr>
          <w:rFonts w:hint="default" w:ascii="Times New Roman" w:hAnsi="Times New Roman" w:cs="Times New Roman"/>
          <w:b/>
          <w:snapToGrid w:val="0"/>
          <w:color w:val="auto"/>
          <w:sz w:val="30"/>
          <w:szCs w:val="30"/>
          <w:highlight w:val="none"/>
        </w:rPr>
      </w:pPr>
      <w:bookmarkStart w:id="3" w:name="_Toc22040"/>
      <w:r>
        <w:rPr>
          <w:rFonts w:hint="default" w:ascii="Times New Roman" w:hAnsi="Times New Roman" w:cs="Times New Roman"/>
          <w:b/>
          <w:snapToGrid w:val="0"/>
          <w:color w:val="auto"/>
          <w:sz w:val="30"/>
          <w:szCs w:val="30"/>
          <w:highlight w:val="none"/>
        </w:rPr>
        <w:t>一、建设项目基本情况</w:t>
      </w:r>
      <w:bookmarkEnd w:id="3"/>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2366"/>
        <w:gridCol w:w="1288"/>
        <w:gridCol w:w="3656"/>
      </w:tblGrid>
      <w:tr w14:paraId="0DD777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19DB45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4335" w:type="pct"/>
            <w:gridSpan w:val="3"/>
            <w:noWrap w:val="0"/>
            <w:vAlign w:val="center"/>
          </w:tcPr>
          <w:p w14:paraId="036AB3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lang w:val="en-US"/>
              </w:rPr>
            </w:pPr>
            <w:r>
              <w:rPr>
                <w:rFonts w:hint="eastAsia" w:cs="Times New Roman"/>
                <w:color w:val="auto"/>
                <w:sz w:val="24"/>
                <w:szCs w:val="24"/>
                <w:highlight w:val="none"/>
                <w:lang w:eastAsia="zh-CN"/>
              </w:rPr>
              <w:t>呼玛县瑞和种植专业合作社建设项目</w:t>
            </w:r>
          </w:p>
        </w:tc>
      </w:tr>
      <w:tr w14:paraId="4642D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5AE98B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4335" w:type="pct"/>
            <w:gridSpan w:val="3"/>
            <w:noWrap w:val="0"/>
            <w:vAlign w:val="center"/>
          </w:tcPr>
          <w:p w14:paraId="2307C22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无</w:t>
            </w:r>
          </w:p>
        </w:tc>
      </w:tr>
      <w:tr w14:paraId="4B28A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4C6BA51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403" w:type="pct"/>
            <w:noWrap w:val="0"/>
            <w:vAlign w:val="center"/>
          </w:tcPr>
          <w:p w14:paraId="66B19AD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董伟</w:t>
            </w:r>
          </w:p>
        </w:tc>
        <w:tc>
          <w:tcPr>
            <w:tcW w:w="764" w:type="pct"/>
            <w:noWrap w:val="0"/>
            <w:vAlign w:val="center"/>
          </w:tcPr>
          <w:p w14:paraId="447C5F7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166" w:type="pct"/>
            <w:noWrap w:val="0"/>
            <w:vAlign w:val="center"/>
          </w:tcPr>
          <w:p w14:paraId="023F627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宋体"/>
                <w:b w:val="0"/>
                <w:bCs w:val="0"/>
                <w:color w:val="auto"/>
                <w:szCs w:val="21"/>
                <w:highlight w:val="none"/>
                <w:lang w:val="en-US" w:eastAsia="zh-CN"/>
              </w:rPr>
              <w:t>15604571888</w:t>
            </w:r>
          </w:p>
        </w:tc>
      </w:tr>
      <w:tr w14:paraId="21A04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1D6401E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4335" w:type="pct"/>
            <w:gridSpan w:val="3"/>
            <w:noWrap w:val="0"/>
            <w:vAlign w:val="center"/>
          </w:tcPr>
          <w:p w14:paraId="7FD61A0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olor w:val="auto"/>
                <w:highlight w:val="none"/>
                <w:lang w:eastAsia="zh-CN"/>
              </w:rPr>
              <w:t>黑龙江省大兴安岭地区呼玛县三卡乡</w:t>
            </w:r>
          </w:p>
        </w:tc>
      </w:tr>
      <w:tr w14:paraId="134FF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42565DA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4335" w:type="pct"/>
            <w:gridSpan w:val="3"/>
            <w:noWrap w:val="0"/>
            <w:vAlign w:val="center"/>
          </w:tcPr>
          <w:p w14:paraId="03E740D2">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cs="Times New Roman"/>
                <w:color w:val="auto"/>
                <w:sz w:val="24"/>
                <w:szCs w:val="24"/>
                <w:highlight w:val="none"/>
              </w:rPr>
            </w:pPr>
            <w:r>
              <w:rPr>
                <w:rFonts w:hint="eastAsia" w:cs="宋体"/>
                <w:color w:val="auto"/>
                <w:szCs w:val="21"/>
                <w:highlight w:val="none"/>
              </w:rPr>
              <w:t>（</w:t>
            </w:r>
            <w:r>
              <w:rPr>
                <w:rFonts w:hint="eastAsia" w:cs="宋体"/>
                <w:color w:val="auto"/>
                <w:szCs w:val="21"/>
                <w:highlight w:val="none"/>
                <w:u w:val="single"/>
                <w:lang w:val="en-US" w:eastAsia="zh-CN"/>
              </w:rPr>
              <w:t>126</w:t>
            </w:r>
            <w:r>
              <w:rPr>
                <w:rFonts w:hint="eastAsia" w:cs="宋体"/>
                <w:color w:val="auto"/>
                <w:szCs w:val="21"/>
                <w:highlight w:val="none"/>
              </w:rPr>
              <w:t>度</w:t>
            </w:r>
            <w:r>
              <w:rPr>
                <w:rFonts w:hint="eastAsia" w:cs="宋体"/>
                <w:color w:val="auto"/>
                <w:szCs w:val="21"/>
                <w:highlight w:val="none"/>
                <w:u w:val="single"/>
                <w:lang w:val="en-US" w:eastAsia="zh-CN"/>
              </w:rPr>
              <w:t>53</w:t>
            </w:r>
            <w:r>
              <w:rPr>
                <w:rFonts w:hint="eastAsia" w:cs="宋体"/>
                <w:color w:val="auto"/>
                <w:szCs w:val="21"/>
                <w:highlight w:val="none"/>
              </w:rPr>
              <w:t>分</w:t>
            </w:r>
            <w:r>
              <w:rPr>
                <w:rFonts w:hint="eastAsia" w:cs="宋体"/>
                <w:color w:val="auto"/>
                <w:szCs w:val="21"/>
                <w:highlight w:val="none"/>
                <w:u w:val="single"/>
                <w:lang w:val="en-US" w:eastAsia="zh-CN"/>
              </w:rPr>
              <w:t>22.245</w:t>
            </w:r>
            <w:r>
              <w:rPr>
                <w:rFonts w:hint="eastAsia" w:cs="宋体"/>
                <w:color w:val="auto"/>
                <w:szCs w:val="21"/>
                <w:highlight w:val="none"/>
              </w:rPr>
              <w:t>秒，</w:t>
            </w:r>
            <w:r>
              <w:rPr>
                <w:rFonts w:hint="eastAsia" w:cs="宋体"/>
                <w:color w:val="auto"/>
                <w:szCs w:val="21"/>
                <w:highlight w:val="none"/>
                <w:u w:val="single"/>
                <w:lang w:val="en-US" w:eastAsia="zh-CN"/>
              </w:rPr>
              <w:t>51</w:t>
            </w:r>
            <w:r>
              <w:rPr>
                <w:rFonts w:hint="eastAsia" w:cs="宋体"/>
                <w:color w:val="auto"/>
                <w:szCs w:val="21"/>
                <w:highlight w:val="none"/>
              </w:rPr>
              <w:t>度</w:t>
            </w:r>
            <w:r>
              <w:rPr>
                <w:rFonts w:hint="eastAsia" w:cs="宋体"/>
                <w:color w:val="auto"/>
                <w:szCs w:val="21"/>
                <w:highlight w:val="none"/>
                <w:u w:val="single"/>
                <w:lang w:val="en-US" w:eastAsia="zh-CN"/>
              </w:rPr>
              <w:t>08</w:t>
            </w:r>
            <w:r>
              <w:rPr>
                <w:rFonts w:hint="eastAsia" w:cs="宋体"/>
                <w:color w:val="auto"/>
                <w:szCs w:val="21"/>
                <w:highlight w:val="none"/>
              </w:rPr>
              <w:t>分</w:t>
            </w:r>
            <w:r>
              <w:rPr>
                <w:rFonts w:hint="eastAsia" w:cs="宋体"/>
                <w:color w:val="auto"/>
                <w:szCs w:val="21"/>
                <w:highlight w:val="none"/>
                <w:u w:val="single"/>
                <w:lang w:val="en-US" w:eastAsia="zh-CN"/>
              </w:rPr>
              <w:t>44.113</w:t>
            </w:r>
            <w:r>
              <w:rPr>
                <w:rFonts w:hint="eastAsia" w:cs="宋体"/>
                <w:color w:val="auto"/>
                <w:szCs w:val="21"/>
                <w:highlight w:val="none"/>
              </w:rPr>
              <w:t>秒）</w:t>
            </w:r>
          </w:p>
        </w:tc>
      </w:tr>
      <w:tr w14:paraId="19D91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664" w:type="pct"/>
            <w:noWrap w:val="0"/>
            <w:tcMar>
              <w:top w:w="16" w:type="dxa"/>
              <w:left w:w="16" w:type="dxa"/>
              <w:right w:w="16" w:type="dxa"/>
            </w:tcMar>
            <w:vAlign w:val="center"/>
          </w:tcPr>
          <w:p w14:paraId="16C1DE4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67AB062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403" w:type="pct"/>
            <w:noWrap w:val="0"/>
            <w:vAlign w:val="center"/>
          </w:tcPr>
          <w:p w14:paraId="360E9466">
            <w:pPr>
              <w:keepNext w:val="0"/>
              <w:keepLines w:val="0"/>
              <w:pageBreakBefore w:val="0"/>
              <w:widowControl w:val="0"/>
              <w:kinsoku/>
              <w:wordWrap w:val="0"/>
              <w:overflowPunct/>
              <w:topLinePunct/>
              <w:autoSpaceDE/>
              <w:autoSpaceDN/>
              <w:bidi w:val="0"/>
              <w:adjustRightInd/>
              <w:snapToGrid/>
              <w:spacing w:line="240" w:lineRule="auto"/>
              <w:ind w:left="0" w:firstLine="0" w:firstLineChars="0"/>
              <w:jc w:val="center"/>
              <w:textAlignment w:val="center"/>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A0514农产品初加工活动</w:t>
            </w:r>
          </w:p>
          <w:p w14:paraId="45F0D8A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kern w:val="2"/>
                <w:sz w:val="24"/>
                <w:szCs w:val="24"/>
                <w:highlight w:val="none"/>
                <w:lang w:val="en-US" w:eastAsia="zh-CN" w:bidi="ar-SA"/>
              </w:rPr>
              <w:t>D4430热力生产和供应</w:t>
            </w:r>
          </w:p>
        </w:tc>
        <w:tc>
          <w:tcPr>
            <w:tcW w:w="764" w:type="pct"/>
            <w:noWrap w:val="0"/>
            <w:vAlign w:val="center"/>
          </w:tcPr>
          <w:p w14:paraId="4B5385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bookmarkStart w:id="4" w:name="_Hlk49843745"/>
            <w:r>
              <w:rPr>
                <w:rFonts w:hint="default" w:ascii="Times New Roman" w:hAnsi="Times New Roman" w:cs="Times New Roman"/>
                <w:color w:val="auto"/>
                <w:sz w:val="24"/>
                <w:szCs w:val="24"/>
                <w:highlight w:val="none"/>
              </w:rPr>
              <w:t>建设项目</w:t>
            </w:r>
          </w:p>
          <w:p w14:paraId="67B011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bookmarkEnd w:id="4"/>
          </w:p>
        </w:tc>
        <w:tc>
          <w:tcPr>
            <w:tcW w:w="2166" w:type="pct"/>
            <w:noWrap w:val="0"/>
            <w:vAlign w:val="center"/>
          </w:tcPr>
          <w:p w14:paraId="589B0E1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highlight w:val="none"/>
                <w:lang w:val="en-US" w:eastAsia="zh-CN"/>
              </w:rPr>
              <w:t>四十一、电力、热力生产和供应业 91热力生产和供应工程（包括建设单位自建自用的供热工程）</w:t>
            </w:r>
          </w:p>
        </w:tc>
      </w:tr>
      <w:tr w14:paraId="0D609F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664" w:type="pct"/>
            <w:noWrap w:val="0"/>
            <w:tcMar>
              <w:top w:w="16" w:type="dxa"/>
              <w:left w:w="16" w:type="dxa"/>
              <w:right w:w="16" w:type="dxa"/>
            </w:tcMar>
            <w:vAlign w:val="center"/>
          </w:tcPr>
          <w:p w14:paraId="1F35754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403" w:type="pct"/>
            <w:noWrap w:val="0"/>
            <w:vAlign w:val="center"/>
          </w:tcPr>
          <w:p w14:paraId="360C768B">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52"/>
            </w:r>
            <w:r>
              <w:rPr>
                <w:rFonts w:hint="default" w:ascii="Times New Roman" w:hAnsi="Times New Roman" w:cs="Times New Roman"/>
                <w:color w:val="auto"/>
                <w:sz w:val="24"/>
                <w:szCs w:val="24"/>
                <w:highlight w:val="none"/>
              </w:rPr>
              <w:t>新建（迁建）</w:t>
            </w:r>
          </w:p>
          <w:p w14:paraId="5FCCF218">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改建</w:t>
            </w:r>
          </w:p>
          <w:p w14:paraId="5FBF5230">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扩建</w:t>
            </w:r>
          </w:p>
          <w:p w14:paraId="7A6F99D0">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技术改造</w:t>
            </w:r>
          </w:p>
        </w:tc>
        <w:tc>
          <w:tcPr>
            <w:tcW w:w="764" w:type="pct"/>
            <w:noWrap w:val="0"/>
            <w:vAlign w:val="center"/>
          </w:tcPr>
          <w:p w14:paraId="20FCB9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7E8BCA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2166" w:type="pct"/>
            <w:noWrap w:val="0"/>
            <w:vAlign w:val="center"/>
          </w:tcPr>
          <w:p w14:paraId="08941011">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52"/>
            </w:r>
            <w:r>
              <w:rPr>
                <w:rFonts w:hint="default" w:ascii="Times New Roman" w:hAnsi="Times New Roman" w:cs="Times New Roman"/>
                <w:color w:val="auto"/>
                <w:sz w:val="24"/>
                <w:szCs w:val="24"/>
                <w:highlight w:val="none"/>
              </w:rPr>
              <w:t>首次申报项目</w:t>
            </w:r>
          </w:p>
          <w:p w14:paraId="55764905">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不予批准后再次申报项目</w:t>
            </w:r>
          </w:p>
          <w:p w14:paraId="0F28A210">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超五年重新审核项目</w:t>
            </w:r>
          </w:p>
          <w:p w14:paraId="1427DDD6">
            <w:pPr>
              <w:keepNext w:val="0"/>
              <w:keepLines w:val="0"/>
              <w:pageBreakBefore w:val="0"/>
              <w:kinsoku/>
              <w:wordWrap/>
              <w:overflowPunct/>
              <w:topLinePunct w:val="0"/>
              <w:autoSpaceDE/>
              <w:autoSpaceDN/>
              <w:bidi w:val="0"/>
              <w:spacing w:line="240" w:lineRule="auto"/>
              <w:ind w:left="240" w:leftChars="1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2" w:char="00A3"/>
            </w:r>
            <w:r>
              <w:rPr>
                <w:rFonts w:hint="default" w:ascii="Times New Roman" w:hAnsi="Times New Roman" w:cs="Times New Roman"/>
                <w:color w:val="auto"/>
                <w:sz w:val="24"/>
                <w:szCs w:val="24"/>
                <w:highlight w:val="none"/>
              </w:rPr>
              <w:t>重大变动重新报批项目</w:t>
            </w:r>
          </w:p>
        </w:tc>
      </w:tr>
      <w:tr w14:paraId="6FCC76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664" w:type="pct"/>
            <w:noWrap w:val="0"/>
            <w:tcMar>
              <w:top w:w="16" w:type="dxa"/>
              <w:left w:w="16" w:type="dxa"/>
              <w:right w:w="16" w:type="dxa"/>
            </w:tcMar>
            <w:vAlign w:val="center"/>
          </w:tcPr>
          <w:p w14:paraId="4C3210E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项目审批（核准/备案）部门（选填）</w:t>
            </w:r>
          </w:p>
        </w:tc>
        <w:tc>
          <w:tcPr>
            <w:tcW w:w="1403" w:type="pct"/>
            <w:noWrap w:val="0"/>
            <w:vAlign w:val="center"/>
          </w:tcPr>
          <w:p w14:paraId="1A0167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无</w:t>
            </w:r>
          </w:p>
        </w:tc>
        <w:tc>
          <w:tcPr>
            <w:tcW w:w="764" w:type="pct"/>
            <w:noWrap w:val="0"/>
            <w:vAlign w:val="center"/>
          </w:tcPr>
          <w:p w14:paraId="3BA3664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项目审批（核准/备案）文号（选填）</w:t>
            </w:r>
          </w:p>
        </w:tc>
        <w:tc>
          <w:tcPr>
            <w:tcW w:w="2166" w:type="pct"/>
            <w:noWrap w:val="0"/>
            <w:vAlign w:val="center"/>
          </w:tcPr>
          <w:p w14:paraId="28FE5E0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无</w:t>
            </w:r>
          </w:p>
        </w:tc>
      </w:tr>
      <w:tr w14:paraId="0CD78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06E0EE8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403" w:type="pct"/>
            <w:noWrap w:val="0"/>
            <w:vAlign w:val="center"/>
          </w:tcPr>
          <w:p w14:paraId="7D0BAA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200</w:t>
            </w:r>
          </w:p>
        </w:tc>
        <w:tc>
          <w:tcPr>
            <w:tcW w:w="764" w:type="pct"/>
            <w:noWrap w:val="0"/>
            <w:tcMar>
              <w:top w:w="16" w:type="dxa"/>
              <w:left w:w="16" w:type="dxa"/>
              <w:right w:w="16" w:type="dxa"/>
            </w:tcMar>
            <w:vAlign w:val="center"/>
          </w:tcPr>
          <w:p w14:paraId="2D4ABE9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2166" w:type="pct"/>
            <w:noWrap w:val="0"/>
            <w:vAlign w:val="center"/>
          </w:tcPr>
          <w:p w14:paraId="364148A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26.6</w:t>
            </w:r>
          </w:p>
        </w:tc>
      </w:tr>
      <w:tr w14:paraId="062CF4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4A803CE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403" w:type="pct"/>
            <w:noWrap w:val="0"/>
            <w:vAlign w:val="center"/>
          </w:tcPr>
          <w:p w14:paraId="3BF03FB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13.3</w:t>
            </w:r>
          </w:p>
        </w:tc>
        <w:tc>
          <w:tcPr>
            <w:tcW w:w="764" w:type="pct"/>
            <w:noWrap w:val="0"/>
            <w:tcMar>
              <w:top w:w="16" w:type="dxa"/>
              <w:left w:w="16" w:type="dxa"/>
              <w:right w:w="16" w:type="dxa"/>
            </w:tcMar>
            <w:vAlign w:val="center"/>
          </w:tcPr>
          <w:p w14:paraId="1ECE31D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2166" w:type="pct"/>
            <w:noWrap w:val="0"/>
            <w:vAlign w:val="center"/>
          </w:tcPr>
          <w:p w14:paraId="1C1BC8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月</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lang w:val="en-US" w:eastAsia="zh-CN"/>
              </w:rPr>
              <w:t>月</w:t>
            </w:r>
          </w:p>
        </w:tc>
      </w:tr>
      <w:tr w14:paraId="55B29A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64" w:type="pct"/>
            <w:noWrap w:val="0"/>
            <w:tcMar>
              <w:top w:w="16" w:type="dxa"/>
              <w:left w:w="16" w:type="dxa"/>
              <w:right w:w="16" w:type="dxa"/>
            </w:tcMar>
            <w:vAlign w:val="center"/>
          </w:tcPr>
          <w:p w14:paraId="6CB3576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是否开工建设</w:t>
            </w:r>
          </w:p>
        </w:tc>
        <w:tc>
          <w:tcPr>
            <w:tcW w:w="1403" w:type="pct"/>
            <w:noWrap w:val="0"/>
            <w:vAlign w:val="center"/>
          </w:tcPr>
          <w:p w14:paraId="14669279">
            <w:pPr>
              <w:keepNext w:val="0"/>
              <w:keepLines w:val="0"/>
              <w:pageBreakBefore w:val="0"/>
              <w:kinsoku/>
              <w:wordWrap/>
              <w:overflowPunct/>
              <w:topLinePunct w:val="0"/>
              <w:autoSpaceDE/>
              <w:autoSpaceDN/>
              <w:bidi w:val="0"/>
              <w:adjustRightInd w:val="0"/>
              <w:snapToGrid w:val="0"/>
              <w:spacing w:line="240" w:lineRule="auto"/>
              <w:ind w:firstLine="240" w:firstLineChars="1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sym w:font="Wingdings 2" w:char="0052"/>
            </w:r>
            <w:r>
              <w:rPr>
                <w:rFonts w:hint="default" w:ascii="Times New Roman" w:hAnsi="Times New Roman" w:cs="Times New Roman"/>
                <w:color w:val="auto"/>
                <w:szCs w:val="21"/>
                <w:highlight w:val="none"/>
              </w:rPr>
              <w:t>否</w:t>
            </w:r>
          </w:p>
          <w:p w14:paraId="4199298D">
            <w:pPr>
              <w:keepNext w:val="0"/>
              <w:keepLines w:val="0"/>
              <w:pageBreakBefore w:val="0"/>
              <w:kinsoku/>
              <w:wordWrap/>
              <w:overflowPunct/>
              <w:topLinePunct w:val="0"/>
              <w:autoSpaceDE/>
              <w:autoSpaceDN/>
              <w:bidi w:val="0"/>
              <w:adjustRightInd w:val="0"/>
              <w:snapToGrid w:val="0"/>
              <w:spacing w:line="240" w:lineRule="auto"/>
              <w:ind w:firstLine="240" w:firstLineChars="10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sym w:font="Wingdings 2" w:char="00A3"/>
            </w:r>
            <w:r>
              <w:rPr>
                <w:rFonts w:hint="default" w:ascii="Times New Roman" w:hAnsi="Times New Roman" w:cs="Times New Roman"/>
                <w:color w:val="auto"/>
                <w:szCs w:val="21"/>
                <w:highlight w:val="none"/>
              </w:rPr>
              <w:t>是：</w:t>
            </w:r>
            <w:r>
              <w:rPr>
                <w:rFonts w:hint="eastAsia" w:cs="Times New Roman"/>
                <w:color w:val="auto"/>
                <w:szCs w:val="21"/>
                <w:highlight w:val="none"/>
                <w:u w:val="single"/>
                <w:lang w:val="en-US" w:eastAsia="zh-CN"/>
              </w:rPr>
              <w:t xml:space="preserve">       </w:t>
            </w:r>
          </w:p>
        </w:tc>
        <w:tc>
          <w:tcPr>
            <w:tcW w:w="764" w:type="pct"/>
            <w:noWrap w:val="0"/>
            <w:tcMar>
              <w:top w:w="16" w:type="dxa"/>
              <w:left w:w="16" w:type="dxa"/>
              <w:right w:w="16" w:type="dxa"/>
            </w:tcMar>
            <w:vAlign w:val="center"/>
          </w:tcPr>
          <w:p w14:paraId="65E3CC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pacing w:val="-6"/>
                <w:szCs w:val="21"/>
                <w:highlight w:val="none"/>
              </w:rPr>
            </w:pPr>
            <w:r>
              <w:rPr>
                <w:rFonts w:hint="default" w:ascii="Times New Roman" w:hAnsi="Times New Roman" w:cs="Times New Roman"/>
                <w:color w:val="auto"/>
                <w:spacing w:val="-6"/>
                <w:szCs w:val="21"/>
                <w:highlight w:val="none"/>
              </w:rPr>
              <w:t>用地</w:t>
            </w:r>
          </w:p>
          <w:p w14:paraId="3B2C6C4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pacing w:val="-6"/>
                <w:szCs w:val="21"/>
                <w:highlight w:val="none"/>
              </w:rPr>
            </w:pPr>
            <w:r>
              <w:rPr>
                <w:rFonts w:hint="default" w:ascii="Times New Roman" w:hAnsi="Times New Roman" w:cs="Times New Roman"/>
                <w:color w:val="auto"/>
                <w:spacing w:val="-6"/>
                <w:szCs w:val="21"/>
                <w:highlight w:val="none"/>
              </w:rPr>
              <w:t>（用海）</w:t>
            </w:r>
          </w:p>
          <w:p w14:paraId="25A88CF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pacing w:val="-6"/>
                <w:szCs w:val="21"/>
                <w:highlight w:val="none"/>
              </w:rPr>
              <w:t>面积（</w:t>
            </w:r>
            <w:r>
              <w:rPr>
                <w:rFonts w:hint="eastAsia" w:cs="Times New Roman"/>
                <w:color w:val="auto"/>
                <w:spacing w:val="-6"/>
                <w:szCs w:val="21"/>
                <w:highlight w:val="none"/>
                <w:lang w:eastAsia="zh-CN"/>
              </w:rPr>
              <w:t>m</w:t>
            </w:r>
            <w:r>
              <w:rPr>
                <w:rFonts w:hint="eastAsia" w:cs="Times New Roman"/>
                <w:color w:val="auto"/>
                <w:spacing w:val="-6"/>
                <w:szCs w:val="21"/>
                <w:highlight w:val="none"/>
                <w:vertAlign w:val="superscript"/>
                <w:lang w:eastAsia="zh-CN"/>
              </w:rPr>
              <w:t>2</w:t>
            </w:r>
            <w:r>
              <w:rPr>
                <w:rFonts w:hint="default" w:ascii="Times New Roman" w:hAnsi="Times New Roman" w:cs="Times New Roman"/>
                <w:color w:val="auto"/>
                <w:spacing w:val="-6"/>
                <w:szCs w:val="21"/>
                <w:highlight w:val="none"/>
              </w:rPr>
              <w:t>）</w:t>
            </w:r>
          </w:p>
        </w:tc>
        <w:tc>
          <w:tcPr>
            <w:tcW w:w="2166" w:type="pct"/>
            <w:noWrap w:val="0"/>
            <w:vAlign w:val="center"/>
          </w:tcPr>
          <w:p w14:paraId="48C02B5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39592</w:t>
            </w:r>
          </w:p>
        </w:tc>
      </w:tr>
    </w:tbl>
    <w:p w14:paraId="4BEACADC">
      <w:pPr>
        <w:autoSpaceDE w:val="0"/>
        <w:autoSpaceDN w:val="0"/>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br w:type="page"/>
      </w:r>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7"/>
        <w:gridCol w:w="7715"/>
      </w:tblGrid>
      <w:tr w14:paraId="6AC976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3" w:type="pct"/>
            <w:noWrap w:val="0"/>
            <w:vAlign w:val="center"/>
          </w:tcPr>
          <w:p w14:paraId="7062BC1F">
            <w:pPr>
              <w:autoSpaceDE w:val="0"/>
              <w:autoSpaceDN w:val="0"/>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专项评价设置情况</w:t>
            </w:r>
          </w:p>
        </w:tc>
        <w:tc>
          <w:tcPr>
            <w:tcW w:w="4523" w:type="pct"/>
            <w:noWrap w:val="0"/>
            <w:vAlign w:val="center"/>
          </w:tcPr>
          <w:p w14:paraId="52DBF7C2">
            <w:pPr>
              <w:pStyle w:val="46"/>
              <w:spacing w:before="120" w:beforeLines="5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根据《建设项目环境影响报告表编制技术指南（污染影响类）</w:t>
            </w:r>
            <w:r>
              <w:rPr>
                <w:rFonts w:hint="eastAsia" w:cs="Times New Roman"/>
                <w:color w:val="auto"/>
                <w:highlight w:val="none"/>
                <w:lang w:eastAsia="zh-CN"/>
              </w:rPr>
              <w:t>（试行）》</w:t>
            </w:r>
            <w:r>
              <w:rPr>
                <w:rFonts w:hint="default" w:ascii="Times New Roman" w:hAnsi="Times New Roman" w:cs="Times New Roman"/>
                <w:color w:val="auto"/>
                <w:highlight w:val="none"/>
              </w:rPr>
              <w:t>可知，土壤、声环境不开展专项评价，地下水原则上不开展专项评价，本项目大气、地表水、环境风险、生态和海洋专项评价设置情况详见下表1-1。</w:t>
            </w:r>
          </w:p>
          <w:p w14:paraId="4CA6A1C7">
            <w:pPr>
              <w:snapToGrid w:val="0"/>
              <w:spacing w:line="240" w:lineRule="auto"/>
              <w:jc w:val="center"/>
              <w:rPr>
                <w:rFonts w:hint="default" w:ascii="Times New Roman" w:hAnsi="Times New Roman" w:cs="Times New Roman"/>
                <w:b/>
                <w:color w:val="auto"/>
                <w:kern w:val="0"/>
                <w:highlight w:val="none"/>
              </w:rPr>
            </w:pPr>
            <w:r>
              <w:rPr>
                <w:rFonts w:hint="default" w:ascii="Times New Roman" w:hAnsi="Times New Roman" w:cs="Times New Roman"/>
                <w:b/>
                <w:color w:val="auto"/>
                <w:kern w:val="0"/>
                <w:highlight w:val="none"/>
              </w:rPr>
              <w:t>表1-1   本项目专项评价设置情况</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3261"/>
              <w:gridCol w:w="2028"/>
              <w:gridCol w:w="1086"/>
            </w:tblGrid>
            <w:tr w14:paraId="6924E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750" w:type="pct"/>
                  <w:noWrap w:val="0"/>
                  <w:vAlign w:val="center"/>
                </w:tcPr>
                <w:p w14:paraId="3D96402F">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专项评价的类别</w:t>
                  </w:r>
                </w:p>
              </w:tc>
              <w:tc>
                <w:tcPr>
                  <w:tcW w:w="2174" w:type="pct"/>
                  <w:noWrap w:val="0"/>
                  <w:vAlign w:val="center"/>
                </w:tcPr>
                <w:p w14:paraId="3D06BE92">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设置原则</w:t>
                  </w:r>
                </w:p>
              </w:tc>
              <w:tc>
                <w:tcPr>
                  <w:tcW w:w="1352" w:type="pct"/>
                  <w:noWrap w:val="0"/>
                  <w:vAlign w:val="center"/>
                </w:tcPr>
                <w:p w14:paraId="49205811">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本项目设置情况</w:t>
                  </w:r>
                </w:p>
              </w:tc>
              <w:tc>
                <w:tcPr>
                  <w:tcW w:w="722" w:type="pct"/>
                  <w:noWrap w:val="0"/>
                  <w:vAlign w:val="center"/>
                </w:tcPr>
                <w:p w14:paraId="1119226E">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是否设置专项</w:t>
                  </w:r>
                </w:p>
              </w:tc>
            </w:tr>
            <w:tr w14:paraId="5673D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0" w:type="pct"/>
                  <w:noWrap w:val="0"/>
                  <w:vAlign w:val="center"/>
                </w:tcPr>
                <w:p w14:paraId="37A9C719">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大气</w:t>
                  </w:r>
                </w:p>
              </w:tc>
              <w:tc>
                <w:tcPr>
                  <w:tcW w:w="2174" w:type="pct"/>
                  <w:noWrap w:val="0"/>
                  <w:vAlign w:val="center"/>
                </w:tcPr>
                <w:p w14:paraId="35CE1AEA">
                  <w:pPr>
                    <w:wordWrap w:val="0"/>
                    <w:topLinePunct/>
                    <w:spacing w:line="24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排放废气含有毒有害污染物、二噁英、苯并</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芘、氰化物、氯气且厂界外500米范围内有环境空气保护目标的建设项目</w:t>
                  </w:r>
                </w:p>
              </w:tc>
              <w:tc>
                <w:tcPr>
                  <w:tcW w:w="1352" w:type="pct"/>
                  <w:noWrap w:val="0"/>
                  <w:vAlign w:val="center"/>
                </w:tcPr>
                <w:p w14:paraId="2373227E">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本项目不涉及大气专项设置原则中提及的有毒有害物质。</w:t>
                  </w:r>
                </w:p>
              </w:tc>
              <w:tc>
                <w:tcPr>
                  <w:tcW w:w="722" w:type="pct"/>
                  <w:noWrap w:val="0"/>
                  <w:vAlign w:val="center"/>
                </w:tcPr>
                <w:p w14:paraId="6132044C">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否</w:t>
                  </w:r>
                </w:p>
              </w:tc>
            </w:tr>
            <w:tr w14:paraId="3CF6C1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0" w:type="pct"/>
                  <w:noWrap w:val="0"/>
                  <w:vAlign w:val="center"/>
                </w:tcPr>
                <w:p w14:paraId="67D260EF">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地表水</w:t>
                  </w:r>
                </w:p>
              </w:tc>
              <w:tc>
                <w:tcPr>
                  <w:tcW w:w="2174" w:type="pct"/>
                  <w:noWrap w:val="0"/>
                  <w:vAlign w:val="center"/>
                </w:tcPr>
                <w:p w14:paraId="40658508">
                  <w:pPr>
                    <w:wordWrap w:val="0"/>
                    <w:topLinePunct/>
                    <w:spacing w:line="24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新增工业废水直排建设项目（槽罐车外送污水处理厂的除外）；新增废水直排的污水集中处理厂</w:t>
                  </w:r>
                </w:p>
              </w:tc>
              <w:tc>
                <w:tcPr>
                  <w:tcW w:w="1352" w:type="pct"/>
                  <w:noWrap w:val="0"/>
                  <w:vAlign w:val="center"/>
                </w:tcPr>
                <w:p w14:paraId="242FB8CF">
                  <w:pPr>
                    <w:pStyle w:val="4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本项目不属于工业废水直排建设项目以及废水直排的污水集中处理厂。</w:t>
                  </w:r>
                </w:p>
              </w:tc>
              <w:tc>
                <w:tcPr>
                  <w:tcW w:w="722" w:type="pct"/>
                  <w:noWrap w:val="0"/>
                  <w:vAlign w:val="center"/>
                </w:tcPr>
                <w:p w14:paraId="6E387742">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否</w:t>
                  </w:r>
                </w:p>
              </w:tc>
            </w:tr>
            <w:tr w14:paraId="78A3C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0" w:type="pct"/>
                  <w:noWrap w:val="0"/>
                  <w:vAlign w:val="center"/>
                </w:tcPr>
                <w:p w14:paraId="10836B32">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w:t>
                  </w:r>
                </w:p>
              </w:tc>
              <w:tc>
                <w:tcPr>
                  <w:tcW w:w="2174" w:type="pct"/>
                  <w:noWrap w:val="0"/>
                  <w:vAlign w:val="center"/>
                </w:tcPr>
                <w:p w14:paraId="045C786C">
                  <w:pPr>
                    <w:wordWrap w:val="0"/>
                    <w:topLinePunct/>
                    <w:spacing w:line="24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有毒有害和易燃易爆危险物质存储量超过临界量的建设项目</w:t>
                  </w:r>
                </w:p>
              </w:tc>
              <w:tc>
                <w:tcPr>
                  <w:tcW w:w="1352" w:type="pct"/>
                  <w:noWrap w:val="0"/>
                  <w:vAlign w:val="center"/>
                </w:tcPr>
                <w:p w14:paraId="6C737AE2">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本项目有毒有害和易燃易爆危险物质未超过临界量。</w:t>
                  </w:r>
                </w:p>
              </w:tc>
              <w:tc>
                <w:tcPr>
                  <w:tcW w:w="722" w:type="pct"/>
                  <w:noWrap w:val="0"/>
                  <w:vAlign w:val="center"/>
                </w:tcPr>
                <w:p w14:paraId="7DE83DAA">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否</w:t>
                  </w:r>
                </w:p>
              </w:tc>
            </w:tr>
            <w:tr w14:paraId="258EE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0" w:type="pct"/>
                  <w:noWrap w:val="0"/>
                  <w:vAlign w:val="center"/>
                </w:tcPr>
                <w:p w14:paraId="7A2149E8">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w:t>
                  </w:r>
                </w:p>
              </w:tc>
              <w:tc>
                <w:tcPr>
                  <w:tcW w:w="2174" w:type="pct"/>
                  <w:noWrap w:val="0"/>
                  <w:vAlign w:val="center"/>
                </w:tcPr>
                <w:p w14:paraId="32752201">
                  <w:pPr>
                    <w:wordWrap w:val="0"/>
                    <w:topLinePunct/>
                    <w:spacing w:line="24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取水口下游500米范围内有重要水生生物的自然产卵场、索饵场、越冬场和洄游通道的新增河道取水的污染类建设项目</w:t>
                  </w:r>
                </w:p>
              </w:tc>
              <w:tc>
                <w:tcPr>
                  <w:tcW w:w="1352" w:type="pct"/>
                  <w:noWrap w:val="0"/>
                  <w:vAlign w:val="center"/>
                </w:tcPr>
                <w:p w14:paraId="01AA7F2B">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本项目不涉及取水口</w:t>
                  </w:r>
                  <w:r>
                    <w:rPr>
                      <w:rFonts w:hint="default" w:ascii="Times New Roman" w:hAnsi="Times New Roman" w:cs="Times New Roman"/>
                      <w:color w:val="auto"/>
                      <w:highlight w:val="none"/>
                      <w:lang w:eastAsia="zh-CN"/>
                    </w:rPr>
                    <w:t>。</w:t>
                  </w:r>
                </w:p>
              </w:tc>
              <w:tc>
                <w:tcPr>
                  <w:tcW w:w="722" w:type="pct"/>
                  <w:noWrap w:val="0"/>
                  <w:vAlign w:val="center"/>
                </w:tcPr>
                <w:p w14:paraId="1F29125C">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否</w:t>
                  </w:r>
                </w:p>
              </w:tc>
            </w:tr>
            <w:tr w14:paraId="1DBB1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0" w:type="pct"/>
                  <w:noWrap w:val="0"/>
                  <w:vAlign w:val="center"/>
                </w:tcPr>
                <w:p w14:paraId="00F11AFD">
                  <w:pPr>
                    <w:wordWrap w:val="0"/>
                    <w:topLinePunct/>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海洋</w:t>
                  </w:r>
                </w:p>
              </w:tc>
              <w:tc>
                <w:tcPr>
                  <w:tcW w:w="2174" w:type="pct"/>
                  <w:noWrap w:val="0"/>
                  <w:vAlign w:val="center"/>
                </w:tcPr>
                <w:p w14:paraId="2FAC883A">
                  <w:pPr>
                    <w:wordWrap w:val="0"/>
                    <w:topLinePunct/>
                    <w:spacing w:line="240" w:lineRule="auto"/>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直接向海排放污染物的海洋工程建设项目</w:t>
                  </w:r>
                </w:p>
              </w:tc>
              <w:tc>
                <w:tcPr>
                  <w:tcW w:w="1352" w:type="pct"/>
                  <w:noWrap w:val="0"/>
                  <w:vAlign w:val="center"/>
                </w:tcPr>
                <w:p w14:paraId="67791FB8">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本项目不属于向海洋排放污染物的海洋工程建设项目。</w:t>
                  </w:r>
                </w:p>
              </w:tc>
              <w:tc>
                <w:tcPr>
                  <w:tcW w:w="722" w:type="pct"/>
                  <w:noWrap w:val="0"/>
                  <w:vAlign w:val="center"/>
                </w:tcPr>
                <w:p w14:paraId="31B623B7">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否</w:t>
                  </w:r>
                </w:p>
              </w:tc>
            </w:tr>
            <w:tr w14:paraId="3197A2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14:paraId="19745C3B">
                  <w:pPr>
                    <w:pStyle w:val="49"/>
                    <w:bidi w:val="0"/>
                    <w:ind w:left="0" w:leftChars="0" w:firstLine="0" w:firstLineChars="0"/>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注：①废气中有毒有害污染物指纳入《有毒有害大气污染物名录》的污染物（不包括无排放标准的污染物）。</w:t>
                  </w:r>
                </w:p>
                <w:p w14:paraId="491FE19A">
                  <w:pPr>
                    <w:pStyle w:val="49"/>
                    <w:bidi w:val="0"/>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②环境空气保护目标指自然保护区、风景名胜区、居住区、文化区和农村地区中人群较集中的区域。</w:t>
                  </w:r>
                </w:p>
                <w:p w14:paraId="093181D4">
                  <w:pPr>
                    <w:pStyle w:val="49"/>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18"/>
                      <w:szCs w:val="18"/>
                      <w:highlight w:val="none"/>
                    </w:rPr>
                    <w:t>③临界量及其计算方法参考《建设项目环境风险评价技术导则》（</w:t>
                  </w:r>
                  <w:r>
                    <w:rPr>
                      <w:rFonts w:hint="default" w:ascii="Times New Roman" w:hAnsi="Times New Roman" w:cs="Times New Roman"/>
                      <w:color w:val="auto"/>
                      <w:sz w:val="18"/>
                      <w:szCs w:val="18"/>
                      <w:highlight w:val="none"/>
                      <w:lang w:eastAsia="zh-CN"/>
                    </w:rPr>
                    <w:t>HJ</w:t>
                  </w:r>
                  <w:r>
                    <w:rPr>
                      <w:rFonts w:hint="default" w:ascii="Times New Roman" w:hAnsi="Times New Roman" w:cs="Times New Roman"/>
                      <w:color w:val="auto"/>
                      <w:sz w:val="18"/>
                      <w:szCs w:val="18"/>
                      <w:highlight w:val="none"/>
                    </w:rPr>
                    <w:t>169）附录B、附录C。</w:t>
                  </w:r>
                </w:p>
              </w:tc>
            </w:tr>
          </w:tbl>
          <w:p w14:paraId="73FD757D">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本项目不涉及集中式饮用水水源和热水、矿泉水、温泉等特殊地下水资源保护区。</w:t>
            </w:r>
            <w:r>
              <w:rPr>
                <w:rFonts w:hint="default" w:ascii="Times New Roman" w:hAnsi="Times New Roman" w:cs="Times New Roman"/>
                <w:color w:val="auto"/>
                <w:highlight w:val="none"/>
              </w:rPr>
              <w:t>根据上表分析可知，本项目无需开展专项评价工作。</w:t>
            </w:r>
          </w:p>
        </w:tc>
      </w:tr>
      <w:tr w14:paraId="08ACCC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473" w:type="pct"/>
            <w:noWrap w:val="0"/>
            <w:vAlign w:val="center"/>
          </w:tcPr>
          <w:p w14:paraId="23DE601D">
            <w:pPr>
              <w:autoSpaceDE w:val="0"/>
              <w:autoSpaceDN w:val="0"/>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规划情况</w:t>
            </w:r>
          </w:p>
        </w:tc>
        <w:tc>
          <w:tcPr>
            <w:tcW w:w="7715" w:type="dxa"/>
            <w:noWrap w:val="0"/>
            <w:vAlign w:val="center"/>
          </w:tcPr>
          <w:p w14:paraId="26ADD654">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宋体"/>
                <w:color w:val="auto"/>
                <w:kern w:val="0"/>
                <w:szCs w:val="21"/>
                <w:highlight w:val="none"/>
                <w:lang w:val="en-US" w:eastAsia="zh-CN"/>
              </w:rPr>
            </w:pPr>
            <w:r>
              <w:rPr>
                <w:rFonts w:hint="default" w:ascii="Times New Roman" w:hAnsi="Times New Roman" w:eastAsia="宋体" w:cs="Times New Roman"/>
                <w:color w:val="auto"/>
                <w:kern w:val="0"/>
                <w:sz w:val="24"/>
                <w:highlight w:val="none"/>
              </w:rPr>
              <w:t>无</w:t>
            </w:r>
          </w:p>
        </w:tc>
      </w:tr>
      <w:tr w14:paraId="7F8FF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29" w:hRule="atLeast"/>
          <w:jc w:val="center"/>
        </w:trPr>
        <w:tc>
          <w:tcPr>
            <w:tcW w:w="473" w:type="pct"/>
            <w:noWrap w:val="0"/>
            <w:vAlign w:val="center"/>
          </w:tcPr>
          <w:p w14:paraId="3EC4D978">
            <w:pPr>
              <w:autoSpaceDE w:val="0"/>
              <w:autoSpaceDN w:val="0"/>
              <w:adjustRightInd w:val="0"/>
              <w:snapToGrid w:val="0"/>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规划环境影响评价情况</w:t>
            </w:r>
          </w:p>
        </w:tc>
        <w:tc>
          <w:tcPr>
            <w:tcW w:w="7715" w:type="dxa"/>
            <w:noWrap w:val="0"/>
            <w:vAlign w:val="center"/>
          </w:tcPr>
          <w:p w14:paraId="27D746DB">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无</w:t>
            </w:r>
          </w:p>
        </w:tc>
      </w:tr>
      <w:tr w14:paraId="061BE4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noWrap w:val="0"/>
            <w:vAlign w:val="center"/>
          </w:tcPr>
          <w:p w14:paraId="125A58D0">
            <w:pPr>
              <w:autoSpaceDE w:val="0"/>
              <w:autoSpaceDN w:val="0"/>
              <w:adjustRightInd w:val="0"/>
              <w:snapToGrid w:val="0"/>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规划及规划环境影响评价符合性分析</w:t>
            </w:r>
          </w:p>
        </w:tc>
        <w:tc>
          <w:tcPr>
            <w:tcW w:w="7715" w:type="dxa"/>
            <w:noWrap w:val="0"/>
            <w:vAlign w:val="center"/>
          </w:tcPr>
          <w:p w14:paraId="03F1AFB3">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无</w:t>
            </w:r>
          </w:p>
        </w:tc>
      </w:tr>
      <w:tr w14:paraId="1428DD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3" w:type="pct"/>
            <w:noWrap w:val="0"/>
            <w:vAlign w:val="center"/>
          </w:tcPr>
          <w:p w14:paraId="0CFA5DD8">
            <w:pPr>
              <w:autoSpaceDE w:val="0"/>
              <w:autoSpaceDN w:val="0"/>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其他符合性分析</w:t>
            </w:r>
          </w:p>
        </w:tc>
        <w:tc>
          <w:tcPr>
            <w:tcW w:w="4523" w:type="pct"/>
            <w:noWrap w:val="0"/>
            <w:vAlign w:val="center"/>
          </w:tcPr>
          <w:p w14:paraId="3A5E2AB3">
            <w:pPr>
              <w:pStyle w:val="52"/>
              <w:bidi w:val="0"/>
              <w:rPr>
                <w:b/>
                <w:bCs/>
                <w:color w:val="auto"/>
                <w:highlight w:val="none"/>
              </w:rPr>
            </w:pPr>
            <w:r>
              <w:rPr>
                <w:rFonts w:hint="eastAsia"/>
                <w:b/>
                <w:bCs/>
                <w:color w:val="auto"/>
                <w:highlight w:val="none"/>
                <w:lang w:eastAsia="zh-CN"/>
              </w:rPr>
              <w:t>1.</w:t>
            </w:r>
            <w:r>
              <w:rPr>
                <w:b/>
                <w:bCs/>
                <w:color w:val="auto"/>
                <w:highlight w:val="none"/>
              </w:rPr>
              <w:t>产业政策符合性分析</w:t>
            </w:r>
          </w:p>
          <w:p w14:paraId="4197BC9F">
            <w:pPr>
              <w:autoSpaceDE w:val="0"/>
              <w:autoSpaceDN w:val="0"/>
              <w:adjustRightInd w:val="0"/>
              <w:snapToGrid w:val="0"/>
              <w:spacing w:line="360" w:lineRule="auto"/>
              <w:ind w:firstLine="480" w:firstLineChars="200"/>
              <w:rPr>
                <w:rFonts w:hint="default" w:ascii="Times New Roman" w:hAnsi="Times New Roman" w:cs="Times New Roman" w:eastAsiaTheme="minorEastAsia"/>
                <w:color w:val="auto"/>
                <w:sz w:val="24"/>
                <w:highlight w:val="none"/>
              </w:rPr>
            </w:pPr>
            <w:r>
              <w:rPr>
                <w:color w:val="auto"/>
                <w:sz w:val="24"/>
                <w:highlight w:val="none"/>
              </w:rPr>
              <w:t>本项目为粮食烘干项目，</w:t>
            </w:r>
            <w:r>
              <w:rPr>
                <w:rFonts w:hint="default" w:ascii="Times New Roman" w:hAnsi="Times New Roman" w:cs="Times New Roman" w:eastAsiaTheme="minorEastAsia"/>
                <w:color w:val="auto"/>
                <w:sz w:val="24"/>
                <w:highlight w:val="none"/>
              </w:rPr>
              <w:t>根据国家发展和改革委员会颁布的《产业结构调整指导目录（2024年本）》，本项目属于鼓励类中第一大类农林业第8条“农林牧渔产品储运、保鲜、加工与综合利用”。</w:t>
            </w:r>
          </w:p>
          <w:p w14:paraId="1B28DF96">
            <w:pPr>
              <w:pStyle w:val="46"/>
              <w:bidi w:val="0"/>
              <w:rPr>
                <w:rFonts w:hint="eastAsia"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项目新建1台</w:t>
            </w:r>
            <w:r>
              <w:rPr>
                <w:rFonts w:hint="eastAsia" w:ascii="Times New Roman" w:hAnsi="Times New Roman" w:cs="Times New Roman"/>
                <w:color w:val="auto"/>
                <w:sz w:val="24"/>
                <w:szCs w:val="24"/>
                <w:highlight w:val="none"/>
                <w:lang w:val="en-US" w:eastAsia="zh-CN"/>
              </w:rPr>
              <w:t>72</w:t>
            </w:r>
            <w:r>
              <w:rPr>
                <w:rFonts w:hint="default" w:ascii="Times New Roman" w:hAnsi="Times New Roman" w:cs="Times New Roman"/>
                <w:color w:val="auto"/>
                <w:sz w:val="24"/>
                <w:szCs w:val="24"/>
                <w:highlight w:val="none"/>
                <w:lang w:val="en-US" w:eastAsia="zh-CN"/>
              </w:rPr>
              <w:t>0万Kcal/h燃生物质热风炉</w:t>
            </w:r>
            <w:r>
              <w:rPr>
                <w:rFonts w:hint="eastAsia" w:cs="Times New Roman"/>
                <w:color w:val="auto"/>
                <w:sz w:val="24"/>
                <w:szCs w:val="24"/>
                <w:highlight w:val="none"/>
                <w:lang w:val="en-US" w:eastAsia="zh-CN"/>
              </w:rPr>
              <w:t>，</w:t>
            </w:r>
            <w:r>
              <w:rPr>
                <w:highlight w:val="none"/>
              </w:rPr>
              <w:t>不属于“第三类淘汰类”中“燃煤热风炉”</w:t>
            </w:r>
            <w:r>
              <w:rPr>
                <w:rFonts w:hint="eastAsia"/>
                <w:highlight w:val="none"/>
                <w:lang w:eastAsia="zh-CN"/>
              </w:rPr>
              <w:t>。</w:t>
            </w:r>
          </w:p>
          <w:p w14:paraId="16C43213">
            <w:pPr>
              <w:pStyle w:val="46"/>
              <w:bidi w:val="0"/>
              <w:rPr>
                <w:color w:val="auto"/>
                <w:highlight w:val="none"/>
              </w:rPr>
            </w:pPr>
            <w:r>
              <w:rPr>
                <w:rFonts w:hint="default" w:ascii="Times New Roman" w:hAnsi="Times New Roman" w:cs="Times New Roman"/>
                <w:color w:val="auto"/>
                <w:sz w:val="24"/>
                <w:highlight w:val="none"/>
              </w:rPr>
              <w:t>项目所用设备及产品无《产业结构调整指导目录（2024年本）》中限制类中生产装置设备、淘汰类中落后生产工艺装备、落后产品</w:t>
            </w:r>
            <w:r>
              <w:rPr>
                <w:rFonts w:hint="default" w:ascii="Times New Roman" w:hAnsi="Times New Roman" w:cs="Times New Roman"/>
                <w:color w:val="auto"/>
                <w:highlight w:val="none"/>
                <w:lang w:val="en-US" w:eastAsia="zh-CN"/>
              </w:rPr>
              <w:t>，根据《国家发展改革委、商务部关于印发〈市场准入负面清单（202</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年版）〉的通知》（发改体改规〔202</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466</w:t>
            </w:r>
            <w:r>
              <w:rPr>
                <w:rFonts w:hint="default" w:ascii="Times New Roman" w:hAnsi="Times New Roman" w:cs="Times New Roman"/>
                <w:color w:val="auto"/>
                <w:highlight w:val="none"/>
                <w:lang w:val="en-US" w:eastAsia="zh-CN"/>
              </w:rPr>
              <w:t>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本项目不在《市场准入负面清单》（202</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年版）范围内，符合相关政策</w:t>
            </w:r>
            <w:r>
              <w:rPr>
                <w:color w:val="auto"/>
                <w:highlight w:val="none"/>
              </w:rPr>
              <w:t>。</w:t>
            </w:r>
          </w:p>
          <w:p w14:paraId="4E527012">
            <w:pPr>
              <w:pStyle w:val="46"/>
              <w:bidi w:val="0"/>
              <w:rPr>
                <w:color w:val="auto"/>
                <w:highlight w:val="none"/>
                <w:lang w:val="zh-CN"/>
              </w:rPr>
            </w:pPr>
            <w:r>
              <w:rPr>
                <w:color w:val="auto"/>
                <w:highlight w:val="none"/>
              </w:rPr>
              <w:t>因此，本</w:t>
            </w:r>
            <w:r>
              <w:rPr>
                <w:rFonts w:hint="eastAsia"/>
                <w:color w:val="auto"/>
                <w:highlight w:val="none"/>
              </w:rPr>
              <w:t>项目</w:t>
            </w:r>
            <w:r>
              <w:rPr>
                <w:color w:val="auto"/>
                <w:highlight w:val="none"/>
                <w:lang w:val="zh-CN"/>
              </w:rPr>
              <w:t>符合国家产业政策及有关部门的相关行业规定，项目实施后可以促进当地的经济发展</w:t>
            </w:r>
            <w:r>
              <w:rPr>
                <w:rFonts w:hint="eastAsia"/>
                <w:color w:val="auto"/>
                <w:highlight w:val="none"/>
                <w:lang w:val="zh-CN"/>
              </w:rPr>
              <w:t>，本</w:t>
            </w:r>
            <w:r>
              <w:rPr>
                <w:color w:val="auto"/>
                <w:highlight w:val="none"/>
                <w:lang w:val="zh-CN"/>
              </w:rPr>
              <w:t>项目的建设符合国家产业政策要求。</w:t>
            </w:r>
          </w:p>
          <w:p w14:paraId="01674AD6">
            <w:pPr>
              <w:pStyle w:val="46"/>
              <w:bidi w:val="0"/>
              <w:rPr>
                <w:b/>
                <w:bCs/>
                <w:color w:val="auto"/>
                <w:highlight w:val="none"/>
              </w:rPr>
            </w:pPr>
            <w:r>
              <w:rPr>
                <w:rFonts w:hint="eastAsia"/>
                <w:b/>
                <w:bCs/>
                <w:color w:val="auto"/>
                <w:highlight w:val="none"/>
                <w:lang w:val="en-US" w:eastAsia="zh-CN"/>
              </w:rPr>
              <w:t>2.</w:t>
            </w:r>
            <w:r>
              <w:rPr>
                <w:b/>
                <w:bCs/>
                <w:color w:val="auto"/>
                <w:highlight w:val="none"/>
              </w:rPr>
              <w:t>“</w:t>
            </w:r>
            <w:r>
              <w:rPr>
                <w:rFonts w:hint="eastAsia"/>
                <w:b/>
                <w:bCs/>
                <w:color w:val="auto"/>
                <w:highlight w:val="none"/>
              </w:rPr>
              <w:t>生态环境分区管控</w:t>
            </w:r>
            <w:r>
              <w:rPr>
                <w:b/>
                <w:bCs/>
                <w:color w:val="auto"/>
                <w:highlight w:val="none"/>
              </w:rPr>
              <w:t>”符合性分析</w:t>
            </w:r>
          </w:p>
          <w:p w14:paraId="1F7044CE">
            <w:pPr>
              <w:pStyle w:val="46"/>
              <w:bidi w:val="0"/>
              <w:rPr>
                <w:rFonts w:hint="eastAsia"/>
                <w:lang w:val="en-US" w:eastAsia="zh-CN"/>
              </w:rPr>
            </w:pPr>
            <w:r>
              <w:rPr>
                <w:rFonts w:hint="default"/>
                <w:highlight w:val="none"/>
                <w:lang w:eastAsia="zh-CN"/>
              </w:rPr>
              <w:t>根据《黑龙江省人民政府关于实施</w:t>
            </w:r>
            <w:r>
              <w:rPr>
                <w:rFonts w:hint="eastAsia"/>
                <w:highlight w:val="none"/>
                <w:lang w:eastAsia="zh-CN"/>
              </w:rPr>
              <w:t>“</w:t>
            </w:r>
            <w:r>
              <w:rPr>
                <w:rFonts w:hint="default"/>
                <w:highlight w:val="none"/>
                <w:lang w:eastAsia="zh-CN"/>
              </w:rPr>
              <w:t>三线一单</w:t>
            </w:r>
            <w:r>
              <w:rPr>
                <w:rFonts w:hint="eastAsia"/>
                <w:highlight w:val="none"/>
                <w:lang w:eastAsia="zh-CN"/>
              </w:rPr>
              <w:t>”</w:t>
            </w:r>
            <w:r>
              <w:rPr>
                <w:rFonts w:hint="default"/>
                <w:highlight w:val="none"/>
                <w:lang w:eastAsia="zh-CN"/>
              </w:rPr>
              <w:t>生态环境分区管控的意见》（黑政发</w:t>
            </w:r>
            <w:r>
              <w:rPr>
                <w:rFonts w:hint="eastAsia"/>
                <w:highlight w:val="none"/>
                <w:lang w:eastAsia="zh-CN"/>
              </w:rPr>
              <w:t>〔2020〕14号</w:t>
            </w:r>
            <w:r>
              <w:rPr>
                <w:rFonts w:hint="default"/>
                <w:highlight w:val="none"/>
                <w:lang w:eastAsia="zh-CN"/>
              </w:rPr>
              <w:t>）、</w:t>
            </w:r>
            <w:r>
              <w:rPr>
                <w:rFonts w:hint="eastAsia"/>
                <w:highlight w:val="none"/>
                <w:lang w:eastAsia="zh-CN"/>
              </w:rPr>
              <w:t>《</w:t>
            </w:r>
            <w:r>
              <w:rPr>
                <w:rFonts w:hint="default"/>
                <w:highlight w:val="none"/>
                <w:lang w:eastAsia="zh-CN"/>
              </w:rPr>
              <w:t>大兴安岭地区区域空间生态环境评价协调小组办公室关于发布2023年生态环境分区管控动态更新成果的通知》（大区域环评办〔2024〕2号）中要求、《</w:t>
            </w:r>
            <w:r>
              <w:rPr>
                <w:rFonts w:hint="eastAsia"/>
                <w:highlight w:val="none"/>
                <w:lang w:val="en-US" w:eastAsia="zh-CN"/>
              </w:rPr>
              <w:t>大</w:t>
            </w:r>
            <w:r>
              <w:rPr>
                <w:rFonts w:hint="eastAsia"/>
                <w:lang w:val="en-US" w:eastAsia="zh-CN"/>
              </w:rPr>
              <w:t>兴安岭地区</w:t>
            </w:r>
            <w:r>
              <w:rPr>
                <w:rFonts w:hint="default"/>
                <w:lang w:eastAsia="zh-CN"/>
              </w:rPr>
              <w:t>生态环境准入清单（2023年版）</w:t>
            </w:r>
            <w:r>
              <w:rPr>
                <w:rFonts w:hint="eastAsia"/>
                <w:lang w:eastAsia="zh-CN"/>
              </w:rPr>
              <w:t>》</w:t>
            </w:r>
            <w:r>
              <w:rPr>
                <w:rFonts w:hint="default"/>
                <w:lang w:val="en-US" w:eastAsia="zh-CN"/>
              </w:rPr>
              <w:t>及本项目的生态环境分区管控分析报告，本项目的“生态环境分区管控”符合性分析如下</w:t>
            </w:r>
            <w:r>
              <w:rPr>
                <w:rFonts w:hint="eastAsia"/>
                <w:lang w:val="en-US" w:eastAsia="zh-CN"/>
              </w:rPr>
              <w:t>：</w:t>
            </w:r>
          </w:p>
          <w:p w14:paraId="775CF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i w:val="0"/>
                <w:iCs w:val="0"/>
                <w:color w:val="auto"/>
                <w:sz w:val="24"/>
                <w:szCs w:val="24"/>
                <w:highlight w:val="none"/>
                <w:u w:val="none"/>
                <w:lang w:val="en-US" w:eastAsia="zh-CN"/>
              </w:rPr>
            </w:pPr>
          </w:p>
          <w:p w14:paraId="52E36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i w:val="0"/>
                <w:iCs w:val="0"/>
                <w:color w:val="auto"/>
                <w:sz w:val="24"/>
                <w:szCs w:val="24"/>
                <w:highlight w:val="none"/>
                <w:u w:val="none"/>
                <w:lang w:val="en-US" w:eastAsia="zh-CN"/>
              </w:rPr>
            </w:pPr>
          </w:p>
          <w:p w14:paraId="5C336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i w:val="0"/>
                <w:iCs w:val="0"/>
                <w:color w:val="auto"/>
                <w:sz w:val="24"/>
                <w:szCs w:val="24"/>
                <w:highlight w:val="none"/>
                <w:u w:val="none"/>
                <w:lang w:val="en-US" w:eastAsia="zh-CN"/>
              </w:rPr>
            </w:pPr>
          </w:p>
          <w:p w14:paraId="3DA45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i w:val="0"/>
                <w:iCs w:val="0"/>
                <w:color w:val="auto"/>
                <w:sz w:val="24"/>
                <w:szCs w:val="24"/>
                <w:highlight w:val="none"/>
                <w:u w:val="none"/>
                <w:lang w:val="en-US" w:eastAsia="zh-CN"/>
              </w:rPr>
            </w:pPr>
          </w:p>
          <w:p w14:paraId="7CFA52E9">
            <w:pPr>
              <w:pStyle w:val="52"/>
              <w:bidi w:val="0"/>
              <w:rPr>
                <w:rFonts w:hint="eastAsia"/>
                <w:color w:val="auto"/>
                <w:highlight w:val="none"/>
                <w:lang w:val="en-US" w:eastAsia="zh-CN"/>
              </w:rPr>
            </w:pPr>
            <w:r>
              <w:rPr>
                <w:rFonts w:hint="eastAsia"/>
                <w:color w:val="auto"/>
                <w:highlight w:val="none"/>
                <w:lang w:val="en-US" w:eastAsia="zh-CN"/>
              </w:rPr>
              <w:t>（1）“一图”</w:t>
            </w:r>
          </w:p>
          <w:p w14:paraId="58D1A974">
            <w:pPr>
              <w:pStyle w:val="50"/>
              <w:bidi w:val="0"/>
              <w:rPr>
                <w:rFonts w:hint="eastAsia"/>
                <w:lang w:val="en-US" w:eastAsia="zh-CN"/>
              </w:rPr>
            </w:pPr>
            <w:r>
              <w:drawing>
                <wp:inline distT="0" distB="0" distL="114300" distR="114300">
                  <wp:extent cx="4756150" cy="2559685"/>
                  <wp:effectExtent l="0" t="0" r="6350" b="12065"/>
                  <wp:docPr id="2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2"/>
                          <pic:cNvPicPr>
                            <a:picLocks noChangeAspect="1"/>
                          </pic:cNvPicPr>
                        </pic:nvPicPr>
                        <pic:blipFill>
                          <a:blip r:embed="rId17"/>
                          <a:stretch>
                            <a:fillRect/>
                          </a:stretch>
                        </pic:blipFill>
                        <pic:spPr>
                          <a:xfrm>
                            <a:off x="0" y="0"/>
                            <a:ext cx="4756150" cy="2559685"/>
                          </a:xfrm>
                          <a:prstGeom prst="rect">
                            <a:avLst/>
                          </a:prstGeom>
                          <a:noFill/>
                          <a:ln>
                            <a:noFill/>
                          </a:ln>
                        </pic:spPr>
                      </pic:pic>
                    </a:graphicData>
                  </a:graphic>
                </wp:inline>
              </w:drawing>
            </w:r>
          </w:p>
          <w:p w14:paraId="31F17AE3">
            <w:pPr>
              <w:pStyle w:val="50"/>
              <w:bidi w:val="0"/>
              <w:rPr>
                <w:rFonts w:hint="default"/>
                <w:color w:val="auto"/>
                <w:highlight w:val="none"/>
              </w:rPr>
            </w:pPr>
            <w:r>
              <w:rPr>
                <w:rFonts w:hint="default"/>
                <w:color w:val="auto"/>
                <w:highlight w:val="none"/>
              </w:rPr>
              <w:t>图1-1</w:t>
            </w:r>
            <w:r>
              <w:rPr>
                <w:rFonts w:hint="eastAsia"/>
                <w:color w:val="auto"/>
                <w:highlight w:val="none"/>
                <w:lang w:val="en-US" w:eastAsia="zh-CN"/>
              </w:rPr>
              <w:t xml:space="preserve">   </w:t>
            </w:r>
            <w:r>
              <w:rPr>
                <w:rFonts w:hint="default"/>
                <w:color w:val="auto"/>
                <w:highlight w:val="none"/>
              </w:rPr>
              <w:t>本项目与环境管控单元叠加图</w:t>
            </w:r>
          </w:p>
          <w:p w14:paraId="15BF541C">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Times New Roman" w:hAnsi="Times New Roman" w:eastAsia="宋体" w:cs="宋体"/>
                <w:color w:val="auto"/>
                <w:kern w:val="0"/>
                <w:sz w:val="24"/>
                <w:szCs w:val="24"/>
                <w:highlight w:val="none"/>
                <w:lang w:val="en-US" w:eastAsia="zh-CN" w:bidi="ar"/>
              </w:rPr>
            </w:pPr>
            <w:r>
              <w:rPr>
                <w:rFonts w:hint="eastAsia" w:cs="宋体"/>
                <w:color w:val="auto"/>
                <w:kern w:val="0"/>
                <w:sz w:val="24"/>
                <w:szCs w:val="24"/>
                <w:highlight w:val="none"/>
                <w:lang w:val="en-US" w:eastAsia="zh-CN" w:bidi="ar"/>
              </w:rPr>
              <w:t>（2）</w:t>
            </w:r>
            <w:r>
              <w:rPr>
                <w:rFonts w:hint="eastAsia" w:ascii="Times New Roman" w:hAnsi="Times New Roman" w:eastAsia="宋体" w:cs="宋体"/>
                <w:color w:val="auto"/>
                <w:kern w:val="0"/>
                <w:sz w:val="24"/>
                <w:szCs w:val="24"/>
                <w:highlight w:val="none"/>
                <w:lang w:val="en-US" w:eastAsia="zh-CN" w:bidi="ar"/>
              </w:rPr>
              <w:t>“一表”</w:t>
            </w:r>
          </w:p>
          <w:p w14:paraId="58B23BC7">
            <w:pPr>
              <w:pStyle w:val="50"/>
              <w:bidi w:val="0"/>
              <w:rPr>
                <w:rFonts w:hint="default"/>
                <w:color w:val="auto"/>
                <w:highlight w:val="none"/>
              </w:rPr>
            </w:pPr>
            <w:r>
              <w:rPr>
                <w:rFonts w:hint="default"/>
                <w:color w:val="auto"/>
                <w:highlight w:val="none"/>
              </w:rPr>
              <w:t>表1-</w:t>
            </w:r>
            <w:r>
              <w:rPr>
                <w:rFonts w:hint="eastAsia"/>
                <w:color w:val="auto"/>
                <w:highlight w:val="none"/>
                <w:lang w:val="en-US" w:eastAsia="zh-CN"/>
              </w:rPr>
              <w:t xml:space="preserve">2  </w:t>
            </w:r>
            <w:r>
              <w:rPr>
                <w:rFonts w:hint="default"/>
                <w:color w:val="auto"/>
                <w:highlight w:val="none"/>
              </w:rPr>
              <w:t xml:space="preserve"> 本项目“生态环境分区管控”符合性分析表</w:t>
            </w:r>
          </w:p>
          <w:tbl>
            <w:tblPr>
              <w:tblStyle w:val="39"/>
              <w:tblW w:w="5000" w:type="pct"/>
              <w:jc w:val="center"/>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1"/>
              <w:gridCol w:w="575"/>
              <w:gridCol w:w="119"/>
              <w:gridCol w:w="870"/>
              <w:gridCol w:w="795"/>
              <w:gridCol w:w="990"/>
              <w:gridCol w:w="3619"/>
            </w:tblGrid>
            <w:tr w14:paraId="0842FF98">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noWrap w:val="0"/>
                  <w:vAlign w:val="center"/>
                </w:tcPr>
                <w:p w14:paraId="5F506D68">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一、生态保护红线</w:t>
                  </w:r>
                </w:p>
              </w:tc>
            </w:tr>
            <w:tr w14:paraId="496B626E">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pct"/>
                  <w:gridSpan w:val="2"/>
                  <w:tcBorders>
                    <w:tl2br w:val="nil"/>
                    <w:tr2bl w:val="nil"/>
                  </w:tcBorders>
                  <w:noWrap w:val="0"/>
                  <w:vAlign w:val="center"/>
                </w:tcPr>
                <w:p w14:paraId="004B2558">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管控单元类别</w:t>
                  </w:r>
                </w:p>
              </w:tc>
              <w:tc>
                <w:tcPr>
                  <w:tcW w:w="4262" w:type="pct"/>
                  <w:gridSpan w:val="5"/>
                  <w:tcBorders>
                    <w:tl2br w:val="nil"/>
                    <w:tr2bl w:val="nil"/>
                  </w:tcBorders>
                  <w:noWrap w:val="0"/>
                  <w:vAlign w:val="center"/>
                </w:tcPr>
                <w:p w14:paraId="70BDD5DD">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一般管控区</w:t>
                  </w:r>
                </w:p>
              </w:tc>
            </w:tr>
            <w:tr w14:paraId="2D09C8EC">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pct"/>
                  <w:gridSpan w:val="2"/>
                  <w:tcBorders>
                    <w:tl2br w:val="nil"/>
                    <w:tr2bl w:val="nil"/>
                  </w:tcBorders>
                  <w:noWrap w:val="0"/>
                  <w:vAlign w:val="center"/>
                </w:tcPr>
                <w:p w14:paraId="41CDA190">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管控要求</w:t>
                  </w:r>
                </w:p>
              </w:tc>
              <w:tc>
                <w:tcPr>
                  <w:tcW w:w="4262" w:type="pct"/>
                  <w:gridSpan w:val="5"/>
                  <w:tcBorders>
                    <w:tl2br w:val="nil"/>
                    <w:tr2bl w:val="nil"/>
                  </w:tcBorders>
                  <w:noWrap w:val="0"/>
                  <w:vAlign w:val="center"/>
                </w:tcPr>
                <w:p w14:paraId="3F44966E">
                  <w:pPr>
                    <w:pStyle w:val="49"/>
                    <w:bidi w:val="0"/>
                    <w:rPr>
                      <w:rFonts w:hint="default"/>
                      <w:highlight w:val="none"/>
                      <w:lang w:val="en-US" w:eastAsia="zh-CN"/>
                    </w:rPr>
                  </w:pPr>
                  <w:r>
                    <w:rPr>
                      <w:rFonts w:hint="default"/>
                      <w:highlight w:val="none"/>
                      <w:lang w:val="en-US" w:eastAsia="zh-CN"/>
                    </w:rPr>
                    <w:t>生态空间包括生态保护红线和一般生态空间，生态保护红线及一般生态空间均属于优先保护区，其余区域属于一般管控区。</w:t>
                  </w:r>
                </w:p>
              </w:tc>
            </w:tr>
            <w:tr w14:paraId="2A5AC3E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pct"/>
                  <w:gridSpan w:val="2"/>
                  <w:tcBorders>
                    <w:tl2br w:val="nil"/>
                    <w:tr2bl w:val="nil"/>
                  </w:tcBorders>
                  <w:noWrap w:val="0"/>
                  <w:vAlign w:val="center"/>
                </w:tcPr>
                <w:p w14:paraId="671A53C5">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符合性分析</w:t>
                  </w:r>
                </w:p>
              </w:tc>
              <w:tc>
                <w:tcPr>
                  <w:tcW w:w="4262" w:type="pct"/>
                  <w:gridSpan w:val="5"/>
                  <w:tcBorders>
                    <w:tl2br w:val="nil"/>
                    <w:tr2bl w:val="nil"/>
                  </w:tcBorders>
                  <w:noWrap w:val="0"/>
                  <w:vAlign w:val="center"/>
                </w:tcPr>
                <w:p w14:paraId="2B66B6EC">
                  <w:pPr>
                    <w:pStyle w:val="49"/>
                    <w:bidi w:val="0"/>
                    <w:rPr>
                      <w:rFonts w:hint="default"/>
                      <w:highlight w:val="none"/>
                      <w:lang w:val="en-US" w:eastAsia="zh-CN"/>
                    </w:rPr>
                  </w:pPr>
                  <w:r>
                    <w:rPr>
                      <w:rFonts w:hint="default"/>
                      <w:highlight w:val="none"/>
                      <w:lang w:val="en-US" w:eastAsia="zh-CN"/>
                    </w:rPr>
                    <w:t>本项目位于</w:t>
                  </w:r>
                  <w:r>
                    <w:rPr>
                      <w:rFonts w:hint="eastAsia"/>
                      <w:highlight w:val="none"/>
                      <w:lang w:val="en-US" w:eastAsia="zh-CN"/>
                    </w:rPr>
                    <w:t>大兴安岭地区呼玛县三卡乡</w:t>
                  </w:r>
                  <w:r>
                    <w:rPr>
                      <w:rFonts w:hint="default"/>
                      <w:highlight w:val="none"/>
                      <w:lang w:val="en-US" w:eastAsia="zh-CN"/>
                    </w:rPr>
                    <w:t>，根据《</w:t>
                  </w:r>
                  <w:r>
                    <w:rPr>
                      <w:rFonts w:hint="eastAsia"/>
                      <w:highlight w:val="none"/>
                      <w:lang w:val="en-US" w:eastAsia="zh-CN"/>
                    </w:rPr>
                    <w:t>呼玛县瑞和种植专业合作社建设项目</w:t>
                  </w:r>
                  <w:r>
                    <w:rPr>
                      <w:rFonts w:hint="default"/>
                      <w:highlight w:val="none"/>
                      <w:lang w:val="en-US" w:eastAsia="zh-CN"/>
                    </w:rPr>
                    <w:t>生态环境分区管控分析报告》，本项目厂址与生态保护红线无交集。不涉及国家、省、市级自然保护区、自然文化遗产、风景名胜区、文物古迹、饮用水水源保护区、重要湿地、森林公园、水产种质资源保护区等区域。</w:t>
                  </w:r>
                </w:p>
              </w:tc>
            </w:tr>
            <w:tr w14:paraId="6D60430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noWrap w:val="0"/>
                  <w:vAlign w:val="center"/>
                </w:tcPr>
                <w:p w14:paraId="797290B3">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二、环境质量底线</w:t>
                  </w:r>
                </w:p>
              </w:tc>
            </w:tr>
            <w:tr w14:paraId="4A3E9AE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54" w:type="pct"/>
                  <w:tcBorders>
                    <w:tl2br w:val="nil"/>
                    <w:tr2bl w:val="nil"/>
                  </w:tcBorders>
                  <w:vAlign w:val="center"/>
                </w:tcPr>
                <w:p w14:paraId="3BF503DC">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一级分类</w:t>
                  </w:r>
                </w:p>
              </w:tc>
              <w:tc>
                <w:tcPr>
                  <w:tcW w:w="462" w:type="pct"/>
                  <w:gridSpan w:val="2"/>
                  <w:tcBorders>
                    <w:tl2br w:val="nil"/>
                    <w:tr2bl w:val="nil"/>
                  </w:tcBorders>
                  <w:vAlign w:val="center"/>
                </w:tcPr>
                <w:p w14:paraId="6F3AECC6">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二级分类</w:t>
                  </w:r>
                </w:p>
              </w:tc>
              <w:tc>
                <w:tcPr>
                  <w:tcW w:w="580" w:type="pct"/>
                  <w:tcBorders>
                    <w:tl2br w:val="nil"/>
                    <w:tr2bl w:val="nil"/>
                  </w:tcBorders>
                  <w:vAlign w:val="center"/>
                </w:tcPr>
                <w:p w14:paraId="3DC5A0E4">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相交</w:t>
                  </w:r>
                  <w:r>
                    <w:rPr>
                      <w:rFonts w:hint="eastAsia"/>
                      <w:color w:val="auto"/>
                      <w:sz w:val="21"/>
                      <w:szCs w:val="21"/>
                      <w:highlight w:val="none"/>
                      <w:lang w:eastAsia="zh-CN"/>
                    </w:rPr>
                    <w:t>单元</w:t>
                  </w:r>
                  <w:r>
                    <w:rPr>
                      <w:rFonts w:hint="eastAsia"/>
                      <w:color w:val="auto"/>
                      <w:sz w:val="21"/>
                      <w:szCs w:val="21"/>
                      <w:highlight w:val="none"/>
                      <w:lang w:val="en-US" w:eastAsia="zh-CN"/>
                    </w:rPr>
                    <w:t>名称</w:t>
                  </w:r>
                </w:p>
              </w:tc>
              <w:tc>
                <w:tcPr>
                  <w:tcW w:w="530" w:type="pct"/>
                  <w:tcBorders>
                    <w:tl2br w:val="nil"/>
                    <w:tr2bl w:val="nil"/>
                  </w:tcBorders>
                  <w:vAlign w:val="center"/>
                </w:tcPr>
                <w:p w14:paraId="28AE3134">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相交面积（km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w:t>
                  </w:r>
                </w:p>
              </w:tc>
              <w:tc>
                <w:tcPr>
                  <w:tcW w:w="660" w:type="pct"/>
                  <w:tcBorders>
                    <w:tl2br w:val="nil"/>
                    <w:tr2bl w:val="nil"/>
                  </w:tcBorders>
                  <w:vAlign w:val="center"/>
                </w:tcPr>
                <w:p w14:paraId="4CFB4F5B">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相交面积占项目范围百分比（%）</w:t>
                  </w:r>
                </w:p>
              </w:tc>
              <w:tc>
                <w:tcPr>
                  <w:tcW w:w="2412" w:type="pct"/>
                  <w:tcBorders>
                    <w:tl2br w:val="nil"/>
                    <w:tr2bl w:val="nil"/>
                  </w:tcBorders>
                  <w:vAlign w:val="center"/>
                </w:tcPr>
                <w:p w14:paraId="5D999B2F">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符合性</w:t>
                  </w:r>
                </w:p>
              </w:tc>
            </w:tr>
            <w:tr w14:paraId="1629957E">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354" w:type="pct"/>
                  <w:vMerge w:val="restart"/>
                  <w:tcBorders>
                    <w:tl2br w:val="nil"/>
                    <w:tr2bl w:val="nil"/>
                  </w:tcBorders>
                  <w:vAlign w:val="center"/>
                </w:tcPr>
                <w:p w14:paraId="395D4A40">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环境质量底线</w:t>
                  </w:r>
                </w:p>
              </w:tc>
              <w:tc>
                <w:tcPr>
                  <w:tcW w:w="694" w:type="dxa"/>
                  <w:gridSpan w:val="2"/>
                  <w:tcBorders>
                    <w:tl2br w:val="nil"/>
                    <w:tr2bl w:val="nil"/>
                  </w:tcBorders>
                  <w:vAlign w:val="center"/>
                </w:tcPr>
                <w:p w14:paraId="02311339">
                  <w:pPr>
                    <w:pStyle w:val="48"/>
                    <w:bidi w:val="0"/>
                    <w:ind w:firstLine="0" w:firstLineChars="0"/>
                    <w:rPr>
                      <w:rFonts w:hint="default"/>
                      <w:color w:val="auto"/>
                      <w:sz w:val="21"/>
                      <w:szCs w:val="21"/>
                      <w:highlight w:val="none"/>
                      <w:lang w:val="en-US" w:eastAsia="zh-CN"/>
                    </w:rPr>
                  </w:pPr>
                  <w:r>
                    <w:rPr>
                      <w:rFonts w:hint="eastAsia"/>
                      <w:highlight w:val="none"/>
                      <w:lang w:val="en-US" w:eastAsia="zh-CN"/>
                    </w:rPr>
                    <w:t>其他区域</w:t>
                  </w:r>
                </w:p>
              </w:tc>
              <w:tc>
                <w:tcPr>
                  <w:tcW w:w="870" w:type="dxa"/>
                  <w:tcBorders>
                    <w:tl2br w:val="nil"/>
                    <w:tr2bl w:val="nil"/>
                  </w:tcBorders>
                  <w:vAlign w:val="center"/>
                </w:tcPr>
                <w:p w14:paraId="71EE6932">
                  <w:pPr>
                    <w:pStyle w:val="48"/>
                    <w:bidi w:val="0"/>
                    <w:ind w:firstLine="0" w:firstLineChars="0"/>
                    <w:rPr>
                      <w:rFonts w:hint="default"/>
                      <w:color w:val="auto"/>
                      <w:sz w:val="21"/>
                      <w:szCs w:val="21"/>
                      <w:highlight w:val="none"/>
                      <w:lang w:val="en-US" w:eastAsia="zh-CN"/>
                    </w:rPr>
                  </w:pPr>
                  <w:r>
                    <w:rPr>
                      <w:rFonts w:hint="default"/>
                      <w:color w:val="auto"/>
                      <w:sz w:val="21"/>
                      <w:szCs w:val="21"/>
                      <w:highlight w:val="none"/>
                      <w:lang w:val="en-US" w:eastAsia="zh-CN"/>
                    </w:rPr>
                    <w:t>宽河汗达河黑河上呼玛县</w:t>
                  </w:r>
                </w:p>
              </w:tc>
              <w:tc>
                <w:tcPr>
                  <w:tcW w:w="795" w:type="dxa"/>
                  <w:tcBorders>
                    <w:tl2br w:val="nil"/>
                    <w:tr2bl w:val="nil"/>
                  </w:tcBorders>
                  <w:vAlign w:val="center"/>
                </w:tcPr>
                <w:p w14:paraId="365D8473">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0.04</w:t>
                  </w:r>
                </w:p>
              </w:tc>
              <w:tc>
                <w:tcPr>
                  <w:tcW w:w="990" w:type="dxa"/>
                  <w:tcBorders>
                    <w:tl2br w:val="nil"/>
                    <w:tr2bl w:val="nil"/>
                  </w:tcBorders>
                  <w:vAlign w:val="center"/>
                </w:tcPr>
                <w:p w14:paraId="6BD51B6F">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3619" w:type="dxa"/>
                  <w:tcBorders>
                    <w:tl2br w:val="nil"/>
                    <w:tr2bl w:val="nil"/>
                  </w:tcBorders>
                  <w:vAlign w:val="center"/>
                </w:tcPr>
                <w:p w14:paraId="2C8DCE2C">
                  <w:pPr>
                    <w:pStyle w:val="49"/>
                    <w:bidi w:val="0"/>
                    <w:rPr>
                      <w:rFonts w:hint="default"/>
                    </w:rPr>
                  </w:pPr>
                  <w:r>
                    <w:rPr>
                      <w:rFonts w:hint="default"/>
                      <w:lang w:val="en-US" w:eastAsia="zh-CN"/>
                    </w:rPr>
                    <w:t>本项目所在区域地表水体为</w:t>
                  </w:r>
                  <w:r>
                    <w:rPr>
                      <w:rFonts w:hint="eastAsia"/>
                      <w:lang w:val="en-US" w:eastAsia="zh-CN"/>
                    </w:rPr>
                    <w:t>黑龙江。根据</w:t>
                  </w:r>
                  <w:r>
                    <w:rPr>
                      <w:rFonts w:hint="default"/>
                      <w:lang w:val="en-US" w:eastAsia="zh-CN"/>
                    </w:rPr>
                    <w:t>《2025年黑龙江省生态环境质量状况》</w:t>
                  </w:r>
                  <w:r>
                    <w:rPr>
                      <w:rFonts w:hint="eastAsia"/>
                      <w:lang w:val="en-US" w:eastAsia="zh-CN"/>
                    </w:rPr>
                    <w:t>，</w:t>
                  </w:r>
                  <w:r>
                    <w:rPr>
                      <w:rFonts w:hint="default"/>
                      <w:lang w:val="en-US" w:eastAsia="zh-CN"/>
                    </w:rPr>
                    <w:t>大兴安岭地区参与国家考核计算的断面共7个，Ⅰ~Ⅲ类水质比例为57.1%。无劣V类水质断面。与上年同期相比，Ⅰ~Ⅲ类水质比例保持不变，均无劣V类水质断面。</w:t>
                  </w:r>
                </w:p>
                <w:p w14:paraId="7223C91C">
                  <w:pPr>
                    <w:pStyle w:val="49"/>
                    <w:bidi w:val="0"/>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本项目</w:t>
                  </w:r>
                  <w:r>
                    <w:rPr>
                      <w:color w:val="auto"/>
                      <w:sz w:val="21"/>
                      <w:szCs w:val="21"/>
                      <w:highlight w:val="none"/>
                      <w:lang w:val="en-US" w:eastAsia="zh-CN"/>
                    </w:rPr>
                    <w:t>无生产废水，员工生活污水排入防渗旱厕，定期清掏外运堆肥</w:t>
                  </w:r>
                  <w:r>
                    <w:rPr>
                      <w:rFonts w:hint="eastAsia"/>
                      <w:color w:val="auto"/>
                      <w:sz w:val="21"/>
                      <w:szCs w:val="21"/>
                      <w:highlight w:val="none"/>
                      <w:lang w:val="en-US" w:eastAsia="zh-CN"/>
                    </w:rPr>
                    <w:t>。</w:t>
                  </w:r>
                </w:p>
              </w:tc>
            </w:tr>
            <w:tr w14:paraId="790B64E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vMerge w:val="continue"/>
                  <w:tcBorders>
                    <w:tl2br w:val="nil"/>
                    <w:tr2bl w:val="nil"/>
                  </w:tcBorders>
                  <w:vAlign w:val="center"/>
                </w:tcPr>
                <w:p w14:paraId="517ADDC4">
                  <w:pPr>
                    <w:pStyle w:val="60"/>
                    <w:bidi w:val="0"/>
                    <w:rPr>
                      <w:rFonts w:hint="eastAsia"/>
                      <w:color w:val="auto"/>
                      <w:sz w:val="21"/>
                      <w:szCs w:val="21"/>
                      <w:highlight w:val="none"/>
                      <w:lang w:eastAsia="zh-CN"/>
                    </w:rPr>
                  </w:pPr>
                </w:p>
              </w:tc>
              <w:tc>
                <w:tcPr>
                  <w:tcW w:w="694" w:type="dxa"/>
                  <w:gridSpan w:val="2"/>
                  <w:tcBorders>
                    <w:tl2br w:val="nil"/>
                    <w:tr2bl w:val="nil"/>
                  </w:tcBorders>
                  <w:shd w:val="clear" w:color="auto" w:fill="auto"/>
                  <w:vAlign w:val="center"/>
                </w:tcPr>
                <w:p w14:paraId="071ED291">
                  <w:pPr>
                    <w:pStyle w:val="48"/>
                    <w:bidi w:val="0"/>
                    <w:ind w:firstLine="0" w:firstLineChars="0"/>
                    <w:rPr>
                      <w:rFonts w:hint="eastAsia"/>
                      <w:color w:val="auto"/>
                      <w:sz w:val="21"/>
                      <w:szCs w:val="21"/>
                      <w:highlight w:val="none"/>
                      <w:lang w:val="en-US" w:eastAsia="zh-CN"/>
                    </w:rPr>
                  </w:pPr>
                  <w:r>
                    <w:rPr>
                      <w:rFonts w:hint="eastAsia"/>
                      <w:highlight w:val="none"/>
                      <w:lang w:val="en-US" w:eastAsia="zh-CN"/>
                    </w:rPr>
                    <w:t>大气环境一般管控区</w:t>
                  </w:r>
                </w:p>
              </w:tc>
              <w:tc>
                <w:tcPr>
                  <w:tcW w:w="870" w:type="dxa"/>
                  <w:tcBorders>
                    <w:tl2br w:val="nil"/>
                    <w:tr2bl w:val="nil"/>
                  </w:tcBorders>
                  <w:shd w:val="clear" w:color="auto" w:fill="auto"/>
                  <w:vAlign w:val="center"/>
                </w:tcPr>
                <w:p w14:paraId="4D3E4B60">
                  <w:pPr>
                    <w:pStyle w:val="48"/>
                    <w:bidi w:val="0"/>
                    <w:ind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呼玛县大气环境一般管控区</w:t>
                  </w:r>
                </w:p>
              </w:tc>
              <w:tc>
                <w:tcPr>
                  <w:tcW w:w="795" w:type="dxa"/>
                  <w:tcBorders>
                    <w:tl2br w:val="nil"/>
                    <w:tr2bl w:val="nil"/>
                  </w:tcBorders>
                  <w:shd w:val="clear" w:color="auto" w:fill="auto"/>
                  <w:vAlign w:val="center"/>
                </w:tcPr>
                <w:p w14:paraId="1D9A1BD7">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0.04</w:t>
                  </w:r>
                </w:p>
              </w:tc>
              <w:tc>
                <w:tcPr>
                  <w:tcW w:w="990" w:type="dxa"/>
                  <w:tcBorders>
                    <w:tl2br w:val="nil"/>
                    <w:tr2bl w:val="nil"/>
                  </w:tcBorders>
                  <w:shd w:val="clear" w:color="auto" w:fill="auto"/>
                  <w:vAlign w:val="center"/>
                </w:tcPr>
                <w:p w14:paraId="183307A8">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3619" w:type="dxa"/>
                  <w:tcBorders>
                    <w:tl2br w:val="nil"/>
                    <w:tr2bl w:val="nil"/>
                  </w:tcBorders>
                  <w:vAlign w:val="center"/>
                </w:tcPr>
                <w:p w14:paraId="4F334301">
                  <w:pPr>
                    <w:pStyle w:val="49"/>
                    <w:bidi w:val="0"/>
                    <w:rPr>
                      <w:rFonts w:hint="default"/>
                      <w:color w:val="auto"/>
                      <w:sz w:val="21"/>
                      <w:szCs w:val="21"/>
                      <w:highlight w:val="none"/>
                    </w:rPr>
                  </w:pPr>
                  <w:r>
                    <w:rPr>
                      <w:rFonts w:hint="default"/>
                      <w:color w:val="auto"/>
                      <w:sz w:val="21"/>
                      <w:szCs w:val="21"/>
                      <w:highlight w:val="none"/>
                    </w:rPr>
                    <w:t>根据</w:t>
                  </w:r>
                  <w:r>
                    <w:rPr>
                      <w:rFonts w:hint="eastAsia"/>
                      <w:color w:val="auto"/>
                      <w:sz w:val="21"/>
                      <w:szCs w:val="21"/>
                      <w:highlight w:val="none"/>
                      <w:lang w:eastAsia="zh-CN"/>
                    </w:rPr>
                    <w:t>《2025年黑龙江省生态环境质量状况》</w:t>
                  </w:r>
                  <w:r>
                    <w:rPr>
                      <w:rFonts w:hint="default"/>
                      <w:color w:val="auto"/>
                      <w:sz w:val="21"/>
                      <w:szCs w:val="21"/>
                      <w:highlight w:val="none"/>
                    </w:rPr>
                    <w:t>可知，</w:t>
                  </w:r>
                  <w:r>
                    <w:rPr>
                      <w:rFonts w:hint="default"/>
                      <w:color w:val="auto"/>
                      <w:sz w:val="21"/>
                      <w:szCs w:val="21"/>
                      <w:highlight w:val="none"/>
                      <w:lang w:val="en-US" w:eastAsia="zh-CN"/>
                    </w:rPr>
                    <w:t>大兴安岭地区</w:t>
                  </w:r>
                  <w:r>
                    <w:rPr>
                      <w:rFonts w:hint="default"/>
                      <w:color w:val="auto"/>
                      <w:sz w:val="21"/>
                      <w:szCs w:val="21"/>
                      <w:highlight w:val="none"/>
                    </w:rPr>
                    <w:t>202</w:t>
                  </w:r>
                  <w:r>
                    <w:rPr>
                      <w:rFonts w:hint="eastAsia"/>
                      <w:color w:val="auto"/>
                      <w:sz w:val="21"/>
                      <w:szCs w:val="21"/>
                      <w:highlight w:val="none"/>
                      <w:lang w:val="en-US" w:eastAsia="zh-CN"/>
                    </w:rPr>
                    <w:t>5</w:t>
                  </w:r>
                  <w:r>
                    <w:rPr>
                      <w:rFonts w:hint="default"/>
                      <w:color w:val="auto"/>
                      <w:sz w:val="21"/>
                      <w:szCs w:val="21"/>
                      <w:highlight w:val="none"/>
                    </w:rPr>
                    <w:t>年为环境空气质量达标区域。</w:t>
                  </w:r>
                </w:p>
                <w:p w14:paraId="50797098">
                  <w:pPr>
                    <w:pStyle w:val="49"/>
                    <w:bidi w:val="0"/>
                    <w:rPr>
                      <w:color w:val="auto"/>
                      <w:highlight w:val="none"/>
                    </w:rPr>
                  </w:pPr>
                  <w:r>
                    <w:rPr>
                      <w:rFonts w:hint="eastAsia"/>
                      <w:color w:val="auto"/>
                      <w:highlight w:val="none"/>
                      <w:lang w:val="en-US" w:eastAsia="zh-CN"/>
                    </w:rPr>
                    <w:t>本项目</w:t>
                  </w:r>
                  <w:r>
                    <w:rPr>
                      <w:color w:val="auto"/>
                      <w:highlight w:val="none"/>
                      <w:lang w:val="en-US" w:eastAsia="zh-CN"/>
                    </w:rPr>
                    <w:t>热风炉</w:t>
                  </w:r>
                  <w:r>
                    <w:rPr>
                      <w:rFonts w:hint="eastAsia"/>
                      <w:color w:val="auto"/>
                      <w:highlight w:val="none"/>
                      <w:lang w:val="en-US" w:eastAsia="zh-CN"/>
                    </w:rPr>
                    <w:t>废</w:t>
                  </w:r>
                  <w:r>
                    <w:rPr>
                      <w:color w:val="auto"/>
                      <w:highlight w:val="none"/>
                      <w:lang w:val="en-US" w:eastAsia="zh-CN"/>
                    </w:rPr>
                    <w:t>气经布袋除尘器</w:t>
                  </w:r>
                  <w:r>
                    <w:rPr>
                      <w:rFonts w:hint="eastAsia"/>
                      <w:color w:val="auto"/>
                      <w:highlight w:val="none"/>
                      <w:lang w:val="en-US" w:eastAsia="zh-CN"/>
                    </w:rPr>
                    <w:t>（除尘效率99%）</w:t>
                  </w:r>
                  <w:r>
                    <w:rPr>
                      <w:color w:val="auto"/>
                      <w:highlight w:val="none"/>
                      <w:lang w:val="en-US" w:eastAsia="zh-CN"/>
                    </w:rPr>
                    <w:t>处理后</w:t>
                  </w:r>
                  <w:r>
                    <w:rPr>
                      <w:rFonts w:hint="eastAsia"/>
                      <w:color w:val="auto"/>
                      <w:highlight w:val="none"/>
                      <w:lang w:val="en-US" w:eastAsia="zh-CN"/>
                    </w:rPr>
                    <w:t>由</w:t>
                  </w:r>
                  <w:r>
                    <w:rPr>
                      <w:color w:val="auto"/>
                      <w:highlight w:val="none"/>
                      <w:lang w:val="en-US" w:eastAsia="zh-CN"/>
                    </w:rPr>
                    <w:t>15m高烟囱</w:t>
                  </w:r>
                  <w:r>
                    <w:rPr>
                      <w:rFonts w:hint="eastAsia"/>
                      <w:color w:val="auto"/>
                      <w:highlight w:val="none"/>
                      <w:lang w:val="en-US" w:eastAsia="zh-CN"/>
                    </w:rPr>
                    <w:t>（DA001）排放。</w:t>
                  </w:r>
                  <w:r>
                    <w:rPr>
                      <w:color w:val="auto"/>
                      <w:highlight w:val="none"/>
                    </w:rPr>
                    <w:t>本项目运营期热风炉烟气排放</w:t>
                  </w:r>
                  <w:r>
                    <w:rPr>
                      <w:rFonts w:hint="eastAsia"/>
                      <w:color w:val="auto"/>
                      <w:highlight w:val="none"/>
                      <w:lang w:val="en-US" w:eastAsia="zh-CN"/>
                    </w:rPr>
                    <w:t>满足《工业炉窑大气污染物排放标准》（GB9078-1996）表2、表4中二级标准限值要求</w:t>
                  </w:r>
                  <w:r>
                    <w:rPr>
                      <w:color w:val="auto"/>
                      <w:highlight w:val="none"/>
                    </w:rPr>
                    <w:t>。</w:t>
                  </w:r>
                  <w:r>
                    <w:rPr>
                      <w:rFonts w:hint="eastAsia"/>
                      <w:color w:val="auto"/>
                      <w:highlight w:val="none"/>
                      <w:lang w:val="en-US" w:eastAsia="zh-CN"/>
                    </w:rPr>
                    <w:t>灰渣采取密封袋收集，贮存在封闭式灰渣库内，灰渣转运过程中采取洒水降尘措施，</w:t>
                  </w:r>
                  <w:r>
                    <w:rPr>
                      <w:rFonts w:hint="eastAsia"/>
                      <w:color w:val="auto"/>
                      <w:highlight w:val="none"/>
                    </w:rPr>
                    <w:t>通过以上治理措施使</w:t>
                  </w:r>
                  <w:r>
                    <w:rPr>
                      <w:color w:val="auto"/>
                      <w:highlight w:val="none"/>
                    </w:rPr>
                    <w:t>工业炉窑周边颗粒物无组织排放浓度满足《工业炉窑大气污染物排放标准》（GB9078-1996）表3</w:t>
                  </w:r>
                  <w:r>
                    <w:rPr>
                      <w:rFonts w:hint="eastAsia"/>
                      <w:color w:val="auto"/>
                      <w:highlight w:val="none"/>
                      <w:lang w:val="en-US" w:eastAsia="zh-CN"/>
                    </w:rPr>
                    <w:t>要求</w:t>
                  </w:r>
                  <w:r>
                    <w:rPr>
                      <w:rFonts w:hint="eastAsia"/>
                      <w:color w:val="auto"/>
                      <w:highlight w:val="none"/>
                    </w:rPr>
                    <w:t>。</w:t>
                  </w:r>
                </w:p>
                <w:p w14:paraId="51455738">
                  <w:pPr>
                    <w:pStyle w:val="49"/>
                    <w:bidi w:val="0"/>
                    <w:ind w:firstLine="420" w:firstLineChars="200"/>
                    <w:rPr>
                      <w:rFonts w:hint="eastAsia"/>
                      <w:color w:val="auto"/>
                      <w:sz w:val="21"/>
                      <w:szCs w:val="21"/>
                      <w:highlight w:val="none"/>
                      <w:lang w:val="en-US" w:eastAsia="zh-CN"/>
                    </w:rPr>
                  </w:pPr>
                  <w:r>
                    <w:rPr>
                      <w:rFonts w:hint="eastAsia"/>
                      <w:color w:val="auto"/>
                      <w:highlight w:val="none"/>
                      <w:lang w:val="en-US" w:eastAsia="zh-CN"/>
                    </w:rPr>
                    <w:t>本项目装卸过程中采取车间封闭+减小装卸高度、</w:t>
                  </w:r>
                  <w:r>
                    <w:rPr>
                      <w:color w:val="auto"/>
                      <w:highlight w:val="none"/>
                    </w:rPr>
                    <w:t>输送过程采用封闭输送带进行输送</w:t>
                  </w:r>
                  <w:r>
                    <w:rPr>
                      <w:rFonts w:hint="eastAsia"/>
                      <w:color w:val="auto"/>
                      <w:highlight w:val="none"/>
                      <w:lang w:val="en-US" w:eastAsia="zh-CN"/>
                    </w:rPr>
                    <w:t>、清选工艺采用封闭式清理筛、烘干塔塔体两侧排气孔设置折流挡板</w:t>
                  </w:r>
                  <w:r>
                    <w:rPr>
                      <w:rFonts w:hint="eastAsia"/>
                      <w:color w:val="auto"/>
                      <w:highlight w:val="none"/>
                      <w:lang w:eastAsia="zh-CN"/>
                    </w:rPr>
                    <w:t>，</w:t>
                  </w:r>
                  <w:r>
                    <w:rPr>
                      <w:rFonts w:hint="eastAsia"/>
                      <w:color w:val="auto"/>
                      <w:highlight w:val="none"/>
                    </w:rPr>
                    <w:t>通过以上治理措施使</w:t>
                  </w:r>
                  <w:r>
                    <w:rPr>
                      <w:color w:val="auto"/>
                      <w:highlight w:val="none"/>
                    </w:rPr>
                    <w:t>厂界颗粒物排放浓度符合《大气污染物综合排放标准》（GB16297-1996）表2无组织排放浓度限值要求</w:t>
                  </w:r>
                  <w:r>
                    <w:rPr>
                      <w:rFonts w:hint="eastAsia"/>
                      <w:color w:val="auto"/>
                      <w:highlight w:val="none"/>
                      <w:lang w:eastAsia="zh-CN"/>
                    </w:rPr>
                    <w:t>。</w:t>
                  </w:r>
                </w:p>
              </w:tc>
            </w:tr>
            <w:tr w14:paraId="3D1DBEA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vAlign w:val="center"/>
                </w:tcPr>
                <w:p w14:paraId="37E5523D">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三</w:t>
                  </w:r>
                  <w:r>
                    <w:rPr>
                      <w:rFonts w:hint="default"/>
                      <w:color w:val="auto"/>
                      <w:sz w:val="21"/>
                      <w:szCs w:val="21"/>
                      <w:highlight w:val="none"/>
                      <w:lang w:val="en-US" w:eastAsia="zh-CN"/>
                    </w:rPr>
                    <w:t>、资源利用</w:t>
                  </w:r>
                  <w:r>
                    <w:rPr>
                      <w:rFonts w:hint="eastAsia"/>
                      <w:color w:val="auto"/>
                      <w:sz w:val="21"/>
                      <w:szCs w:val="21"/>
                      <w:highlight w:val="none"/>
                      <w:lang w:val="en-US" w:eastAsia="zh-CN"/>
                    </w:rPr>
                    <w:t>上线</w:t>
                  </w:r>
                </w:p>
              </w:tc>
            </w:tr>
            <w:tr w14:paraId="4EC0A558">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tcBorders>
                    <w:tl2br w:val="nil"/>
                    <w:tr2bl w:val="nil"/>
                  </w:tcBorders>
                  <w:vAlign w:val="center"/>
                </w:tcPr>
                <w:p w14:paraId="1E07B9D7">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资源利用上限</w:t>
                  </w:r>
                </w:p>
              </w:tc>
              <w:tc>
                <w:tcPr>
                  <w:tcW w:w="462" w:type="pct"/>
                  <w:gridSpan w:val="2"/>
                  <w:tcBorders>
                    <w:tl2br w:val="nil"/>
                    <w:tr2bl w:val="nil"/>
                  </w:tcBorders>
                  <w:vAlign w:val="center"/>
                </w:tcPr>
                <w:p w14:paraId="2F393B8B">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自然资源一般管控区</w:t>
                  </w:r>
                </w:p>
              </w:tc>
              <w:tc>
                <w:tcPr>
                  <w:tcW w:w="580" w:type="pct"/>
                  <w:tcBorders>
                    <w:tl2br w:val="nil"/>
                    <w:tr2bl w:val="nil"/>
                  </w:tcBorders>
                  <w:vAlign w:val="center"/>
                </w:tcPr>
                <w:p w14:paraId="6275013C">
                  <w:pPr>
                    <w:pStyle w:val="48"/>
                    <w:bidi w:val="0"/>
                    <w:rPr>
                      <w:rFonts w:hint="eastAsia"/>
                      <w:color w:val="auto"/>
                      <w:sz w:val="21"/>
                      <w:szCs w:val="21"/>
                      <w:highlight w:val="none"/>
                      <w:lang w:eastAsia="zh-CN"/>
                    </w:rPr>
                  </w:pPr>
                  <w:r>
                    <w:rPr>
                      <w:rFonts w:hint="eastAsia"/>
                      <w:lang w:val="en-US" w:eastAsia="zh-CN"/>
                    </w:rPr>
                    <w:t>呼玛县自然资源一般管控区</w:t>
                  </w:r>
                </w:p>
              </w:tc>
              <w:tc>
                <w:tcPr>
                  <w:tcW w:w="530" w:type="pct"/>
                  <w:tcBorders>
                    <w:tl2br w:val="nil"/>
                    <w:tr2bl w:val="nil"/>
                  </w:tcBorders>
                  <w:vAlign w:val="center"/>
                </w:tcPr>
                <w:p w14:paraId="609C8D4F">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0.04</w:t>
                  </w:r>
                </w:p>
              </w:tc>
              <w:tc>
                <w:tcPr>
                  <w:tcW w:w="660" w:type="pct"/>
                  <w:tcBorders>
                    <w:tl2br w:val="nil"/>
                    <w:tr2bl w:val="nil"/>
                  </w:tcBorders>
                  <w:vAlign w:val="center"/>
                </w:tcPr>
                <w:p w14:paraId="1B088358">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2412" w:type="pct"/>
                  <w:tcBorders>
                    <w:tl2br w:val="nil"/>
                    <w:tr2bl w:val="nil"/>
                  </w:tcBorders>
                  <w:vAlign w:val="center"/>
                </w:tcPr>
                <w:p w14:paraId="47A54312">
                  <w:pPr>
                    <w:pStyle w:val="49"/>
                    <w:bidi w:val="0"/>
                    <w:rPr>
                      <w:rFonts w:hint="default"/>
                      <w:color w:val="auto"/>
                      <w:sz w:val="21"/>
                      <w:szCs w:val="21"/>
                      <w:highlight w:val="none"/>
                      <w:lang w:val="en-US" w:eastAsia="zh-CN"/>
                    </w:rPr>
                  </w:pPr>
                  <w:r>
                    <w:rPr>
                      <w:rFonts w:hint="eastAsia"/>
                      <w:color w:val="auto"/>
                      <w:sz w:val="21"/>
                      <w:szCs w:val="21"/>
                      <w:highlight w:val="none"/>
                      <w:lang w:val="en-US" w:eastAsia="zh-CN"/>
                    </w:rPr>
                    <w:t>本项目综合室冬季供暖采用电暖气取暖，热风炉房、原粮库、干粮库等冬季无需供暖，项目不使用高污染燃料。</w:t>
                  </w:r>
                </w:p>
                <w:p w14:paraId="796F4E42">
                  <w:pPr>
                    <w:pStyle w:val="49"/>
                    <w:bidi w:val="0"/>
                    <w:rPr>
                      <w:rFonts w:hint="eastAsia"/>
                      <w:color w:val="auto"/>
                      <w:sz w:val="21"/>
                      <w:szCs w:val="21"/>
                      <w:highlight w:val="none"/>
                      <w:lang w:val="en-US" w:eastAsia="zh-CN"/>
                    </w:rPr>
                  </w:pPr>
                  <w:r>
                    <w:rPr>
                      <w:rFonts w:hint="default"/>
                      <w:color w:val="auto"/>
                      <w:sz w:val="21"/>
                      <w:szCs w:val="21"/>
                      <w:highlight w:val="none"/>
                      <w:lang w:val="en-US" w:eastAsia="zh-CN"/>
                    </w:rPr>
                    <w:t>本项目用水</w:t>
                  </w:r>
                  <w:r>
                    <w:rPr>
                      <w:rFonts w:hint="eastAsia"/>
                      <w:color w:val="auto"/>
                      <w:sz w:val="21"/>
                      <w:szCs w:val="21"/>
                      <w:highlight w:val="none"/>
                      <w:lang w:val="en-US" w:eastAsia="zh-CN"/>
                    </w:rPr>
                    <w:t>量较少</w:t>
                  </w:r>
                  <w:r>
                    <w:rPr>
                      <w:rFonts w:hint="default"/>
                      <w:color w:val="auto"/>
                      <w:sz w:val="21"/>
                      <w:szCs w:val="21"/>
                      <w:highlight w:val="none"/>
                      <w:lang w:val="en-US" w:eastAsia="zh-CN"/>
                    </w:rPr>
                    <w:t>。供电电源为当地市政电网供电，供电电源可靠，本项目资源消耗量相对于区域资源利用总量较小，符合资源利用</w:t>
                  </w:r>
                  <w:r>
                    <w:rPr>
                      <w:rFonts w:hint="eastAsia"/>
                      <w:color w:val="auto"/>
                      <w:sz w:val="21"/>
                      <w:szCs w:val="21"/>
                      <w:highlight w:val="none"/>
                      <w:lang w:val="en-US" w:eastAsia="zh-CN"/>
                    </w:rPr>
                    <w:t>上限</w:t>
                  </w:r>
                  <w:r>
                    <w:rPr>
                      <w:rFonts w:hint="default"/>
                      <w:color w:val="auto"/>
                      <w:sz w:val="21"/>
                      <w:szCs w:val="21"/>
                      <w:highlight w:val="none"/>
                      <w:lang w:val="en-US" w:eastAsia="zh-CN"/>
                    </w:rPr>
                    <w:t>要求。</w:t>
                  </w:r>
                </w:p>
              </w:tc>
            </w:tr>
            <w:tr w14:paraId="07C84FBE">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vAlign w:val="center"/>
                </w:tcPr>
                <w:p w14:paraId="43AD10C9">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四、</w:t>
                  </w:r>
                  <w:r>
                    <w:rPr>
                      <w:color w:val="auto"/>
                      <w:sz w:val="21"/>
                      <w:szCs w:val="21"/>
                      <w:highlight w:val="none"/>
                    </w:rPr>
                    <w:t>本项目与</w:t>
                  </w:r>
                  <w:r>
                    <w:rPr>
                      <w:rFonts w:hint="eastAsia"/>
                      <w:color w:val="auto"/>
                      <w:sz w:val="21"/>
                      <w:szCs w:val="21"/>
                      <w:highlight w:val="none"/>
                      <w:lang w:val="en-US" w:eastAsia="zh-CN"/>
                    </w:rPr>
                    <w:t>地下水管控区</w:t>
                  </w:r>
                  <w:r>
                    <w:rPr>
                      <w:color w:val="auto"/>
                      <w:sz w:val="21"/>
                      <w:szCs w:val="21"/>
                      <w:highlight w:val="none"/>
                    </w:rPr>
                    <w:t>符合性分析</w:t>
                  </w:r>
                </w:p>
              </w:tc>
            </w:tr>
          </w:tbl>
          <w:tbl>
            <w:tblPr>
              <w:tblStyle w:val="3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1"/>
              <w:gridCol w:w="435"/>
              <w:gridCol w:w="420"/>
              <w:gridCol w:w="4620"/>
              <w:gridCol w:w="1573"/>
            </w:tblGrid>
            <w:tr w14:paraId="2A0188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0" w:type="pct"/>
                  <w:tcBorders>
                    <w:tl2br w:val="nil"/>
                    <w:tr2bl w:val="nil"/>
                  </w:tcBorders>
                  <w:noWrap w:val="0"/>
                  <w:vAlign w:val="center"/>
                </w:tcPr>
                <w:p w14:paraId="6F9D07DD">
                  <w:pPr>
                    <w:pStyle w:val="60"/>
                    <w:bidi w:val="0"/>
                    <w:rPr>
                      <w:color w:val="auto"/>
                      <w:sz w:val="21"/>
                      <w:szCs w:val="21"/>
                      <w:highlight w:val="none"/>
                    </w:rPr>
                  </w:pPr>
                  <w:r>
                    <w:rPr>
                      <w:rFonts w:hint="eastAsia"/>
                      <w:color w:val="auto"/>
                      <w:sz w:val="21"/>
                      <w:szCs w:val="21"/>
                      <w:highlight w:val="none"/>
                      <w:lang w:val="en-US" w:eastAsia="zh-CN"/>
                    </w:rPr>
                    <w:t>环境</w:t>
                  </w:r>
                  <w:r>
                    <w:rPr>
                      <w:color w:val="auto"/>
                      <w:sz w:val="21"/>
                      <w:szCs w:val="21"/>
                      <w:highlight w:val="none"/>
                    </w:rPr>
                    <w:t>管控</w:t>
                  </w:r>
                  <w:r>
                    <w:rPr>
                      <w:rFonts w:hint="eastAsia"/>
                      <w:color w:val="auto"/>
                      <w:sz w:val="21"/>
                      <w:szCs w:val="21"/>
                      <w:highlight w:val="none"/>
                      <w:lang w:val="en-US" w:eastAsia="zh-CN"/>
                    </w:rPr>
                    <w:t>区</w:t>
                  </w:r>
                  <w:r>
                    <w:rPr>
                      <w:color w:val="auto"/>
                      <w:sz w:val="21"/>
                      <w:szCs w:val="21"/>
                      <w:highlight w:val="none"/>
                    </w:rPr>
                    <w:t>编码</w:t>
                  </w:r>
                </w:p>
              </w:tc>
              <w:tc>
                <w:tcPr>
                  <w:tcW w:w="290" w:type="pct"/>
                  <w:tcBorders>
                    <w:tl2br w:val="nil"/>
                    <w:tr2bl w:val="nil"/>
                  </w:tcBorders>
                  <w:noWrap w:val="0"/>
                  <w:vAlign w:val="center"/>
                </w:tcPr>
                <w:p w14:paraId="768FD79A">
                  <w:pPr>
                    <w:pStyle w:val="60"/>
                    <w:bidi w:val="0"/>
                    <w:rPr>
                      <w:color w:val="auto"/>
                      <w:sz w:val="21"/>
                      <w:szCs w:val="21"/>
                      <w:highlight w:val="none"/>
                    </w:rPr>
                  </w:pPr>
                  <w:r>
                    <w:rPr>
                      <w:color w:val="auto"/>
                      <w:sz w:val="21"/>
                      <w:szCs w:val="21"/>
                      <w:highlight w:val="none"/>
                    </w:rPr>
                    <w:t>环境管控</w:t>
                  </w:r>
                  <w:r>
                    <w:rPr>
                      <w:rFonts w:hint="eastAsia"/>
                      <w:color w:val="auto"/>
                      <w:sz w:val="21"/>
                      <w:szCs w:val="21"/>
                      <w:highlight w:val="none"/>
                      <w:lang w:val="en-US" w:eastAsia="zh-CN"/>
                    </w:rPr>
                    <w:t>区</w:t>
                  </w:r>
                  <w:r>
                    <w:rPr>
                      <w:color w:val="auto"/>
                      <w:sz w:val="21"/>
                      <w:szCs w:val="21"/>
                      <w:highlight w:val="none"/>
                    </w:rPr>
                    <w:t>名称</w:t>
                  </w:r>
                </w:p>
              </w:tc>
              <w:tc>
                <w:tcPr>
                  <w:tcW w:w="280" w:type="pct"/>
                  <w:tcBorders>
                    <w:tl2br w:val="nil"/>
                    <w:tr2bl w:val="nil"/>
                  </w:tcBorders>
                  <w:noWrap w:val="0"/>
                  <w:vAlign w:val="center"/>
                </w:tcPr>
                <w:p w14:paraId="17111400">
                  <w:pPr>
                    <w:pStyle w:val="60"/>
                    <w:bidi w:val="0"/>
                    <w:rPr>
                      <w:rFonts w:hint="default"/>
                      <w:color w:val="auto"/>
                      <w:sz w:val="21"/>
                      <w:szCs w:val="21"/>
                      <w:highlight w:val="none"/>
                      <w:lang w:val="en-US" w:eastAsia="zh-CN"/>
                    </w:rPr>
                  </w:pPr>
                  <w:r>
                    <w:rPr>
                      <w:color w:val="auto"/>
                      <w:sz w:val="21"/>
                      <w:szCs w:val="21"/>
                      <w:highlight w:val="none"/>
                    </w:rPr>
                    <w:t>管控</w:t>
                  </w:r>
                  <w:r>
                    <w:rPr>
                      <w:rFonts w:hint="eastAsia"/>
                      <w:color w:val="auto"/>
                      <w:sz w:val="21"/>
                      <w:szCs w:val="21"/>
                      <w:highlight w:val="none"/>
                      <w:lang w:val="en-US" w:eastAsia="zh-CN"/>
                    </w:rPr>
                    <w:t>区类型</w:t>
                  </w:r>
                </w:p>
              </w:tc>
              <w:tc>
                <w:tcPr>
                  <w:tcW w:w="3080" w:type="pct"/>
                  <w:tcBorders>
                    <w:tl2br w:val="nil"/>
                    <w:tr2bl w:val="nil"/>
                  </w:tcBorders>
                  <w:noWrap w:val="0"/>
                  <w:vAlign w:val="center"/>
                </w:tcPr>
                <w:p w14:paraId="31EC48EE">
                  <w:pPr>
                    <w:pStyle w:val="60"/>
                    <w:bidi w:val="0"/>
                    <w:rPr>
                      <w:color w:val="auto"/>
                      <w:sz w:val="21"/>
                      <w:szCs w:val="21"/>
                      <w:highlight w:val="none"/>
                    </w:rPr>
                  </w:pPr>
                  <w:r>
                    <w:rPr>
                      <w:color w:val="auto"/>
                      <w:sz w:val="21"/>
                      <w:szCs w:val="21"/>
                      <w:highlight w:val="none"/>
                    </w:rPr>
                    <w:t>管控要求</w:t>
                  </w:r>
                </w:p>
              </w:tc>
              <w:tc>
                <w:tcPr>
                  <w:tcW w:w="1048" w:type="pct"/>
                  <w:tcBorders>
                    <w:tl2br w:val="nil"/>
                    <w:tr2bl w:val="nil"/>
                  </w:tcBorders>
                  <w:noWrap w:val="0"/>
                  <w:vAlign w:val="center"/>
                </w:tcPr>
                <w:p w14:paraId="6D4FF7F5">
                  <w:pPr>
                    <w:pStyle w:val="60"/>
                    <w:bidi w:val="0"/>
                    <w:rPr>
                      <w:color w:val="auto"/>
                      <w:sz w:val="21"/>
                      <w:szCs w:val="21"/>
                      <w:highlight w:val="none"/>
                    </w:rPr>
                  </w:pPr>
                  <w:r>
                    <w:rPr>
                      <w:color w:val="auto"/>
                      <w:sz w:val="21"/>
                      <w:szCs w:val="21"/>
                      <w:highlight w:val="none"/>
                    </w:rPr>
                    <w:t>符合性</w:t>
                  </w:r>
                </w:p>
              </w:tc>
            </w:tr>
            <w:tr w14:paraId="3CA5C7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1" w:type="dxa"/>
                  <w:tcBorders>
                    <w:tl2br w:val="nil"/>
                    <w:tr2bl w:val="nil"/>
                  </w:tcBorders>
                  <w:noWrap w:val="0"/>
                  <w:vAlign w:val="center"/>
                </w:tcPr>
                <w:p w14:paraId="6E87414E">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YS2327216310001</w:t>
                  </w:r>
                </w:p>
              </w:tc>
              <w:tc>
                <w:tcPr>
                  <w:tcW w:w="435" w:type="dxa"/>
                  <w:tcBorders>
                    <w:tl2br w:val="nil"/>
                    <w:tr2bl w:val="nil"/>
                  </w:tcBorders>
                  <w:noWrap w:val="0"/>
                  <w:vAlign w:val="center"/>
                </w:tcPr>
                <w:p w14:paraId="47ECAA2F">
                  <w:pPr>
                    <w:pStyle w:val="48"/>
                    <w:bidi w:val="0"/>
                  </w:pPr>
                  <w:r>
                    <w:rPr>
                      <w:rFonts w:hint="eastAsia"/>
                      <w:lang w:val="en-US" w:eastAsia="zh-CN"/>
                    </w:rPr>
                    <w:t>呼玛县地下水环境一般管控</w:t>
                  </w:r>
                  <w:r>
                    <w:rPr>
                      <w:rFonts w:hint="eastAsia" w:ascii="宋体" w:hAnsi="宋体" w:eastAsia="宋体" w:cs="宋体"/>
                      <w:color w:val="000000"/>
                      <w:kern w:val="0"/>
                      <w:szCs w:val="21"/>
                      <w:lang w:val="en-US" w:eastAsia="zh-CN" w:bidi="ar"/>
                    </w:rPr>
                    <w:t>区</w:t>
                  </w:r>
                </w:p>
                <w:p w14:paraId="158057D6">
                  <w:pPr>
                    <w:pStyle w:val="60"/>
                    <w:bidi w:val="0"/>
                    <w:ind w:firstLine="0" w:firstLineChars="0"/>
                    <w:rPr>
                      <w:color w:val="auto"/>
                      <w:sz w:val="21"/>
                      <w:szCs w:val="21"/>
                      <w:highlight w:val="none"/>
                    </w:rPr>
                  </w:pPr>
                </w:p>
              </w:tc>
              <w:tc>
                <w:tcPr>
                  <w:tcW w:w="420" w:type="dxa"/>
                  <w:tcBorders>
                    <w:tl2br w:val="nil"/>
                    <w:tr2bl w:val="nil"/>
                  </w:tcBorders>
                  <w:noWrap w:val="0"/>
                  <w:vAlign w:val="center"/>
                </w:tcPr>
                <w:p w14:paraId="43410402">
                  <w:pPr>
                    <w:pStyle w:val="60"/>
                    <w:bidi w:val="0"/>
                    <w:ind w:firstLine="0" w:firstLineChars="0"/>
                    <w:rPr>
                      <w:color w:val="auto"/>
                      <w:sz w:val="21"/>
                      <w:szCs w:val="21"/>
                      <w:highlight w:val="none"/>
                    </w:rPr>
                  </w:pPr>
                  <w:r>
                    <w:rPr>
                      <w:rFonts w:hint="eastAsia"/>
                      <w:color w:val="auto"/>
                      <w:sz w:val="21"/>
                      <w:szCs w:val="21"/>
                      <w:highlight w:val="none"/>
                      <w:lang w:val="en-US" w:eastAsia="zh-CN"/>
                    </w:rPr>
                    <w:t>一般管控区</w:t>
                  </w:r>
                </w:p>
              </w:tc>
              <w:tc>
                <w:tcPr>
                  <w:tcW w:w="4620" w:type="dxa"/>
                  <w:tcBorders>
                    <w:tl2br w:val="nil"/>
                    <w:tr2bl w:val="nil"/>
                  </w:tcBorders>
                  <w:noWrap w:val="0"/>
                  <w:vAlign w:val="center"/>
                </w:tcPr>
                <w:p w14:paraId="0D11E881">
                  <w:pPr>
                    <w:pStyle w:val="49"/>
                    <w:bidi w:val="0"/>
                    <w:rPr>
                      <w:rFonts w:hint="eastAsia"/>
                      <w:color w:val="auto"/>
                      <w:sz w:val="21"/>
                      <w:szCs w:val="21"/>
                      <w:highlight w:val="none"/>
                    </w:rPr>
                  </w:pPr>
                  <w:r>
                    <w:rPr>
                      <w:rFonts w:hint="eastAsia"/>
                      <w:color w:val="auto"/>
                      <w:sz w:val="21"/>
                      <w:szCs w:val="21"/>
                      <w:highlight w:val="none"/>
                    </w:rPr>
                    <w:t>环境风险防控</w:t>
                  </w:r>
                </w:p>
                <w:p w14:paraId="576EAB32">
                  <w:pPr>
                    <w:pStyle w:val="49"/>
                    <w:bidi w:val="0"/>
                    <w:rPr>
                      <w:rFonts w:hint="eastAsia"/>
                      <w:color w:val="auto"/>
                      <w:sz w:val="21"/>
                      <w:szCs w:val="21"/>
                      <w:highlight w:val="none"/>
                    </w:rPr>
                  </w:pPr>
                  <w:r>
                    <w:rPr>
                      <w:rFonts w:hint="eastAsia"/>
                      <w:color w:val="auto"/>
                      <w:sz w:val="21"/>
                      <w:szCs w:val="21"/>
                      <w:highlight w:val="none"/>
                    </w:rPr>
                    <w:t>1.土壤污染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w:t>
                  </w:r>
                </w:p>
                <w:p w14:paraId="0C2BAA2E">
                  <w:pPr>
                    <w:pStyle w:val="49"/>
                    <w:bidi w:val="0"/>
                    <w:rPr>
                      <w:rFonts w:hint="eastAsia"/>
                      <w:color w:val="auto"/>
                      <w:sz w:val="21"/>
                      <w:szCs w:val="21"/>
                      <w:highlight w:val="none"/>
                    </w:rPr>
                  </w:pPr>
                  <w:r>
                    <w:rPr>
                      <w:rFonts w:hint="eastAsia"/>
                      <w:color w:val="auto"/>
                      <w:sz w:val="21"/>
                      <w:szCs w:val="21"/>
                      <w:highlight w:val="none"/>
                    </w:rPr>
                    <w:t>2.重点单位新、改、扩建项目地下储罐储存有毒有害物质的，应当在项目投入生产或者使用之前，将地下储罐的信息报所在地设区的市级生态环境主管部门备案。</w:t>
                  </w:r>
                </w:p>
                <w:p w14:paraId="5A55F4C9">
                  <w:pPr>
                    <w:pStyle w:val="49"/>
                    <w:bidi w:val="0"/>
                    <w:rPr>
                      <w:rFonts w:hint="eastAsia"/>
                      <w:color w:val="auto"/>
                      <w:sz w:val="21"/>
                      <w:szCs w:val="21"/>
                      <w:highlight w:val="none"/>
                    </w:rPr>
                  </w:pPr>
                  <w:r>
                    <w:rPr>
                      <w:rFonts w:hint="eastAsia"/>
                      <w:color w:val="auto"/>
                      <w:sz w:val="21"/>
                      <w:szCs w:val="21"/>
                      <w:highlight w:val="none"/>
                    </w:rPr>
                    <w:t>3.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p>
                <w:p w14:paraId="512BF9AF">
                  <w:pPr>
                    <w:pStyle w:val="49"/>
                    <w:bidi w:val="0"/>
                    <w:rPr>
                      <w:rFonts w:hint="eastAsia"/>
                      <w:color w:val="auto"/>
                      <w:sz w:val="21"/>
                      <w:szCs w:val="21"/>
                      <w:highlight w:val="none"/>
                    </w:rPr>
                  </w:pPr>
                  <w:r>
                    <w:rPr>
                      <w:rFonts w:hint="eastAsia"/>
                      <w:color w:val="auto"/>
                      <w:sz w:val="21"/>
                      <w:szCs w:val="21"/>
                      <w:highlight w:val="none"/>
                    </w:rPr>
                    <w:t>4.化学品生产企业以及工业集聚区、矿山开采区、尾矿库、危险废物处置场、垃圾填埋场等的运营、管理单位，应当采取防渗漏等措施，并建设地下水水质监测井进行监测，防止地下水污染。</w:t>
                  </w:r>
                </w:p>
                <w:p w14:paraId="78731A81">
                  <w:pPr>
                    <w:pStyle w:val="49"/>
                    <w:bidi w:val="0"/>
                    <w:ind w:firstLine="420" w:firstLineChars="200"/>
                    <w:rPr>
                      <w:color w:val="auto"/>
                      <w:sz w:val="21"/>
                      <w:szCs w:val="21"/>
                      <w:highlight w:val="none"/>
                    </w:rPr>
                  </w:pPr>
                  <w:r>
                    <w:rPr>
                      <w:rFonts w:hint="eastAsia"/>
                      <w:color w:val="auto"/>
                      <w:sz w:val="21"/>
                      <w:szCs w:val="21"/>
                      <w:highlight w:val="none"/>
                    </w:rPr>
                    <w:t>5.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1573" w:type="dxa"/>
                  <w:tcBorders>
                    <w:tl2br w:val="nil"/>
                    <w:tr2bl w:val="nil"/>
                  </w:tcBorders>
                  <w:noWrap w:val="0"/>
                  <w:vAlign w:val="center"/>
                </w:tcPr>
                <w:p w14:paraId="64DA1F23">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本项目不属于需考虑大气沉降影响的行业，且项目不涉及地面漫流等，建设项目敏感程度为不敏感。故本项目不需要开展土壤环境影响评价。全厂区地面均进行简单防渗处理，进行一般地面水泥硬化，不存在土壤、地下水环境污染途径。</w:t>
                  </w:r>
                </w:p>
                <w:p w14:paraId="0198854D">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项目不属于化学品生产企业以及工业集聚区、矿山开采区、尾矿库、危险废物处置场、垃圾填埋场等的运营、管理单位。</w:t>
                  </w:r>
                </w:p>
                <w:p w14:paraId="4D35E8E9">
                  <w:pPr>
                    <w:pStyle w:val="60"/>
                    <w:bidi w:val="0"/>
                    <w:ind w:firstLine="0" w:firstLineChars="0"/>
                    <w:rPr>
                      <w:rFonts w:hint="default"/>
                      <w:color w:val="auto"/>
                      <w:sz w:val="21"/>
                      <w:szCs w:val="21"/>
                      <w:highlight w:val="none"/>
                      <w:lang w:val="en-US" w:eastAsia="zh-CN"/>
                    </w:rPr>
                  </w:pPr>
                  <w:r>
                    <w:rPr>
                      <w:rFonts w:hint="default"/>
                      <w:color w:val="auto"/>
                      <w:sz w:val="21"/>
                      <w:szCs w:val="21"/>
                      <w:highlight w:val="none"/>
                      <w:lang w:val="en-US" w:eastAsia="zh-CN"/>
                    </w:rPr>
                    <w:t>综上，项目符合</w:t>
                  </w:r>
                  <w:r>
                    <w:rPr>
                      <w:rFonts w:hint="eastAsia"/>
                      <w:color w:val="auto"/>
                      <w:sz w:val="21"/>
                      <w:szCs w:val="21"/>
                      <w:highlight w:val="none"/>
                      <w:lang w:val="en-US" w:eastAsia="zh-CN"/>
                    </w:rPr>
                    <w:t>大兴安岭地区</w:t>
                  </w:r>
                  <w:r>
                    <w:rPr>
                      <w:rFonts w:hint="eastAsia"/>
                      <w:lang w:val="en-US" w:eastAsia="zh-CN"/>
                    </w:rPr>
                    <w:t>呼玛县</w:t>
                  </w:r>
                  <w:r>
                    <w:rPr>
                      <w:rFonts w:hint="default"/>
                      <w:color w:val="auto"/>
                      <w:sz w:val="21"/>
                      <w:szCs w:val="21"/>
                      <w:highlight w:val="none"/>
                      <w:lang w:val="en-US" w:eastAsia="zh-CN"/>
                    </w:rPr>
                    <w:t>一般管控区要求。</w:t>
                  </w:r>
                </w:p>
              </w:tc>
            </w:tr>
            <w:tr w14:paraId="7E1C2A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tcBorders>
                    <w:tl2br w:val="nil"/>
                    <w:tr2bl w:val="nil"/>
                  </w:tcBorders>
                  <w:noWrap w:val="0"/>
                  <w:vAlign w:val="center"/>
                </w:tcPr>
                <w:p w14:paraId="4E6013D6">
                  <w:pPr>
                    <w:pStyle w:val="60"/>
                    <w:bidi w:val="0"/>
                    <w:rPr>
                      <w:rFonts w:hint="default"/>
                      <w:color w:val="auto"/>
                      <w:sz w:val="21"/>
                      <w:szCs w:val="21"/>
                      <w:highlight w:val="none"/>
                      <w:lang w:val="en-US" w:eastAsia="zh-CN"/>
                    </w:rPr>
                  </w:pPr>
                  <w:r>
                    <w:rPr>
                      <w:rFonts w:hint="default"/>
                      <w:color w:val="auto"/>
                      <w:sz w:val="21"/>
                      <w:szCs w:val="21"/>
                      <w:highlight w:val="none"/>
                    </w:rPr>
                    <w:t>四、环境准入清单</w:t>
                  </w:r>
                </w:p>
              </w:tc>
            </w:tr>
          </w:tbl>
          <w:tbl>
            <w:tblPr>
              <w:tblStyle w:val="39"/>
              <w:tblW w:w="5000" w:type="pct"/>
              <w:jc w:val="center"/>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2"/>
              <w:gridCol w:w="459"/>
              <w:gridCol w:w="417"/>
              <w:gridCol w:w="4633"/>
              <w:gridCol w:w="1558"/>
            </w:tblGrid>
            <w:tr w14:paraId="12F0764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8" w:type="pct"/>
                  <w:tcBorders>
                    <w:tl2br w:val="nil"/>
                    <w:tr2bl w:val="nil"/>
                  </w:tcBorders>
                  <w:noWrap w:val="0"/>
                  <w:vAlign w:val="center"/>
                </w:tcPr>
                <w:p w14:paraId="1DEFC944">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环境管控单元编码</w:t>
                  </w:r>
                </w:p>
              </w:tc>
              <w:tc>
                <w:tcPr>
                  <w:tcW w:w="306" w:type="pct"/>
                  <w:tcBorders>
                    <w:tl2br w:val="nil"/>
                    <w:tr2bl w:val="nil"/>
                  </w:tcBorders>
                  <w:noWrap w:val="0"/>
                  <w:vAlign w:val="center"/>
                </w:tcPr>
                <w:p w14:paraId="47F4E876">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环境管控单元名称</w:t>
                  </w:r>
                </w:p>
              </w:tc>
              <w:tc>
                <w:tcPr>
                  <w:tcW w:w="278" w:type="pct"/>
                  <w:tcBorders>
                    <w:tl2br w:val="nil"/>
                    <w:tr2bl w:val="nil"/>
                  </w:tcBorders>
                  <w:noWrap w:val="0"/>
                  <w:vAlign w:val="center"/>
                </w:tcPr>
                <w:p w14:paraId="41FAF8F2">
                  <w:pPr>
                    <w:pStyle w:val="60"/>
                    <w:bidi w:val="0"/>
                    <w:rPr>
                      <w:rFonts w:hint="default"/>
                      <w:color w:val="auto"/>
                      <w:sz w:val="21"/>
                      <w:szCs w:val="21"/>
                      <w:highlight w:val="none"/>
                      <w:lang w:val="en-US" w:eastAsia="zh-CN"/>
                    </w:rPr>
                  </w:pPr>
                  <w:r>
                    <w:rPr>
                      <w:rFonts w:hint="default"/>
                      <w:color w:val="auto"/>
                      <w:sz w:val="21"/>
                      <w:szCs w:val="21"/>
                      <w:highlight w:val="none"/>
                      <w:lang w:val="en-US" w:eastAsia="zh-CN"/>
                    </w:rPr>
                    <w:t>管控单元类别</w:t>
                  </w:r>
                </w:p>
              </w:tc>
              <w:tc>
                <w:tcPr>
                  <w:tcW w:w="3089" w:type="pct"/>
                  <w:tcBorders>
                    <w:tl2br w:val="nil"/>
                    <w:tr2bl w:val="nil"/>
                  </w:tcBorders>
                  <w:noWrap w:val="0"/>
                  <w:vAlign w:val="center"/>
                </w:tcPr>
                <w:p w14:paraId="5A3F33A1">
                  <w:pPr>
                    <w:pStyle w:val="60"/>
                    <w:bidi w:val="0"/>
                    <w:rPr>
                      <w:rFonts w:hint="default"/>
                      <w:color w:val="auto"/>
                      <w:sz w:val="21"/>
                      <w:szCs w:val="21"/>
                      <w:highlight w:val="none"/>
                      <w:lang w:val="en-US" w:eastAsia="zh-CN"/>
                    </w:rPr>
                  </w:pPr>
                  <w:r>
                    <w:rPr>
                      <w:rFonts w:hint="default"/>
                      <w:color w:val="auto"/>
                      <w:sz w:val="21"/>
                      <w:szCs w:val="21"/>
                      <w:highlight w:val="none"/>
                    </w:rPr>
                    <w:t>管控要求</w:t>
                  </w:r>
                </w:p>
              </w:tc>
              <w:tc>
                <w:tcPr>
                  <w:tcW w:w="1038" w:type="pct"/>
                  <w:tcBorders>
                    <w:tl2br w:val="nil"/>
                    <w:tr2bl w:val="nil"/>
                  </w:tcBorders>
                  <w:noWrap w:val="0"/>
                  <w:vAlign w:val="center"/>
                </w:tcPr>
                <w:p w14:paraId="06B4A4C7">
                  <w:pPr>
                    <w:pStyle w:val="60"/>
                    <w:bidi w:val="0"/>
                    <w:rPr>
                      <w:rFonts w:hint="default"/>
                      <w:color w:val="auto"/>
                      <w:sz w:val="21"/>
                      <w:szCs w:val="21"/>
                      <w:highlight w:val="none"/>
                      <w:lang w:val="en-US" w:eastAsia="zh-CN"/>
                    </w:rPr>
                  </w:pPr>
                  <w:r>
                    <w:rPr>
                      <w:rFonts w:hint="default"/>
                      <w:color w:val="auto"/>
                      <w:sz w:val="21"/>
                      <w:szCs w:val="21"/>
                      <w:highlight w:val="none"/>
                    </w:rPr>
                    <w:t>符合性分析</w:t>
                  </w:r>
                </w:p>
              </w:tc>
            </w:tr>
            <w:tr w14:paraId="75A6E1C1">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288" w:type="pct"/>
                  <w:tcBorders>
                    <w:tl2br w:val="nil"/>
                    <w:tr2bl w:val="nil"/>
                  </w:tcBorders>
                  <w:noWrap w:val="0"/>
                  <w:vAlign w:val="center"/>
                </w:tcPr>
                <w:p w14:paraId="06B8A535">
                  <w:pPr>
                    <w:pStyle w:val="60"/>
                    <w:bidi w:val="0"/>
                    <w:ind w:firstLine="0" w:firstLineChars="0"/>
                    <w:rPr>
                      <w:rFonts w:hint="default"/>
                      <w:color w:val="auto"/>
                      <w:sz w:val="21"/>
                      <w:szCs w:val="21"/>
                      <w:highlight w:val="none"/>
                    </w:rPr>
                  </w:pPr>
                  <w:r>
                    <w:rPr>
                      <w:rFonts w:hint="default"/>
                      <w:color w:val="auto"/>
                      <w:sz w:val="21"/>
                      <w:szCs w:val="21"/>
                      <w:highlight w:val="none"/>
                      <w:lang w:val="en-US" w:eastAsia="zh-CN"/>
                    </w:rPr>
                    <w:t>ZH2308</w:t>
                  </w:r>
                  <w:r>
                    <w:rPr>
                      <w:rFonts w:hint="eastAsia"/>
                      <w:color w:val="auto"/>
                      <w:sz w:val="21"/>
                      <w:szCs w:val="21"/>
                      <w:highlight w:val="none"/>
                      <w:lang w:val="en-US" w:eastAsia="zh-CN"/>
                    </w:rPr>
                    <w:t>8230002</w:t>
                  </w:r>
                </w:p>
              </w:tc>
              <w:tc>
                <w:tcPr>
                  <w:tcW w:w="306" w:type="pct"/>
                  <w:tcBorders>
                    <w:tl2br w:val="nil"/>
                    <w:tr2bl w:val="nil"/>
                  </w:tcBorders>
                  <w:noWrap w:val="0"/>
                  <w:vAlign w:val="center"/>
                </w:tcPr>
                <w:p w14:paraId="23164E6C">
                  <w:pPr>
                    <w:pStyle w:val="60"/>
                    <w:bidi w:val="0"/>
                    <w:ind w:firstLine="0" w:firstLineChars="0"/>
                    <w:rPr>
                      <w:rFonts w:hint="default"/>
                      <w:color w:val="auto"/>
                      <w:sz w:val="21"/>
                      <w:szCs w:val="21"/>
                      <w:highlight w:val="none"/>
                      <w:lang w:val="en-US" w:eastAsia="zh-CN"/>
                    </w:rPr>
                  </w:pPr>
                  <w:r>
                    <w:rPr>
                      <w:rFonts w:hint="default"/>
                      <w:color w:val="auto"/>
                      <w:sz w:val="21"/>
                      <w:szCs w:val="21"/>
                      <w:highlight w:val="none"/>
                      <w:lang w:val="en-US" w:eastAsia="zh-CN"/>
                    </w:rPr>
                    <w:t>呼玛县其他区域</w:t>
                  </w:r>
                </w:p>
              </w:tc>
              <w:tc>
                <w:tcPr>
                  <w:tcW w:w="278" w:type="pct"/>
                  <w:tcBorders>
                    <w:tl2br w:val="nil"/>
                    <w:tr2bl w:val="nil"/>
                  </w:tcBorders>
                  <w:noWrap w:val="0"/>
                  <w:vAlign w:val="center"/>
                </w:tcPr>
                <w:p w14:paraId="1EAA3475">
                  <w:pPr>
                    <w:pStyle w:val="60"/>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一般管控单元</w:t>
                  </w:r>
                </w:p>
              </w:tc>
              <w:tc>
                <w:tcPr>
                  <w:tcW w:w="3089" w:type="pct"/>
                  <w:tcBorders>
                    <w:tl2br w:val="nil"/>
                    <w:tr2bl w:val="nil"/>
                  </w:tcBorders>
                  <w:noWrap w:val="0"/>
                  <w:vAlign w:val="center"/>
                </w:tcPr>
                <w:p w14:paraId="385BB601">
                  <w:pPr>
                    <w:pStyle w:val="49"/>
                    <w:bidi w:val="0"/>
                    <w:rPr>
                      <w:rFonts w:hint="eastAsia"/>
                      <w:lang w:val="en-US" w:eastAsia="zh-CN"/>
                    </w:rPr>
                  </w:pPr>
                  <w:r>
                    <w:rPr>
                      <w:rFonts w:hint="eastAsia"/>
                      <w:lang w:val="en-US" w:eastAsia="zh-CN"/>
                    </w:rPr>
                    <w:t>一、空间布局约束</w:t>
                  </w:r>
                </w:p>
                <w:p w14:paraId="13BA69B0">
                  <w:pPr>
                    <w:pStyle w:val="49"/>
                    <w:bidi w:val="0"/>
                    <w:rPr>
                      <w:rFonts w:hint="eastAsia"/>
                      <w:lang w:val="en-US" w:eastAsia="zh-CN"/>
                    </w:rPr>
                  </w:pPr>
                  <w:r>
                    <w:rPr>
                      <w:rFonts w:hint="eastAsia"/>
                      <w:lang w:val="en-US" w:eastAsia="zh-CN"/>
                    </w:rPr>
                    <w:t>1.引导工业项目向开发区集中，促进产业集聚、资源集约、绿色发展。 2.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p>
                <w:p w14:paraId="67B9BB8E">
                  <w:pPr>
                    <w:pStyle w:val="49"/>
                    <w:bidi w:val="0"/>
                    <w:rPr>
                      <w:rFonts w:hint="eastAsia"/>
                      <w:lang w:val="en-US" w:eastAsia="zh-CN"/>
                    </w:rPr>
                  </w:pPr>
                  <w:r>
                    <w:rPr>
                      <w:rFonts w:hint="eastAsia"/>
                      <w:lang w:val="en-US" w:eastAsia="zh-CN"/>
                    </w:rPr>
                    <w:t>二、污染物排放管控</w:t>
                  </w:r>
                </w:p>
                <w:p w14:paraId="4AF83CA1">
                  <w:pPr>
                    <w:pStyle w:val="49"/>
                    <w:bidi w:val="0"/>
                    <w:rPr>
                      <w:rFonts w:hint="eastAsia"/>
                      <w:lang w:val="en-US" w:eastAsia="zh-CN"/>
                    </w:rPr>
                  </w:pPr>
                  <w:r>
                    <w:rPr>
                      <w:rFonts w:hint="eastAsia"/>
                      <w:lang w:val="en-US" w:eastAsia="zh-CN"/>
                    </w:rPr>
                    <w:t>/</w:t>
                  </w:r>
                </w:p>
                <w:p w14:paraId="1312B7A3">
                  <w:pPr>
                    <w:pStyle w:val="49"/>
                    <w:bidi w:val="0"/>
                    <w:rPr>
                      <w:rFonts w:hint="eastAsia"/>
                      <w:lang w:val="en-US" w:eastAsia="zh-CN"/>
                    </w:rPr>
                  </w:pPr>
                  <w:r>
                    <w:rPr>
                      <w:rFonts w:hint="eastAsia"/>
                      <w:lang w:val="en-US" w:eastAsia="zh-CN"/>
                    </w:rPr>
                    <w:t>三、环境风险防控</w:t>
                  </w:r>
                </w:p>
                <w:p w14:paraId="59634B76">
                  <w:pPr>
                    <w:pStyle w:val="49"/>
                    <w:bidi w:val="0"/>
                    <w:rPr>
                      <w:rFonts w:hint="eastAsia"/>
                      <w:lang w:val="en-US" w:eastAsia="zh-CN"/>
                    </w:rPr>
                  </w:pPr>
                  <w:r>
                    <w:rPr>
                      <w:rFonts w:hint="eastAsia"/>
                      <w:lang w:val="en-US" w:eastAsia="zh-CN"/>
                    </w:rPr>
                    <w:t>/</w:t>
                  </w:r>
                </w:p>
                <w:p w14:paraId="7F339A07">
                  <w:pPr>
                    <w:pStyle w:val="49"/>
                    <w:bidi w:val="0"/>
                    <w:rPr>
                      <w:rFonts w:hint="eastAsia"/>
                      <w:lang w:val="en-US" w:eastAsia="zh-CN"/>
                    </w:rPr>
                  </w:pPr>
                  <w:r>
                    <w:rPr>
                      <w:rFonts w:hint="eastAsia"/>
                      <w:lang w:val="en-US" w:eastAsia="zh-CN"/>
                    </w:rPr>
                    <w:t>四、资源开发效率要求</w:t>
                  </w:r>
                </w:p>
                <w:p w14:paraId="6A2D9723">
                  <w:pPr>
                    <w:pStyle w:val="49"/>
                    <w:bidi w:val="0"/>
                    <w:rPr>
                      <w:rFonts w:hint="default"/>
                      <w:color w:val="auto"/>
                      <w:szCs w:val="21"/>
                      <w:highlight w:val="none"/>
                      <w:lang w:val="en-US" w:eastAsia="zh-CN"/>
                    </w:rPr>
                  </w:pPr>
                  <w:r>
                    <w:rPr>
                      <w:rFonts w:hint="eastAsia"/>
                      <w:lang w:val="en-US" w:eastAsia="zh-CN"/>
                    </w:rPr>
                    <w:t>/</w:t>
                  </w:r>
                </w:p>
              </w:tc>
              <w:tc>
                <w:tcPr>
                  <w:tcW w:w="1038" w:type="pct"/>
                  <w:tcBorders>
                    <w:tl2br w:val="nil"/>
                    <w:tr2bl w:val="nil"/>
                  </w:tcBorders>
                  <w:noWrap w:val="0"/>
                  <w:vAlign w:val="center"/>
                </w:tcPr>
                <w:p w14:paraId="5862EA9C">
                  <w:pPr>
                    <w:pStyle w:val="48"/>
                    <w:bidi w:val="0"/>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本项目不属于要求中的约束行业，</w:t>
                  </w:r>
                  <w:r>
                    <w:rPr>
                      <w:rFonts w:hint="default"/>
                      <w:color w:val="auto"/>
                      <w:sz w:val="21"/>
                      <w:szCs w:val="21"/>
                      <w:highlight w:val="none"/>
                      <w:lang w:val="en-US" w:eastAsia="zh-CN"/>
                    </w:rPr>
                    <w:t>符合管控要求。</w:t>
                  </w:r>
                </w:p>
              </w:tc>
            </w:tr>
          </w:tbl>
          <w:p w14:paraId="55F386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360" w:lineRule="auto"/>
              <w:ind w:leftChars="200" w:right="0" w:rightChars="0"/>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“一说明”</w:t>
            </w:r>
          </w:p>
          <w:p w14:paraId="52C434EA">
            <w:pPr>
              <w:pStyle w:val="46"/>
              <w:bidi w:val="0"/>
              <w:rPr>
                <w:rFonts w:hint="eastAsia"/>
                <w:color w:val="auto"/>
                <w:highlight w:val="none"/>
                <w:lang w:val="en-US" w:eastAsia="zh-CN"/>
              </w:rPr>
            </w:pPr>
            <w:r>
              <w:rPr>
                <w:rFonts w:hint="eastAsia"/>
                <w:color w:val="auto"/>
                <w:highlight w:val="none"/>
                <w:lang w:val="en-US" w:eastAsia="zh-CN"/>
              </w:rPr>
              <w:t>综上所述，本项目的建设符合《黑龙江省人民政府关于实施“三线一单”生态环境分区管控的意见》（黑政发〔2020〕14号）</w:t>
            </w:r>
            <w:r>
              <w:rPr>
                <w:rFonts w:hint="default"/>
                <w:highlight w:val="none"/>
                <w:lang w:eastAsia="zh-CN"/>
              </w:rPr>
              <w:t>、《</w:t>
            </w:r>
            <w:r>
              <w:rPr>
                <w:rFonts w:hint="eastAsia"/>
                <w:highlight w:val="none"/>
                <w:lang w:val="en-US" w:eastAsia="zh-CN"/>
              </w:rPr>
              <w:t>大</w:t>
            </w:r>
            <w:r>
              <w:rPr>
                <w:rFonts w:hint="eastAsia"/>
                <w:lang w:val="en-US" w:eastAsia="zh-CN"/>
              </w:rPr>
              <w:t>兴安岭地区</w:t>
            </w:r>
            <w:r>
              <w:rPr>
                <w:rFonts w:hint="default"/>
                <w:lang w:eastAsia="zh-CN"/>
              </w:rPr>
              <w:t>生态环境准入清单（2023年版）</w:t>
            </w:r>
            <w:r>
              <w:rPr>
                <w:rFonts w:hint="eastAsia"/>
                <w:lang w:eastAsia="zh-CN"/>
              </w:rPr>
              <w:t>》</w:t>
            </w:r>
            <w:r>
              <w:rPr>
                <w:rFonts w:hint="eastAsia"/>
                <w:lang w:val="en-US" w:eastAsia="zh-CN"/>
              </w:rPr>
              <w:t>及</w:t>
            </w:r>
            <w:r>
              <w:rPr>
                <w:rFonts w:hint="eastAsia"/>
                <w:color w:val="auto"/>
                <w:highlight w:val="none"/>
                <w:lang w:val="en-US" w:eastAsia="zh-CN"/>
              </w:rPr>
              <w:t>《呼玛县瑞和种植专业合作社建设项目生态环境分区管控分析报告》中的相关要求。</w:t>
            </w:r>
          </w:p>
          <w:p w14:paraId="7855ECD1">
            <w:pPr>
              <w:pStyle w:val="45"/>
              <w:rPr>
                <w:rFonts w:hint="eastAsia"/>
                <w:b/>
                <w:bCs/>
                <w:color w:val="auto"/>
                <w:highlight w:val="none"/>
              </w:rPr>
            </w:pPr>
            <w:r>
              <w:rPr>
                <w:rFonts w:hint="eastAsia"/>
                <w:b/>
                <w:bCs/>
                <w:color w:val="auto"/>
                <w:highlight w:val="none"/>
                <w:lang w:val="en-US" w:eastAsia="zh-CN"/>
              </w:rPr>
              <w:t>3.与《大兴安岭地区空气质量持续改善行动计划实施方案》</w:t>
            </w:r>
            <w:r>
              <w:rPr>
                <w:rFonts w:hint="eastAsia"/>
                <w:b/>
                <w:bCs/>
                <w:color w:val="auto"/>
                <w:highlight w:val="none"/>
              </w:rPr>
              <w:t>符合性分析</w:t>
            </w:r>
          </w:p>
          <w:p w14:paraId="01EDCA11">
            <w:pPr>
              <w:pStyle w:val="46"/>
              <w:bidi w:val="0"/>
              <w:rPr>
                <w:rFonts w:hint="eastAsia"/>
                <w:lang w:val="en-US" w:eastAsia="zh-CN"/>
              </w:rPr>
            </w:pPr>
            <w:r>
              <w:t>三、重点工作任务</w:t>
            </w:r>
          </w:p>
          <w:p w14:paraId="2AD8ED74">
            <w:pPr>
              <w:pStyle w:val="46"/>
              <w:bidi w:val="0"/>
            </w:pPr>
            <w:r>
              <w:t>（一）优化产业结构调整</w:t>
            </w:r>
          </w:p>
          <w:p w14:paraId="2D5E6B82">
            <w:pPr>
              <w:pStyle w:val="46"/>
              <w:bidi w:val="0"/>
              <w:rPr>
                <w:rFonts w:hint="eastAsia"/>
                <w:lang w:val="en-US" w:eastAsia="zh-CN"/>
              </w:rPr>
            </w:pPr>
            <w:r>
              <w:t>2.加快淘汰重点行业落后产能。</w:t>
            </w:r>
            <w:r>
              <w:rPr>
                <w:rFonts w:hint="eastAsia"/>
              </w:rPr>
              <w:t>严格执行《产业结构调整指导目录》要求，加快退出淘汰类产能、工艺、装备，提高限制类产能、工艺、装备淘汰改造引导力度。</w:t>
            </w:r>
          </w:p>
          <w:p w14:paraId="6EABC950">
            <w:pPr>
              <w:pStyle w:val="46"/>
              <w:bidi w:val="0"/>
              <w:rPr>
                <w:rFonts w:hint="eastAsia"/>
              </w:rPr>
            </w:pPr>
            <w:r>
              <w:t>（二）</w:t>
            </w:r>
            <w:r>
              <w:rPr>
                <w:rFonts w:hint="eastAsia"/>
              </w:rPr>
              <w:t>优化改善能源结构</w:t>
            </w:r>
          </w:p>
          <w:p w14:paraId="4796E188">
            <w:pPr>
              <w:pStyle w:val="46"/>
              <w:bidi w:val="0"/>
              <w:rPr>
                <w:rFonts w:hint="eastAsia"/>
              </w:rPr>
            </w:pPr>
            <w:r>
              <w:rPr>
                <w:rFonts w:hint="eastAsia"/>
              </w:rPr>
              <w:t>7.严控煤炭消费总量。原则上不再新增自备燃煤机组，按要求支持自备燃煤机组实施清洁能源替代。对支撑电力稳定供应、电网安全运行、清洁能源大规模并网消纳的煤电项目及其用煤量应予以合理保障。</w:t>
            </w:r>
          </w:p>
          <w:p w14:paraId="4C8BE825">
            <w:pPr>
              <w:pStyle w:val="46"/>
              <w:bidi w:val="0"/>
              <w:rPr>
                <w:rFonts w:hint="eastAsia"/>
              </w:rPr>
            </w:pPr>
            <w:r>
              <w:rPr>
                <w:rFonts w:hint="eastAsia"/>
              </w:rPr>
              <w:t>8.积极推进燃煤锅炉淘汰改造。各县（市、区）要将燃煤供热锅炉替代项目纳入城镇供热规划。县（市、区）及以上城市建成区原则上不再新建35蒸吨/小时及以下燃煤锅炉，其他地区原则上不再新建10蒸吨/小时及以下燃煤锅炉。加快热力管网建设，依托电厂、大型工业企业开展远距离供热示范，充分释放热电联产、工业余热等供热能力，淘汰管网覆盖范围内的供热燃煤锅炉和散煤。加格达奇区基本淘汰城市建成区35蒸吨/小时及以下燃煤锅炉。</w:t>
            </w:r>
          </w:p>
          <w:p w14:paraId="59A15925">
            <w:pPr>
              <w:pStyle w:val="46"/>
              <w:bidi w:val="0"/>
              <w:rPr>
                <w:rFonts w:hint="eastAsia"/>
              </w:rPr>
            </w:pPr>
            <w:r>
              <w:t>9.实施工业炉窑清洁能源替代。</w:t>
            </w:r>
            <w:r>
              <w:rPr>
                <w:rFonts w:hint="eastAsia"/>
              </w:rPr>
              <w:t>有序推进以电代煤，积极稳妥推进以气代煤。稳步推进在用高污染燃料的工业炉窑改用工业余热、电能、天然气等。</w:t>
            </w:r>
          </w:p>
          <w:p w14:paraId="4F91CDD6">
            <w:pPr>
              <w:pStyle w:val="46"/>
              <w:bidi w:val="0"/>
              <w:rPr>
                <w:rFonts w:hint="default"/>
                <w:lang w:val="en-US" w:eastAsia="zh-CN"/>
              </w:rPr>
            </w:pPr>
            <w:r>
              <w:rPr>
                <w:rFonts w:hint="eastAsia"/>
                <w:lang w:val="en-US" w:eastAsia="zh-CN"/>
              </w:rPr>
              <w:t>本项目</w:t>
            </w:r>
            <w:r>
              <w:rPr>
                <w:rFonts w:hint="default"/>
              </w:rPr>
              <w:t>所用设备及产品无《产业结构调整指导目录（2024年本）》中限制类中生产装置设备、淘汰类中落后生产工艺装备、落后产品</w:t>
            </w:r>
            <w:r>
              <w:rPr>
                <w:rFonts w:hint="default"/>
                <w:lang w:val="en-US" w:eastAsia="zh-CN"/>
              </w:rPr>
              <w:t>，符合相关政策</w:t>
            </w:r>
            <w:r>
              <w:t>。</w:t>
            </w:r>
            <w:r>
              <w:rPr>
                <w:rFonts w:hint="eastAsia"/>
                <w:lang w:val="en-US" w:eastAsia="zh-CN"/>
              </w:rPr>
              <w:t>本项目采用燃生物质成型燃料热风炉，不使用煤炭，运营期本项目</w:t>
            </w:r>
            <w:r>
              <w:rPr>
                <w:lang w:val="en-US" w:eastAsia="zh-CN"/>
              </w:rPr>
              <w:t>热风炉</w:t>
            </w:r>
            <w:r>
              <w:rPr>
                <w:rFonts w:hint="eastAsia"/>
                <w:lang w:val="en-US" w:eastAsia="zh-CN"/>
              </w:rPr>
              <w:t>废</w:t>
            </w:r>
            <w:r>
              <w:rPr>
                <w:lang w:val="en-US" w:eastAsia="zh-CN"/>
              </w:rPr>
              <w:t>气经布袋除尘器</w:t>
            </w:r>
            <w:r>
              <w:rPr>
                <w:rFonts w:hint="eastAsia"/>
                <w:lang w:val="en-US" w:eastAsia="zh-CN"/>
              </w:rPr>
              <w:t>（除尘效率99%）</w:t>
            </w:r>
            <w:r>
              <w:rPr>
                <w:lang w:val="en-US" w:eastAsia="zh-CN"/>
              </w:rPr>
              <w:t>处理后由15m高烟囱</w:t>
            </w:r>
            <w:r>
              <w:rPr>
                <w:rFonts w:hint="eastAsia"/>
                <w:lang w:val="en-US" w:eastAsia="zh-CN"/>
              </w:rPr>
              <w:t>（DA001）</w:t>
            </w:r>
            <w:r>
              <w:rPr>
                <w:lang w:val="en-US" w:eastAsia="zh-CN"/>
              </w:rPr>
              <w:t>排放</w:t>
            </w:r>
            <w:r>
              <w:rPr>
                <w:rFonts w:hint="eastAsia"/>
                <w:lang w:val="en-US" w:eastAsia="zh-CN"/>
              </w:rPr>
              <w:t>，项目建设符合《大兴安岭地区空气质量持续改善行动计划实施方案》要求。</w:t>
            </w:r>
          </w:p>
          <w:p w14:paraId="3E179DFA">
            <w:pPr>
              <w:pStyle w:val="46"/>
              <w:bidi w:val="0"/>
              <w:rPr>
                <w:rFonts w:hint="default"/>
                <w:b/>
                <w:bCs/>
                <w:color w:val="auto"/>
                <w:highlight w:val="none"/>
                <w:lang w:val="en-US" w:eastAsia="zh-CN"/>
              </w:rPr>
            </w:pPr>
            <w:r>
              <w:rPr>
                <w:rFonts w:hint="eastAsia"/>
                <w:b/>
                <w:bCs/>
                <w:color w:val="auto"/>
                <w:highlight w:val="none"/>
                <w:lang w:val="en-US" w:eastAsia="zh-CN"/>
              </w:rPr>
              <w:t>4.</w:t>
            </w:r>
            <w:r>
              <w:rPr>
                <w:rFonts w:hint="default"/>
                <w:b/>
                <w:bCs/>
                <w:color w:val="auto"/>
                <w:highlight w:val="none"/>
                <w:lang w:val="en-US" w:eastAsia="zh-CN"/>
              </w:rPr>
              <w:t>与《关于印发</w:t>
            </w:r>
            <w:r>
              <w:rPr>
                <w:rFonts w:hint="eastAsia"/>
                <w:b/>
                <w:bCs/>
                <w:color w:val="auto"/>
                <w:highlight w:val="none"/>
                <w:lang w:val="en-US" w:eastAsia="zh-CN"/>
              </w:rPr>
              <w:t>〈</w:t>
            </w:r>
            <w:r>
              <w:rPr>
                <w:rFonts w:hint="default"/>
                <w:b/>
                <w:bCs/>
                <w:color w:val="auto"/>
                <w:highlight w:val="none"/>
                <w:lang w:val="en-US" w:eastAsia="zh-CN"/>
              </w:rPr>
              <w:t>工业炉窑大气污染综合治理方案</w:t>
            </w:r>
            <w:r>
              <w:rPr>
                <w:rFonts w:hint="eastAsia"/>
                <w:b/>
                <w:bCs/>
                <w:color w:val="auto"/>
                <w:highlight w:val="none"/>
                <w:lang w:val="en-US" w:eastAsia="zh-CN"/>
              </w:rPr>
              <w:t>〉</w:t>
            </w:r>
            <w:r>
              <w:rPr>
                <w:rFonts w:hint="default"/>
                <w:b/>
                <w:bCs/>
                <w:color w:val="auto"/>
                <w:highlight w:val="none"/>
                <w:lang w:val="en-US" w:eastAsia="zh-CN"/>
              </w:rPr>
              <w:t>的通知》（环大气〔2019〕56号）符合性分析</w:t>
            </w:r>
          </w:p>
          <w:p w14:paraId="4002292D">
            <w:pPr>
              <w:pStyle w:val="46"/>
              <w:bidi w:val="0"/>
              <w:rPr>
                <w:rFonts w:hint="eastAsia"/>
                <w:color w:val="auto"/>
                <w:highlight w:val="none"/>
                <w:lang w:val="en-US" w:eastAsia="zh-CN"/>
              </w:rPr>
            </w:pPr>
            <w:r>
              <w:rPr>
                <w:rFonts w:hint="eastAsia"/>
                <w:color w:val="auto"/>
                <w:highlight w:val="none"/>
                <w:lang w:val="en-US" w:eastAsia="zh-CN"/>
              </w:rPr>
              <w:t>根据《关于印发〈工业炉窑大气污染综合治理方案〉的通知》（环大气〔2019〕56号），生态环境部等部门为贯彻落实《国务院关于印发打赢蓝天保卫战三年行动计划的通知》有关要求，指导各地加强工业炉窑大气污染综合治理，协同控制温室气体排放，促进产业高质量发展，制定了《工业炉窑大气污染综合治理方案》。方案中与本项目有关的重点任务内容对照分析如下：</w:t>
            </w:r>
          </w:p>
          <w:p w14:paraId="6484401E">
            <w:pPr>
              <w:pStyle w:val="50"/>
              <w:bidi w:val="0"/>
              <w:rPr>
                <w:rFonts w:hint="default"/>
                <w:color w:val="auto"/>
                <w:highlight w:val="none"/>
                <w:lang w:val="en-US" w:eastAsia="zh-CN"/>
              </w:rPr>
            </w:pPr>
            <w:r>
              <w:rPr>
                <w:rFonts w:hint="default"/>
                <w:color w:val="auto"/>
                <w:highlight w:val="none"/>
                <w:lang w:val="en-US" w:eastAsia="zh-CN"/>
              </w:rPr>
              <w:t>表1-</w:t>
            </w:r>
            <w:r>
              <w:rPr>
                <w:rFonts w:hint="eastAsia"/>
                <w:color w:val="auto"/>
                <w:highlight w:val="none"/>
                <w:lang w:val="en-US" w:eastAsia="zh-CN"/>
              </w:rPr>
              <w:t>3</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与《工业炉窑大气污染综合治理方案》符合性分析</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99"/>
              <w:gridCol w:w="3025"/>
              <w:gridCol w:w="675"/>
            </w:tblGrid>
            <w:tr w14:paraId="304F9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9" w:type="dxa"/>
                  <w:noWrap w:val="0"/>
                  <w:vAlign w:val="center"/>
                </w:tcPr>
                <w:p w14:paraId="6076E78A">
                  <w:pPr>
                    <w:pStyle w:val="60"/>
                    <w:bidi w:val="0"/>
                    <w:rPr>
                      <w:rFonts w:hint="eastAsia"/>
                      <w:color w:val="auto"/>
                      <w:sz w:val="21"/>
                      <w:szCs w:val="21"/>
                      <w:highlight w:val="none"/>
                      <w:lang w:val="en-US" w:eastAsia="zh-CN"/>
                    </w:rPr>
                  </w:pPr>
                  <w:r>
                    <w:rPr>
                      <w:rFonts w:hint="default"/>
                      <w:color w:val="auto"/>
                      <w:sz w:val="21"/>
                      <w:szCs w:val="21"/>
                      <w:highlight w:val="none"/>
                    </w:rPr>
                    <w:t>《工业炉窑大气污染综合治理方案》</w:t>
                  </w:r>
                  <w:r>
                    <w:rPr>
                      <w:rFonts w:hint="eastAsia"/>
                      <w:color w:val="auto"/>
                      <w:sz w:val="21"/>
                      <w:szCs w:val="21"/>
                      <w:highlight w:val="none"/>
                      <w:lang w:val="en-US" w:eastAsia="zh-CN"/>
                    </w:rPr>
                    <w:t>重点任务</w:t>
                  </w:r>
                </w:p>
              </w:tc>
              <w:tc>
                <w:tcPr>
                  <w:tcW w:w="3025" w:type="dxa"/>
                  <w:noWrap w:val="0"/>
                  <w:vAlign w:val="center"/>
                </w:tcPr>
                <w:p w14:paraId="26CAB68D">
                  <w:pPr>
                    <w:pStyle w:val="60"/>
                    <w:bidi w:val="0"/>
                    <w:rPr>
                      <w:rFonts w:hint="default"/>
                      <w:color w:val="auto"/>
                      <w:sz w:val="21"/>
                      <w:szCs w:val="21"/>
                      <w:highlight w:val="none"/>
                    </w:rPr>
                  </w:pPr>
                  <w:r>
                    <w:rPr>
                      <w:rFonts w:hint="eastAsia"/>
                      <w:color w:val="auto"/>
                      <w:sz w:val="21"/>
                      <w:szCs w:val="21"/>
                      <w:highlight w:val="none"/>
                      <w:lang w:val="en-US" w:eastAsia="zh-CN"/>
                    </w:rPr>
                    <w:t>本项目</w:t>
                  </w:r>
                  <w:r>
                    <w:rPr>
                      <w:rFonts w:hint="default"/>
                      <w:color w:val="auto"/>
                      <w:sz w:val="21"/>
                      <w:szCs w:val="21"/>
                      <w:highlight w:val="none"/>
                    </w:rPr>
                    <w:t>符合性分析</w:t>
                  </w:r>
                </w:p>
              </w:tc>
              <w:tc>
                <w:tcPr>
                  <w:tcW w:w="675" w:type="dxa"/>
                  <w:noWrap w:val="0"/>
                  <w:vAlign w:val="center"/>
                </w:tcPr>
                <w:p w14:paraId="01CE037B">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符合性</w:t>
                  </w:r>
                </w:p>
              </w:tc>
            </w:tr>
            <w:tr w14:paraId="707F8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9" w:type="dxa"/>
                  <w:noWrap w:val="0"/>
                  <w:vAlign w:val="center"/>
                </w:tcPr>
                <w:p w14:paraId="6621797E">
                  <w:pPr>
                    <w:pStyle w:val="49"/>
                    <w:bidi w:val="0"/>
                    <w:rPr>
                      <w:rFonts w:hint="default"/>
                      <w:color w:val="auto"/>
                      <w:sz w:val="21"/>
                      <w:szCs w:val="21"/>
                      <w:highlight w:val="none"/>
                      <w:lang w:eastAsia="zh-CN"/>
                    </w:rPr>
                  </w:pPr>
                  <w:r>
                    <w:rPr>
                      <w:rFonts w:hint="default"/>
                      <w:color w:val="auto"/>
                      <w:sz w:val="21"/>
                      <w:szCs w:val="21"/>
                      <w:highlight w:val="none"/>
                      <w:lang w:eastAsia="zh-CN"/>
                    </w:rPr>
                    <w:t>加大产业结构调整力度。</w:t>
                  </w:r>
                </w:p>
                <w:p w14:paraId="3FC12EF2">
                  <w:pPr>
                    <w:pStyle w:val="49"/>
                    <w:bidi w:val="0"/>
                    <w:rPr>
                      <w:rFonts w:hint="default"/>
                      <w:color w:val="auto"/>
                      <w:sz w:val="21"/>
                      <w:szCs w:val="21"/>
                      <w:highlight w:val="none"/>
                      <w:lang w:eastAsia="zh-CN"/>
                    </w:rPr>
                  </w:pPr>
                  <w:r>
                    <w:rPr>
                      <w:rFonts w:hint="default"/>
                      <w:color w:val="auto"/>
                      <w:sz w:val="21"/>
                      <w:szCs w:val="21"/>
                      <w:highlight w:val="none"/>
                      <w:lang w:eastAsia="zh-CN"/>
                    </w:rPr>
                    <w:t>加大落后产能和不达标工业炉窑淘汰力度。分行业清理《产业结构调整指导目录》淘汰类工业炉窑。</w:t>
                  </w:r>
                </w:p>
                <w:p w14:paraId="04BC121B">
                  <w:pPr>
                    <w:pStyle w:val="49"/>
                    <w:bidi w:val="0"/>
                    <w:rPr>
                      <w:rFonts w:hint="default"/>
                      <w:color w:val="auto"/>
                      <w:sz w:val="21"/>
                      <w:szCs w:val="21"/>
                      <w:highlight w:val="none"/>
                      <w:lang w:eastAsia="zh-CN"/>
                    </w:rPr>
                  </w:pPr>
                  <w:r>
                    <w:rPr>
                      <w:rFonts w:hint="default"/>
                      <w:color w:val="auto"/>
                      <w:sz w:val="21"/>
                      <w:szCs w:val="21"/>
                      <w:highlight w:val="none"/>
                      <w:lang w:eastAsia="zh-CN"/>
                    </w:rPr>
                    <w:t>对热效率低下、敞开未封闭，装备简易落后、自动化程度低，无组织排放突出，以及无治理设施或治理设施工艺落后等严重污染环境的工业炉窑，依法责令停业关闭。</w:t>
                  </w:r>
                </w:p>
              </w:tc>
              <w:tc>
                <w:tcPr>
                  <w:tcW w:w="3025" w:type="dxa"/>
                  <w:noWrap w:val="0"/>
                  <w:vAlign w:val="center"/>
                </w:tcPr>
                <w:p w14:paraId="0EC78873">
                  <w:pPr>
                    <w:pStyle w:val="49"/>
                    <w:bidi w:val="0"/>
                    <w:rPr>
                      <w:rFonts w:hint="eastAsia"/>
                      <w:color w:val="auto"/>
                      <w:sz w:val="21"/>
                      <w:szCs w:val="21"/>
                      <w:highlight w:val="none"/>
                      <w:lang w:val="en-US" w:eastAsia="zh-CN"/>
                    </w:rPr>
                  </w:pPr>
                  <w:r>
                    <w:rPr>
                      <w:rFonts w:hint="eastAsia"/>
                      <w:color w:val="auto"/>
                      <w:sz w:val="21"/>
                      <w:szCs w:val="21"/>
                      <w:highlight w:val="none"/>
                      <w:lang w:val="en-US" w:eastAsia="zh-CN"/>
                    </w:rPr>
                    <w:t>对照《产业结构调整指导目录（2024年本）》，本项目采用燃生物质成型燃料热风炉，不属于限制类及淘汰类</w:t>
                  </w:r>
                  <w:r>
                    <w:rPr>
                      <w:rFonts w:hint="default"/>
                      <w:color w:val="auto"/>
                      <w:sz w:val="21"/>
                      <w:szCs w:val="21"/>
                      <w:highlight w:val="none"/>
                      <w:lang w:val="en-US" w:eastAsia="zh-CN"/>
                    </w:rPr>
                    <w:t>工业炉窑</w:t>
                  </w:r>
                  <w:r>
                    <w:rPr>
                      <w:rFonts w:hint="eastAsia"/>
                      <w:color w:val="auto"/>
                      <w:sz w:val="21"/>
                      <w:szCs w:val="21"/>
                      <w:highlight w:val="none"/>
                      <w:lang w:val="en-US" w:eastAsia="zh-CN"/>
                    </w:rPr>
                    <w:t>。</w:t>
                  </w:r>
                </w:p>
                <w:p w14:paraId="4BC806C6">
                  <w:pPr>
                    <w:pStyle w:val="49"/>
                    <w:bidi w:val="0"/>
                    <w:rPr>
                      <w:rFonts w:hint="default"/>
                      <w:color w:val="auto"/>
                      <w:sz w:val="21"/>
                      <w:szCs w:val="21"/>
                      <w:highlight w:val="none"/>
                      <w:lang w:val="en-US" w:eastAsia="zh-CN"/>
                    </w:rPr>
                  </w:pPr>
                  <w:r>
                    <w:rPr>
                      <w:rFonts w:hint="eastAsia"/>
                      <w:color w:val="auto"/>
                      <w:sz w:val="21"/>
                      <w:szCs w:val="21"/>
                      <w:highlight w:val="none"/>
                      <w:lang w:val="en-US" w:eastAsia="zh-CN"/>
                    </w:rPr>
                    <w:t>本项目采用的热风炉热效率不低于80%，炉体封闭，热风炉烟气采用布袋除尘器处理达标后高空排放，不属于</w:t>
                  </w:r>
                  <w:r>
                    <w:rPr>
                      <w:rFonts w:hint="default"/>
                      <w:color w:val="auto"/>
                      <w:sz w:val="21"/>
                      <w:szCs w:val="21"/>
                      <w:highlight w:val="none"/>
                      <w:lang w:eastAsia="zh-CN"/>
                    </w:rPr>
                    <w:t>热效率低下、敞开未封闭，装备简易落后、自动化程度低，无组织排放突出，以及无治理设施或治理设施工艺落后等严重污染环境的工业炉窑</w:t>
                  </w:r>
                  <w:r>
                    <w:rPr>
                      <w:rFonts w:hint="eastAsia"/>
                      <w:color w:val="auto"/>
                      <w:sz w:val="21"/>
                      <w:szCs w:val="21"/>
                      <w:highlight w:val="none"/>
                      <w:lang w:eastAsia="zh-CN"/>
                    </w:rPr>
                    <w:t>。</w:t>
                  </w:r>
                </w:p>
              </w:tc>
              <w:tc>
                <w:tcPr>
                  <w:tcW w:w="675" w:type="dxa"/>
                  <w:noWrap w:val="0"/>
                  <w:vAlign w:val="center"/>
                </w:tcPr>
                <w:p w14:paraId="4C432EE9">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0D39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9" w:type="dxa"/>
                  <w:noWrap w:val="0"/>
                  <w:vAlign w:val="center"/>
                </w:tcPr>
                <w:p w14:paraId="776E8F6A">
                  <w:pPr>
                    <w:pStyle w:val="49"/>
                    <w:bidi w:val="0"/>
                    <w:rPr>
                      <w:rFonts w:hint="default"/>
                      <w:color w:val="auto"/>
                      <w:sz w:val="21"/>
                      <w:szCs w:val="21"/>
                      <w:highlight w:val="none"/>
                      <w:lang w:val="en-US" w:eastAsia="zh-CN"/>
                    </w:rPr>
                  </w:pPr>
                  <w:r>
                    <w:rPr>
                      <w:rFonts w:hint="default"/>
                      <w:color w:val="auto"/>
                      <w:sz w:val="21"/>
                      <w:szCs w:val="21"/>
                      <w:highlight w:val="none"/>
                      <w:lang w:val="en-US" w:eastAsia="zh-CN"/>
                    </w:rPr>
                    <w:t>（二）加快燃料清洁低碳化替代。</w:t>
                  </w:r>
                </w:p>
                <w:p w14:paraId="2F265359">
                  <w:pPr>
                    <w:pStyle w:val="49"/>
                    <w:bidi w:val="0"/>
                    <w:rPr>
                      <w:rFonts w:hint="default"/>
                      <w:color w:val="auto"/>
                      <w:sz w:val="21"/>
                      <w:szCs w:val="21"/>
                      <w:highlight w:val="none"/>
                      <w:lang w:val="en-US" w:eastAsia="zh-CN"/>
                    </w:rPr>
                  </w:pPr>
                  <w:r>
                    <w:rPr>
                      <w:rFonts w:hint="default"/>
                      <w:color w:val="auto"/>
                      <w:sz w:val="21"/>
                      <w:szCs w:val="21"/>
                      <w:highlight w:val="none"/>
                      <w:lang w:val="en-US" w:eastAsia="zh-CN"/>
                    </w:rPr>
                    <w:t>加快淘汰燃煤工业炉窑。重点区域取缔燃煤热风炉，基本淘汰热电联产供热管网覆盖范围内的燃煤加热、烘干炉（窑）。</w:t>
                  </w:r>
                </w:p>
              </w:tc>
              <w:tc>
                <w:tcPr>
                  <w:tcW w:w="3025" w:type="dxa"/>
                  <w:noWrap w:val="0"/>
                  <w:vAlign w:val="center"/>
                </w:tcPr>
                <w:p w14:paraId="2450F62E">
                  <w:pPr>
                    <w:pStyle w:val="49"/>
                    <w:bidi w:val="0"/>
                    <w:rPr>
                      <w:rFonts w:hint="default"/>
                      <w:color w:val="auto"/>
                      <w:sz w:val="21"/>
                      <w:szCs w:val="21"/>
                      <w:highlight w:val="none"/>
                      <w:lang w:val="en-US" w:eastAsia="zh-CN"/>
                    </w:rPr>
                  </w:pPr>
                  <w:r>
                    <w:rPr>
                      <w:rFonts w:hint="eastAsia"/>
                      <w:color w:val="auto"/>
                      <w:sz w:val="21"/>
                      <w:szCs w:val="21"/>
                      <w:highlight w:val="none"/>
                      <w:lang w:val="en-US" w:eastAsia="zh-CN"/>
                    </w:rPr>
                    <w:t>本项目采用燃生物质成型燃料热风炉。</w:t>
                  </w:r>
                </w:p>
              </w:tc>
              <w:tc>
                <w:tcPr>
                  <w:tcW w:w="675" w:type="dxa"/>
                  <w:noWrap w:val="0"/>
                  <w:vAlign w:val="center"/>
                </w:tcPr>
                <w:p w14:paraId="13015D59">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98A4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9" w:type="dxa"/>
                  <w:noWrap w:val="0"/>
                  <w:vAlign w:val="center"/>
                </w:tcPr>
                <w:p w14:paraId="3862366D">
                  <w:pPr>
                    <w:pStyle w:val="49"/>
                    <w:bidi w:val="0"/>
                    <w:rPr>
                      <w:rFonts w:hint="eastAsia" w:eastAsia="宋体"/>
                      <w:color w:val="auto"/>
                      <w:sz w:val="21"/>
                      <w:szCs w:val="21"/>
                      <w:highlight w:val="none"/>
                      <w:lang w:val="en-US" w:eastAsia="zh-CN"/>
                    </w:rPr>
                  </w:pPr>
                  <w:r>
                    <w:rPr>
                      <w:rFonts w:hint="default"/>
                      <w:color w:val="auto"/>
                      <w:sz w:val="21"/>
                      <w:szCs w:val="21"/>
                      <w:highlight w:val="none"/>
                      <w:lang w:val="en-US" w:eastAsia="zh-CN"/>
                    </w:rPr>
                    <w:t>实施污染深度治理。推进工业炉窑全面达标排放。已有行业排放标准的工业炉窑，严格执行行业排放标准相关规定，配套建设高效脱硫脱硝除尘设施，确保稳定达标排放</w:t>
                  </w:r>
                  <w:r>
                    <w:rPr>
                      <w:rFonts w:hint="eastAsia"/>
                      <w:color w:val="auto"/>
                      <w:sz w:val="21"/>
                      <w:szCs w:val="21"/>
                      <w:highlight w:val="none"/>
                      <w:lang w:val="en-US" w:eastAsia="zh-CN"/>
                    </w:rPr>
                    <w:t>。</w:t>
                  </w:r>
                  <w:r>
                    <w:rPr>
                      <w:rFonts w:hint="default" w:ascii="Times New Roman" w:hAnsi="Times New Roman" w:eastAsia="宋体" w:cs="Times New Roman"/>
                      <w:bCs/>
                      <w:color w:val="auto"/>
                      <w:szCs w:val="21"/>
                      <w:highlight w:val="none"/>
                    </w:rPr>
                    <w:t>已制定更严格地方排放标准的，按地方标准执行。重点区域钢铁、水泥、焦化、石化、化工、有色等行业，二氧化硫、氮氧化物、颗粒物、挥发性有机物（VOCs）排放全面执行大气污染物特别排放限值。已核发排污许可证的，应严格执行许可要求</w:t>
                  </w:r>
                  <w:r>
                    <w:rPr>
                      <w:rFonts w:hint="eastAsia" w:cs="Times New Roman"/>
                      <w:bCs/>
                      <w:color w:val="auto"/>
                      <w:szCs w:val="21"/>
                      <w:highlight w:val="none"/>
                      <w:lang w:eastAsia="zh-CN"/>
                    </w:rPr>
                    <w:t>。</w:t>
                  </w:r>
                </w:p>
              </w:tc>
              <w:tc>
                <w:tcPr>
                  <w:tcW w:w="3025" w:type="dxa"/>
                  <w:noWrap w:val="0"/>
                  <w:vAlign w:val="center"/>
                </w:tcPr>
                <w:p w14:paraId="25DDA491">
                  <w:pPr>
                    <w:pStyle w:val="49"/>
                    <w:bidi w:val="0"/>
                    <w:rPr>
                      <w:rFonts w:hint="eastAsia"/>
                      <w:color w:val="auto"/>
                      <w:sz w:val="21"/>
                      <w:szCs w:val="21"/>
                      <w:highlight w:val="none"/>
                      <w:lang w:val="en-US" w:eastAsia="zh-CN"/>
                    </w:rPr>
                  </w:pPr>
                  <w:r>
                    <w:rPr>
                      <w:rFonts w:hint="eastAsia"/>
                      <w:color w:val="auto"/>
                      <w:sz w:val="21"/>
                      <w:szCs w:val="21"/>
                      <w:highlight w:val="none"/>
                      <w:lang w:val="en-US" w:eastAsia="zh-CN"/>
                    </w:rPr>
                    <w:t>本项目属于农产品初加工活动，使用的热风炉属于干燥炉，执行《工业炉窑大气污染物排放标准》（GB9078-1996）表2、表4中二级标准限值要求。热风炉燃用生物质成型燃料，烟气通过布袋除尘器净化处理后由15m高烟囱排放，烟气中颗粒物、SO</w:t>
                  </w:r>
                  <w:r>
                    <w:rPr>
                      <w:rFonts w:hint="eastAsia"/>
                      <w:color w:val="auto"/>
                      <w:sz w:val="21"/>
                      <w:szCs w:val="21"/>
                      <w:highlight w:val="none"/>
                      <w:vertAlign w:val="subscript"/>
                      <w:lang w:val="en-US" w:eastAsia="zh-CN"/>
                    </w:rPr>
                    <w:t>2</w:t>
                  </w:r>
                  <w:r>
                    <w:rPr>
                      <w:rFonts w:hint="eastAsia"/>
                      <w:color w:val="auto"/>
                      <w:sz w:val="21"/>
                      <w:szCs w:val="21"/>
                      <w:highlight w:val="none"/>
                      <w:lang w:val="en-US" w:eastAsia="zh-CN"/>
                    </w:rPr>
                    <w:t>、NOx、烟气黑度等污染物均可达标排放。</w:t>
                  </w:r>
                </w:p>
                <w:p w14:paraId="446B209B">
                  <w:pPr>
                    <w:pStyle w:val="49"/>
                    <w:bidi w:val="0"/>
                    <w:rPr>
                      <w:rFonts w:hint="default"/>
                      <w:color w:val="auto"/>
                      <w:highlight w:val="none"/>
                      <w:lang w:val="en-US" w:eastAsia="zh-CN"/>
                    </w:rPr>
                  </w:pPr>
                  <w:r>
                    <w:rPr>
                      <w:rFonts w:hint="default"/>
                      <w:color w:val="auto"/>
                      <w:highlight w:val="none"/>
                    </w:rPr>
                    <w:t>本项目建成后将积极进行排污许可证申领工作，取得后将严格按照排污许可要求进行项目运营管理</w:t>
                  </w:r>
                  <w:r>
                    <w:rPr>
                      <w:rFonts w:hint="eastAsia"/>
                      <w:color w:val="auto"/>
                      <w:highlight w:val="none"/>
                      <w:lang w:eastAsia="zh-CN"/>
                    </w:rPr>
                    <w:t>。</w:t>
                  </w:r>
                </w:p>
              </w:tc>
              <w:tc>
                <w:tcPr>
                  <w:tcW w:w="675" w:type="dxa"/>
                  <w:noWrap w:val="0"/>
                  <w:vAlign w:val="center"/>
                </w:tcPr>
                <w:p w14:paraId="5534C665">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符合</w:t>
                  </w:r>
                </w:p>
              </w:tc>
            </w:tr>
          </w:tbl>
          <w:p w14:paraId="168DBAD8">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rFonts w:hint="default"/>
                <w:b/>
                <w:bCs/>
                <w:color w:val="auto"/>
                <w:highlight w:val="none"/>
                <w:lang w:val="en-US" w:eastAsia="zh-CN"/>
              </w:rPr>
            </w:pPr>
            <w:r>
              <w:rPr>
                <w:rFonts w:hint="eastAsia"/>
                <w:b/>
                <w:bCs/>
                <w:color w:val="auto"/>
                <w:highlight w:val="none"/>
                <w:lang w:val="en-US" w:eastAsia="zh-CN"/>
              </w:rPr>
              <w:t>5.</w:t>
            </w:r>
            <w:r>
              <w:rPr>
                <w:rFonts w:hint="default"/>
                <w:b/>
                <w:bCs/>
                <w:color w:val="auto"/>
                <w:highlight w:val="none"/>
                <w:lang w:val="en-US" w:eastAsia="zh-CN"/>
              </w:rPr>
              <w:t>与《关于印发</w:t>
            </w:r>
            <w:r>
              <w:rPr>
                <w:rFonts w:hint="eastAsia"/>
                <w:b/>
                <w:bCs/>
                <w:color w:val="auto"/>
                <w:highlight w:val="none"/>
                <w:lang w:val="en-US" w:eastAsia="zh-CN"/>
              </w:rPr>
              <w:t>〈</w:t>
            </w:r>
            <w:r>
              <w:rPr>
                <w:rFonts w:hint="default"/>
                <w:b/>
                <w:bCs/>
                <w:color w:val="auto"/>
                <w:highlight w:val="none"/>
                <w:lang w:val="en-US" w:eastAsia="zh-CN"/>
              </w:rPr>
              <w:t>黑龙江省工业炉窑大气污染综合治理方案</w:t>
            </w:r>
            <w:r>
              <w:rPr>
                <w:rFonts w:hint="eastAsia"/>
                <w:b/>
                <w:bCs/>
                <w:color w:val="auto"/>
                <w:highlight w:val="none"/>
                <w:lang w:val="en-US" w:eastAsia="zh-CN"/>
              </w:rPr>
              <w:t>〉</w:t>
            </w:r>
            <w:r>
              <w:rPr>
                <w:rFonts w:hint="default"/>
                <w:b/>
                <w:bCs/>
                <w:color w:val="auto"/>
                <w:highlight w:val="none"/>
                <w:lang w:val="en-US" w:eastAsia="zh-CN"/>
              </w:rPr>
              <w:t>的通知》（黑环发〔2019〕144号）符合性分析</w:t>
            </w:r>
          </w:p>
          <w:p w14:paraId="1F07A816">
            <w:pPr>
              <w:pStyle w:val="46"/>
              <w:bidi w:val="0"/>
              <w:rPr>
                <w:color w:val="auto"/>
                <w:highlight w:val="none"/>
              </w:rPr>
            </w:pPr>
            <w:r>
              <w:rPr>
                <w:rFonts w:hint="eastAsia"/>
                <w:color w:val="auto"/>
                <w:highlight w:val="none"/>
                <w:lang w:val="en-US" w:eastAsia="zh-CN"/>
              </w:rPr>
              <w:t>根据《关于印发〈黑龙江省工业炉窑大气污染综合治理方案〉的通知》（黑环发〔2019〕144号），为贯彻落实省委、省政府关于打好污染防治攻坚战的安排部署，坚决打赢蓝天保卫战，推进工业污染源的治理力度，促进我省产业结构优化，黑龙江省生态环境厅等部门联合制定了《黑龙江省工业炉窑大气污染综合治理方案》。方案中与本项目有关的重点任务内容与《关于印发〈工业炉窑大气污染综合治理方案〉的通知》（环大气〔2019〕56号）中的内容基本一致，不再重复列出，本项目符合《关于印发〈黑龙江省工业炉窑大气污染综合治理方案〉的通知》（黑环发〔2019〕144号）中治理方案的相关要求。</w:t>
            </w:r>
          </w:p>
          <w:p w14:paraId="79DC0E8D">
            <w:pPr>
              <w:pStyle w:val="46"/>
              <w:bidi w:val="0"/>
              <w:rPr>
                <w:b/>
                <w:bCs/>
                <w:color w:val="auto"/>
                <w:highlight w:val="none"/>
              </w:rPr>
            </w:pPr>
            <w:r>
              <w:rPr>
                <w:rFonts w:hint="eastAsia"/>
                <w:b/>
                <w:bCs/>
                <w:color w:val="auto"/>
                <w:highlight w:val="none"/>
                <w:lang w:val="en-US" w:eastAsia="zh-CN"/>
              </w:rPr>
              <w:t>6.</w:t>
            </w:r>
            <w:r>
              <w:rPr>
                <w:rFonts w:hint="default"/>
                <w:b/>
                <w:bCs/>
                <w:color w:val="auto"/>
                <w:highlight w:val="none"/>
                <w:lang w:val="en-US" w:eastAsia="zh-CN"/>
              </w:rPr>
              <w:t>与</w:t>
            </w:r>
            <w:r>
              <w:rPr>
                <w:b/>
                <w:bCs/>
                <w:color w:val="auto"/>
                <w:highlight w:val="none"/>
              </w:rPr>
              <w:t>《环境空气细颗粒物污染综合防治技术政策》符合性分析</w:t>
            </w:r>
          </w:p>
          <w:p w14:paraId="7E23FF2A">
            <w:pPr>
              <w:pStyle w:val="46"/>
              <w:bidi w:val="0"/>
              <w:rPr>
                <w:color w:val="auto"/>
                <w:highlight w:val="none"/>
              </w:rPr>
            </w:pPr>
            <w:r>
              <w:rPr>
                <w:color w:val="auto"/>
                <w:highlight w:val="none"/>
              </w:rPr>
              <w:t>二、综合防治</w:t>
            </w:r>
          </w:p>
          <w:p w14:paraId="72E8F95E">
            <w:pPr>
              <w:pStyle w:val="46"/>
              <w:bidi w:val="0"/>
              <w:rPr>
                <w:color w:val="auto"/>
                <w:highlight w:val="none"/>
              </w:rPr>
            </w:pPr>
            <w:r>
              <w:rPr>
                <w:color w:val="auto"/>
                <w:highlight w:val="none"/>
              </w:rPr>
              <w:t>（六）应将能源合理开发利用作为防治细颗粒物污染的优先领域，实行煤炭消费总量控制，大力发展清洁能源。天然气等清洁能源应优先供应居民日常生活使用。在大型城市应不断减少煤炭在能源供应中的比重。限制高</w:t>
            </w:r>
            <w:r>
              <w:rPr>
                <w:rFonts w:hint="eastAsia"/>
                <w:color w:val="auto"/>
                <w:highlight w:val="none"/>
                <w:lang w:eastAsia="zh-CN"/>
              </w:rPr>
              <w:t>硫分</w:t>
            </w:r>
            <w:r>
              <w:rPr>
                <w:color w:val="auto"/>
                <w:highlight w:val="none"/>
              </w:rPr>
              <w:t>或高</w:t>
            </w:r>
            <w:r>
              <w:rPr>
                <w:rFonts w:hint="eastAsia"/>
                <w:color w:val="auto"/>
                <w:highlight w:val="none"/>
                <w:lang w:eastAsia="zh-CN"/>
              </w:rPr>
              <w:t>灰分</w:t>
            </w:r>
            <w:r>
              <w:rPr>
                <w:color w:val="auto"/>
                <w:highlight w:val="none"/>
              </w:rPr>
              <w:t>煤炭的开采、使用和进口，提高煤炭洗选比例，研究推广煤炭清洁化利用技术，减少燃烧煤炭造成的污染物排放。</w:t>
            </w:r>
          </w:p>
          <w:p w14:paraId="43DB3B3D">
            <w:pPr>
              <w:pStyle w:val="46"/>
              <w:bidi w:val="0"/>
              <w:rPr>
                <w:rFonts w:hint="eastAsia"/>
                <w:color w:val="auto"/>
                <w:highlight w:val="none"/>
              </w:rPr>
            </w:pPr>
            <w:r>
              <w:rPr>
                <w:rFonts w:hint="eastAsia"/>
                <w:color w:val="auto"/>
                <w:highlight w:val="none"/>
              </w:rPr>
              <w:t>三、防治工业污染</w:t>
            </w:r>
          </w:p>
          <w:p w14:paraId="576AC879">
            <w:pPr>
              <w:pStyle w:val="46"/>
              <w:bidi w:val="0"/>
              <w:rPr>
                <w:color w:val="auto"/>
                <w:highlight w:val="none"/>
              </w:rPr>
            </w:pPr>
            <w:r>
              <w:rPr>
                <w:color w:val="auto"/>
                <w:highlight w:val="none"/>
              </w:rPr>
              <w:t>（十）应将排放细颗粒物和前体污染物排放量较大的行业作为工业污染源治理的重点，包括：火电、冶金、建材、石油化工、合成材料、制药、塑料加工、表面涂装、电子产品与设备制造、包装印刷等。</w:t>
            </w:r>
          </w:p>
          <w:p w14:paraId="185DBB80">
            <w:pPr>
              <w:pStyle w:val="46"/>
              <w:bidi w:val="0"/>
              <w:rPr>
                <w:rFonts w:hint="eastAsia"/>
                <w:color w:val="auto"/>
                <w:highlight w:val="none"/>
                <w:lang w:val="en-US" w:eastAsia="zh-CN"/>
              </w:rPr>
            </w:pPr>
            <w:r>
              <w:rPr>
                <w:color w:val="auto"/>
                <w:highlight w:val="none"/>
              </w:rPr>
              <w:t>本项目不使用煤炭，使用生物质颗粒作为燃料</w:t>
            </w:r>
            <w:r>
              <w:rPr>
                <w:rFonts w:hint="eastAsia"/>
                <w:color w:val="auto"/>
                <w:highlight w:val="none"/>
                <w:lang w:eastAsia="zh-CN"/>
              </w:rPr>
              <w:t>，</w:t>
            </w:r>
            <w:r>
              <w:rPr>
                <w:color w:val="auto"/>
                <w:highlight w:val="none"/>
              </w:rPr>
              <w:t>不属于污染物排放量较大的行业，符合《环境空气细颗粒物污染综合防治技术政策》</w:t>
            </w:r>
            <w:r>
              <w:rPr>
                <w:rFonts w:hint="eastAsia"/>
                <w:color w:val="auto"/>
                <w:highlight w:val="none"/>
                <w:lang w:val="en-US" w:eastAsia="zh-CN"/>
              </w:rPr>
              <w:t>中相关要求。</w:t>
            </w:r>
          </w:p>
          <w:p w14:paraId="228B89F7">
            <w:pPr>
              <w:pStyle w:val="46"/>
              <w:bidi w:val="0"/>
              <w:rPr>
                <w:rFonts w:hint="eastAsia"/>
                <w:color w:val="auto"/>
                <w:highlight w:val="none"/>
                <w:lang w:val="en-US" w:eastAsia="zh-CN"/>
              </w:rPr>
            </w:pPr>
          </w:p>
          <w:p w14:paraId="3F111FE2">
            <w:pPr>
              <w:pStyle w:val="46"/>
              <w:bidi w:val="0"/>
              <w:rPr>
                <w:rFonts w:hint="eastAsia"/>
                <w:color w:val="auto"/>
                <w:highlight w:val="none"/>
                <w:lang w:val="en-US" w:eastAsia="zh-CN"/>
              </w:rPr>
            </w:pPr>
          </w:p>
          <w:p w14:paraId="0EEE402F">
            <w:pPr>
              <w:pStyle w:val="46"/>
              <w:bidi w:val="0"/>
              <w:rPr>
                <w:rFonts w:hint="eastAsia"/>
                <w:color w:val="auto"/>
                <w:highlight w:val="none"/>
                <w:lang w:val="en-US" w:eastAsia="zh-CN"/>
              </w:rPr>
            </w:pPr>
          </w:p>
          <w:p w14:paraId="0CA3A3CE">
            <w:pPr>
              <w:pStyle w:val="46"/>
              <w:bidi w:val="0"/>
              <w:rPr>
                <w:rFonts w:hint="eastAsia"/>
                <w:color w:val="auto"/>
                <w:highlight w:val="none"/>
                <w:lang w:val="en-US" w:eastAsia="zh-CN"/>
              </w:rPr>
            </w:pPr>
          </w:p>
          <w:p w14:paraId="73C0186F">
            <w:pPr>
              <w:pStyle w:val="46"/>
              <w:bidi w:val="0"/>
              <w:rPr>
                <w:rFonts w:hint="eastAsia"/>
                <w:color w:val="auto"/>
                <w:highlight w:val="none"/>
                <w:lang w:val="en-US" w:eastAsia="zh-CN"/>
              </w:rPr>
            </w:pPr>
          </w:p>
          <w:p w14:paraId="747B78A3">
            <w:pPr>
              <w:pStyle w:val="46"/>
              <w:bidi w:val="0"/>
              <w:rPr>
                <w:b/>
                <w:bCs/>
                <w:color w:val="auto"/>
                <w:highlight w:val="none"/>
              </w:rPr>
            </w:pPr>
            <w:r>
              <w:rPr>
                <w:rFonts w:hint="eastAsia"/>
                <w:b/>
                <w:bCs/>
                <w:color w:val="auto"/>
                <w:highlight w:val="none"/>
                <w:lang w:val="en-US" w:eastAsia="zh-CN"/>
              </w:rPr>
              <w:t>7.</w:t>
            </w:r>
            <w:r>
              <w:rPr>
                <w:b/>
                <w:bCs/>
                <w:color w:val="auto"/>
                <w:highlight w:val="none"/>
              </w:rPr>
              <w:t>与《黑龙江省大气污染防治条例》</w:t>
            </w:r>
            <w:r>
              <w:rPr>
                <w:rFonts w:hint="eastAsia"/>
                <w:b/>
                <w:bCs/>
                <w:color w:val="auto"/>
                <w:highlight w:val="none"/>
              </w:rPr>
              <w:t>（2018年修正）</w:t>
            </w:r>
            <w:r>
              <w:rPr>
                <w:b/>
                <w:bCs/>
                <w:color w:val="auto"/>
                <w:highlight w:val="none"/>
              </w:rPr>
              <w:t>符合性分析</w:t>
            </w:r>
          </w:p>
          <w:p w14:paraId="3FCFEC64">
            <w:pPr>
              <w:pStyle w:val="50"/>
              <w:bidi w:val="0"/>
              <w:rPr>
                <w:color w:val="auto"/>
                <w:highlight w:val="none"/>
              </w:rPr>
            </w:pPr>
            <w:r>
              <w:rPr>
                <w:color w:val="auto"/>
                <w:highlight w:val="none"/>
              </w:rPr>
              <w:t>表1-</w:t>
            </w:r>
            <w:r>
              <w:rPr>
                <w:rFonts w:hint="eastAsia"/>
                <w:color w:val="auto"/>
                <w:highlight w:val="none"/>
                <w:lang w:val="en-US" w:eastAsia="zh-CN"/>
              </w:rPr>
              <w:t>4</w:t>
            </w:r>
            <w:r>
              <w:rPr>
                <w:color w:val="auto"/>
                <w:highlight w:val="none"/>
              </w:rPr>
              <w:t xml:space="preserve"> </w:t>
            </w:r>
            <w:r>
              <w:rPr>
                <w:rFonts w:hint="eastAsia"/>
                <w:color w:val="auto"/>
                <w:highlight w:val="none"/>
                <w:lang w:val="en-US" w:eastAsia="zh-CN"/>
              </w:rPr>
              <w:t xml:space="preserve">  </w:t>
            </w:r>
            <w:r>
              <w:rPr>
                <w:color w:val="auto"/>
                <w:highlight w:val="none"/>
              </w:rPr>
              <w:t>与《</w:t>
            </w:r>
            <w:r>
              <w:rPr>
                <w:b/>
                <w:bCs/>
                <w:color w:val="auto"/>
                <w:highlight w:val="none"/>
              </w:rPr>
              <w:t>黑龙江省大气污染防治条例</w:t>
            </w:r>
            <w:r>
              <w:rPr>
                <w:color w:val="auto"/>
                <w:highlight w:val="none"/>
              </w:rPr>
              <w:t>》符合性分析</w:t>
            </w:r>
          </w:p>
          <w:tbl>
            <w:tblPr>
              <w:tblStyle w:val="38"/>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4142"/>
              <w:gridCol w:w="2303"/>
            </w:tblGrid>
            <w:tr w14:paraId="56BCF0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2" w:type="pct"/>
                  <w:vAlign w:val="center"/>
                </w:tcPr>
                <w:p w14:paraId="5BFD7EA0">
                  <w:pPr>
                    <w:pStyle w:val="60"/>
                    <w:bidi w:val="0"/>
                    <w:rPr>
                      <w:color w:val="auto"/>
                      <w:highlight w:val="none"/>
                    </w:rPr>
                  </w:pPr>
                  <w:r>
                    <w:rPr>
                      <w:color w:val="auto"/>
                      <w:highlight w:val="none"/>
                    </w:rPr>
                    <w:t>名称</w:t>
                  </w:r>
                </w:p>
              </w:tc>
              <w:tc>
                <w:tcPr>
                  <w:tcW w:w="2762" w:type="pct"/>
                  <w:vAlign w:val="center"/>
                </w:tcPr>
                <w:p w14:paraId="53CE2876">
                  <w:pPr>
                    <w:pStyle w:val="60"/>
                    <w:bidi w:val="0"/>
                    <w:rPr>
                      <w:color w:val="auto"/>
                      <w:highlight w:val="none"/>
                    </w:rPr>
                  </w:pPr>
                  <w:r>
                    <w:rPr>
                      <w:color w:val="auto"/>
                      <w:highlight w:val="none"/>
                    </w:rPr>
                    <w:t>要求</w:t>
                  </w:r>
                </w:p>
              </w:tc>
              <w:tc>
                <w:tcPr>
                  <w:tcW w:w="1535" w:type="pct"/>
                  <w:vAlign w:val="center"/>
                </w:tcPr>
                <w:p w14:paraId="643C05F1">
                  <w:pPr>
                    <w:pStyle w:val="60"/>
                    <w:bidi w:val="0"/>
                    <w:rPr>
                      <w:color w:val="auto"/>
                      <w:highlight w:val="none"/>
                    </w:rPr>
                  </w:pPr>
                  <w:r>
                    <w:rPr>
                      <w:color w:val="auto"/>
                      <w:highlight w:val="none"/>
                    </w:rPr>
                    <w:t>本项目情况</w:t>
                  </w:r>
                </w:p>
              </w:tc>
            </w:tr>
            <w:tr w14:paraId="4C943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2" w:type="pct"/>
                  <w:vAlign w:val="center"/>
                </w:tcPr>
                <w:p w14:paraId="5F2C5817">
                  <w:pPr>
                    <w:pStyle w:val="60"/>
                    <w:bidi w:val="0"/>
                    <w:rPr>
                      <w:color w:val="auto"/>
                      <w:highlight w:val="none"/>
                    </w:rPr>
                  </w:pPr>
                  <w:r>
                    <w:rPr>
                      <w:color w:val="auto"/>
                      <w:highlight w:val="none"/>
                    </w:rPr>
                    <w:t>《黑龙江省大气污染防治条例》</w:t>
                  </w:r>
                </w:p>
              </w:tc>
              <w:tc>
                <w:tcPr>
                  <w:tcW w:w="2762" w:type="pct"/>
                  <w:vAlign w:val="center"/>
                </w:tcPr>
                <w:p w14:paraId="757C6B29">
                  <w:pPr>
                    <w:pStyle w:val="60"/>
                    <w:bidi w:val="0"/>
                    <w:rPr>
                      <w:color w:val="auto"/>
                      <w:highlight w:val="none"/>
                    </w:rPr>
                  </w:pPr>
                  <w:r>
                    <w:rPr>
                      <w:color w:val="auto"/>
                      <w:highlight w:val="none"/>
                    </w:rPr>
                    <w:t>“第六条，企业事业单位和其他生产经营者应当采取有效措施，防止和减少大气污染，对所造成的损害依法承担责任。第十一条，向大气排放污染物的企业事业单位和其他生产经营者，应当配套建设大气污染防治设施，配套建设的大气污染防治设施，应当与主体工程同时设计、同时施工、同时投产使用，不得擅自拆除或者闲置。第三十二条，燃煤电厂、燃煤供热锅炉以及其他燃煤单位，应当采用清洁生产工艺，配套建设除尘、脱硫、脱硝等装置或者采用技术改造等措施，减少大气污染物的产生和排放，排放的大气污染物应当达到规定标准。第三十三条，设区的市级城市建成区内，禁止新建额定蒸发量低于每小时二十吨或者额定功率低于十四兆瓦的燃煤锅炉，已经建成的额定蒸发量每小时十吨以下或者额定功率七兆瓦以下的燃煤锅炉，应当在国家规定的期限内淘汰。国家对新建和淘汰燃煤锅炉另有规定的，从其规定”。</w:t>
                  </w:r>
                </w:p>
              </w:tc>
              <w:tc>
                <w:tcPr>
                  <w:tcW w:w="1535" w:type="pct"/>
                  <w:vAlign w:val="center"/>
                </w:tcPr>
                <w:p w14:paraId="5F091E47">
                  <w:pPr>
                    <w:pStyle w:val="60"/>
                    <w:bidi w:val="0"/>
                    <w:rPr>
                      <w:color w:val="auto"/>
                      <w:highlight w:val="none"/>
                    </w:rPr>
                  </w:pPr>
                  <w:r>
                    <w:rPr>
                      <w:color w:val="auto"/>
                      <w:highlight w:val="none"/>
                    </w:rPr>
                    <w:t>本项目建设地点位于</w:t>
                  </w:r>
                  <w:r>
                    <w:rPr>
                      <w:rFonts w:hint="eastAsia"/>
                      <w:color w:val="auto"/>
                      <w:highlight w:val="none"/>
                      <w:lang w:eastAsia="zh-CN"/>
                    </w:rPr>
                    <w:t>黑龙江省大兴安岭地区呼玛县三卡乡</w:t>
                  </w:r>
                  <w:r>
                    <w:rPr>
                      <w:color w:val="auto"/>
                      <w:highlight w:val="none"/>
                    </w:rPr>
                    <w:t>，</w:t>
                  </w:r>
                  <w:r>
                    <w:rPr>
                      <w:rFonts w:hint="eastAsia"/>
                      <w:color w:val="auto"/>
                      <w:highlight w:val="none"/>
                      <w:lang w:val="en-US" w:eastAsia="zh-CN"/>
                    </w:rPr>
                    <w:t>生产过程采用1台生物质热风炉作为烘干热源，</w:t>
                  </w:r>
                  <w:r>
                    <w:rPr>
                      <w:highlight w:val="none"/>
                      <w:lang w:val="en-US" w:eastAsia="zh-CN"/>
                    </w:rPr>
                    <w:t>热风炉</w:t>
                  </w:r>
                  <w:r>
                    <w:rPr>
                      <w:rFonts w:hint="eastAsia"/>
                      <w:highlight w:val="none"/>
                      <w:lang w:val="en-US" w:eastAsia="zh-CN"/>
                    </w:rPr>
                    <w:t>废</w:t>
                  </w:r>
                  <w:r>
                    <w:rPr>
                      <w:highlight w:val="none"/>
                      <w:lang w:val="en-US" w:eastAsia="zh-CN"/>
                    </w:rPr>
                    <w:t>气经布袋除尘器</w:t>
                  </w:r>
                  <w:r>
                    <w:rPr>
                      <w:rFonts w:hint="eastAsia"/>
                      <w:highlight w:val="none"/>
                      <w:lang w:val="en-US" w:eastAsia="zh-CN"/>
                    </w:rPr>
                    <w:t>（除尘效率99%）</w:t>
                  </w:r>
                  <w:r>
                    <w:rPr>
                      <w:highlight w:val="none"/>
                      <w:lang w:val="en-US" w:eastAsia="zh-CN"/>
                    </w:rPr>
                    <w:t>处理后由15m高烟囱</w:t>
                  </w:r>
                  <w:r>
                    <w:rPr>
                      <w:rFonts w:hint="eastAsia"/>
                      <w:highlight w:val="none"/>
                      <w:lang w:val="en-US" w:eastAsia="zh-CN"/>
                    </w:rPr>
                    <w:t>（DA001）</w:t>
                  </w:r>
                  <w:r>
                    <w:rPr>
                      <w:highlight w:val="none"/>
                      <w:lang w:val="en-US" w:eastAsia="zh-CN"/>
                    </w:rPr>
                    <w:t>排放</w:t>
                  </w:r>
                  <w:r>
                    <w:rPr>
                      <w:rFonts w:hint="eastAsia"/>
                      <w:color w:val="auto"/>
                      <w:highlight w:val="none"/>
                      <w:lang w:val="en-US" w:eastAsia="zh-CN"/>
                    </w:rPr>
                    <w:t>，废气污染物排放符合《工业炉窑大气污染物排放标准》（GB9078-1996）表2、表4中二级标准限值要求</w:t>
                  </w:r>
                  <w:r>
                    <w:rPr>
                      <w:color w:val="auto"/>
                      <w:highlight w:val="none"/>
                    </w:rPr>
                    <w:t>。符合《黑龙江省大气污染防治条例》的相关要求。</w:t>
                  </w:r>
                </w:p>
              </w:tc>
            </w:tr>
          </w:tbl>
          <w:p w14:paraId="78905FC8">
            <w:pPr>
              <w:pStyle w:val="52"/>
              <w:bidi w:val="0"/>
              <w:rPr>
                <w:b/>
                <w:bCs/>
              </w:rPr>
            </w:pPr>
            <w:r>
              <w:rPr>
                <w:rFonts w:hint="eastAsia"/>
                <w:b/>
                <w:bCs/>
                <w:lang w:val="en-US" w:eastAsia="zh-CN"/>
              </w:rPr>
              <w:t>8.</w:t>
            </w:r>
            <w:r>
              <w:rPr>
                <w:b/>
                <w:bCs/>
              </w:rPr>
              <w:t>项目选址合理性分析</w:t>
            </w:r>
          </w:p>
          <w:p w14:paraId="1432DAEA">
            <w:pPr>
              <w:pStyle w:val="46"/>
              <w:bidi w:val="0"/>
              <w:rPr>
                <w:rFonts w:hint="eastAsia"/>
              </w:rPr>
            </w:pPr>
            <w:r>
              <w:rPr>
                <w:rFonts w:hint="eastAsia"/>
              </w:rPr>
              <w:t>本项目位于</w:t>
            </w:r>
            <w:r>
              <w:rPr>
                <w:rFonts w:hint="eastAsia"/>
                <w:lang w:eastAsia="zh-CN"/>
              </w:rPr>
              <w:t>黑龙江省大兴安岭地区呼玛县三卡乡</w:t>
            </w:r>
            <w:r>
              <w:rPr>
                <w:rFonts w:hint="eastAsia"/>
              </w:rPr>
              <w:t>，</w:t>
            </w:r>
            <w:r>
              <w:rPr>
                <w:rFonts w:hint="default"/>
                <w:lang w:val="en-US" w:eastAsia="zh-CN"/>
              </w:rPr>
              <w:t>本项目</w:t>
            </w:r>
            <w:r>
              <w:rPr>
                <w:rFonts w:hint="eastAsia"/>
                <w:lang w:val="en-US" w:eastAsia="zh-CN"/>
              </w:rPr>
              <w:t>东侧、南侧为农田，西侧为废弃厂房、空地、农田，北侧为农田路（村路），隔道路为331公路项目部临时商混站。</w:t>
            </w:r>
            <w:r>
              <w:rPr>
                <w:rFonts w:hint="eastAsia"/>
              </w:rPr>
              <w:t>本项目</w:t>
            </w:r>
            <w:r>
              <w:rPr>
                <w:rFonts w:hint="eastAsia"/>
                <w:lang w:val="en-US" w:eastAsia="zh-CN"/>
              </w:rPr>
              <w:t>用地性质为设施农用地，不涉及耕地，</w:t>
            </w:r>
            <w:r>
              <w:t>项目所在地具有方便的交通运输和水电条件，便于项目的建设</w:t>
            </w:r>
            <w:r>
              <w:rPr>
                <w:rFonts w:hint="eastAsia"/>
              </w:rPr>
              <w:t>，选址合理。</w:t>
            </w:r>
          </w:p>
          <w:p w14:paraId="7F6F9B89">
            <w:pPr>
              <w:pStyle w:val="46"/>
              <w:bidi w:val="0"/>
              <w:rPr>
                <w:color w:val="auto"/>
                <w:highlight w:val="none"/>
              </w:rPr>
            </w:pPr>
            <w:r>
              <w:rPr>
                <w:rFonts w:hint="eastAsia"/>
                <w:color w:val="auto"/>
                <w:highlight w:val="none"/>
                <w:lang w:val="en-US" w:eastAsia="zh-CN"/>
              </w:rPr>
              <w:t>本项目无生产废水产生，生活污水排入防渗旱厕，定期掏运堆肥。</w:t>
            </w:r>
          </w:p>
          <w:p w14:paraId="337B8A5F">
            <w:pPr>
              <w:pStyle w:val="46"/>
              <w:bidi w:val="0"/>
              <w:rPr>
                <w:rFonts w:hint="eastAsia"/>
                <w:color w:val="auto"/>
                <w:highlight w:val="none"/>
                <w:lang w:val="en-US" w:eastAsia="zh-CN"/>
              </w:rPr>
            </w:pPr>
            <w:r>
              <w:rPr>
                <w:rFonts w:hint="eastAsia"/>
                <w:color w:val="auto"/>
                <w:highlight w:val="none"/>
                <w:lang w:val="en-US" w:eastAsia="zh-CN"/>
              </w:rPr>
              <w:t>本项目综合室冬季采用电暖气取暖，热风炉房、原粮库、干粮库等冬季无需供暖。项目不使用高污染燃料。本项目热风炉废气经布袋除尘器（除尘效率99%）处理后由15m高烟囱（DA001）排放。</w:t>
            </w:r>
            <w:r>
              <w:rPr>
                <w:color w:val="auto"/>
                <w:highlight w:val="none"/>
              </w:rPr>
              <w:t>本项目运营期热风炉烟气排放</w:t>
            </w:r>
            <w:r>
              <w:rPr>
                <w:rFonts w:hint="eastAsia"/>
                <w:color w:val="auto"/>
                <w:highlight w:val="none"/>
                <w:lang w:val="en-US" w:eastAsia="zh-CN"/>
              </w:rPr>
              <w:t>满足《工业炉窑大气污染物排放标准》（GB9078-1996）表2、表4中二级标准限值要求</w:t>
            </w:r>
            <w:r>
              <w:rPr>
                <w:color w:val="auto"/>
                <w:highlight w:val="none"/>
              </w:rPr>
              <w:t>。</w:t>
            </w:r>
            <w:r>
              <w:rPr>
                <w:rFonts w:hint="eastAsia"/>
                <w:color w:val="auto"/>
                <w:highlight w:val="none"/>
                <w:lang w:val="en-US" w:eastAsia="zh-CN"/>
              </w:rPr>
              <w:t>灰渣采取密封袋收集，贮存在封闭式灰渣库内，灰渣转运过程中采取洒水降尘措施，</w:t>
            </w:r>
            <w:r>
              <w:rPr>
                <w:rFonts w:hint="eastAsia"/>
                <w:color w:val="auto"/>
                <w:highlight w:val="none"/>
              </w:rPr>
              <w:t>通过以上治理措施使</w:t>
            </w:r>
            <w:r>
              <w:rPr>
                <w:color w:val="auto"/>
                <w:highlight w:val="none"/>
              </w:rPr>
              <w:t>工业炉窑周边颗粒物无组织排放浓度满足《工业炉窑大气污染物排放标准》（GB9078-1996）表3</w:t>
            </w:r>
            <w:r>
              <w:rPr>
                <w:rFonts w:hint="eastAsia"/>
                <w:color w:val="auto"/>
                <w:highlight w:val="none"/>
                <w:lang w:val="en-US" w:eastAsia="zh-CN"/>
              </w:rPr>
              <w:t>要求</w:t>
            </w:r>
            <w:r>
              <w:rPr>
                <w:rFonts w:hint="eastAsia"/>
                <w:color w:val="auto"/>
                <w:highlight w:val="none"/>
              </w:rPr>
              <w:t>。</w:t>
            </w:r>
            <w:r>
              <w:rPr>
                <w:rFonts w:hint="eastAsia"/>
                <w:color w:val="auto"/>
                <w:highlight w:val="none"/>
                <w:lang w:val="en-US" w:eastAsia="zh-CN"/>
              </w:rPr>
              <w:t>本项目装卸过程中采取车间封闭+减小装卸高度、</w:t>
            </w:r>
            <w:r>
              <w:rPr>
                <w:color w:val="auto"/>
                <w:highlight w:val="none"/>
              </w:rPr>
              <w:t>输送过程采用封闭输送带进行输送</w:t>
            </w:r>
            <w:r>
              <w:rPr>
                <w:rFonts w:hint="eastAsia"/>
                <w:color w:val="auto"/>
                <w:highlight w:val="none"/>
                <w:lang w:val="en-US" w:eastAsia="zh-CN"/>
              </w:rPr>
              <w:t>、清选工艺采用封闭式清理筛、烘干塔塔体两侧排气孔设置折流挡板</w:t>
            </w:r>
            <w:r>
              <w:rPr>
                <w:rFonts w:hint="eastAsia"/>
                <w:color w:val="auto"/>
                <w:highlight w:val="none"/>
                <w:lang w:eastAsia="zh-CN"/>
              </w:rPr>
              <w:t>，</w:t>
            </w:r>
            <w:r>
              <w:rPr>
                <w:rFonts w:hint="eastAsia"/>
                <w:color w:val="auto"/>
                <w:highlight w:val="none"/>
              </w:rPr>
              <w:t>通过以上治理措施使</w:t>
            </w:r>
            <w:r>
              <w:rPr>
                <w:color w:val="auto"/>
                <w:highlight w:val="none"/>
              </w:rPr>
              <w:t>厂界颗粒物排放浓度符合《大气污染物综合排放标准》（GB16297-1996）表2无组织排放浓度限值要求</w:t>
            </w:r>
            <w:r>
              <w:rPr>
                <w:rFonts w:hint="eastAsia"/>
                <w:color w:val="auto"/>
                <w:highlight w:val="none"/>
                <w:lang w:val="en-US" w:eastAsia="zh-CN"/>
              </w:rPr>
              <w:t>。</w:t>
            </w:r>
          </w:p>
          <w:p w14:paraId="7557EA6A">
            <w:pPr>
              <w:pStyle w:val="46"/>
              <w:bidi w:val="0"/>
              <w:rPr>
                <w:rFonts w:hint="eastAsia" w:cs="Times New Roman"/>
                <w:color w:val="auto"/>
                <w:highlight w:val="none"/>
                <w:lang w:val="en-US" w:eastAsia="zh-CN"/>
              </w:rPr>
            </w:pPr>
            <w:r>
              <w:rPr>
                <w:rFonts w:hint="eastAsia" w:cs="Times New Roman"/>
                <w:color w:val="auto"/>
                <w:highlight w:val="none"/>
                <w:lang w:val="en-US" w:eastAsia="zh-CN"/>
              </w:rPr>
              <w:t>本项目</w:t>
            </w:r>
            <w:r>
              <w:rPr>
                <w:rFonts w:hint="default" w:ascii="Times New Roman" w:hAnsi="Times New Roman" w:cs="Times New Roman"/>
                <w:color w:val="auto"/>
                <w:highlight w:val="none"/>
              </w:rPr>
              <w:t>选用低噪声设备，并在设备安装过程中设备安放稳固，与地面保持良好接触，并且使用减振机座，使用减振机座是简单有效的减振方法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风机安装消声器</w:t>
            </w:r>
            <w:r>
              <w:rPr>
                <w:rFonts w:hint="default" w:ascii="Times New Roman" w:hAnsi="Times New Roman" w:cs="Times New Roman"/>
                <w:color w:val="auto"/>
                <w:highlight w:val="none"/>
              </w:rPr>
              <w:t>；生产过程中，设备运行时关闭门窗，利用墙体结构降噪，加强检查、维护和保养机械设备，保持润滑，紧固各部件，减少运行振动噪声</w:t>
            </w:r>
            <w:r>
              <w:rPr>
                <w:rFonts w:hint="eastAsia" w:cs="Times New Roman"/>
                <w:color w:val="auto"/>
                <w:highlight w:val="none"/>
                <w:lang w:eastAsia="zh-CN"/>
              </w:rPr>
              <w:t>，</w:t>
            </w:r>
            <w:r>
              <w:rPr>
                <w:rFonts w:hint="eastAsia" w:cs="Times New Roman"/>
                <w:color w:val="auto"/>
                <w:highlight w:val="none"/>
                <w:lang w:val="en-US" w:eastAsia="zh-CN"/>
              </w:rPr>
              <w:t>通过采取以上措施，</w:t>
            </w:r>
            <w:r>
              <w:rPr>
                <w:rFonts w:hint="default" w:ascii="Times New Roman" w:hAnsi="Times New Roman" w:cs="Times New Roman"/>
                <w:color w:val="auto"/>
                <w:highlight w:val="none"/>
              </w:rPr>
              <w:t>本项目</w:t>
            </w:r>
            <w:r>
              <w:rPr>
                <w:rFonts w:hint="default" w:ascii="Times New Roman" w:hAnsi="Times New Roman" w:cs="Times New Roman"/>
                <w:color w:val="auto"/>
                <w:sz w:val="24"/>
                <w:highlight w:val="none"/>
              </w:rPr>
              <w:t>厂界</w:t>
            </w:r>
            <w:r>
              <w:rPr>
                <w:rFonts w:hint="default" w:ascii="Times New Roman" w:hAnsi="Times New Roman" w:cs="Times New Roman"/>
                <w:color w:val="auto"/>
                <w:highlight w:val="none"/>
              </w:rPr>
              <w:t>噪声</w:t>
            </w:r>
            <w:r>
              <w:rPr>
                <w:rFonts w:hint="eastAsia" w:cs="Times New Roman"/>
                <w:color w:val="auto"/>
                <w:highlight w:val="none"/>
                <w:lang w:val="en-US" w:eastAsia="zh-CN"/>
              </w:rPr>
              <w:t>可以</w:t>
            </w:r>
            <w:r>
              <w:rPr>
                <w:rFonts w:hint="default" w:ascii="Times New Roman" w:hAnsi="Times New Roman" w:cs="Times New Roman"/>
                <w:color w:val="auto"/>
                <w:highlight w:val="none"/>
              </w:rPr>
              <w:t>满足《工业企业厂界环境噪声排放标准》（GB12348-2008）</w:t>
            </w:r>
            <w:r>
              <w:rPr>
                <w:rFonts w:hint="eastAsia" w:cs="Times New Roman"/>
                <w:color w:val="auto"/>
                <w:kern w:val="0"/>
                <w:sz w:val="24"/>
                <w:highlight w:val="none"/>
                <w:lang w:eastAsia="zh-CN"/>
              </w:rPr>
              <w:t>表1中2类</w:t>
            </w:r>
            <w:r>
              <w:rPr>
                <w:rFonts w:hint="default" w:ascii="Times New Roman" w:hAnsi="Times New Roman" w:cs="Times New Roman"/>
                <w:color w:val="auto"/>
                <w:highlight w:val="none"/>
              </w:rPr>
              <w:t>标准要求</w:t>
            </w:r>
            <w:r>
              <w:rPr>
                <w:rFonts w:hint="eastAsia" w:cs="Times New Roman"/>
                <w:color w:val="auto"/>
                <w:highlight w:val="none"/>
                <w:lang w:val="en-US" w:eastAsia="zh-CN"/>
              </w:rPr>
              <w:t>。</w:t>
            </w:r>
          </w:p>
          <w:p w14:paraId="3968B723">
            <w:pPr>
              <w:pStyle w:val="46"/>
              <w:bidi w:val="0"/>
              <w:rPr>
                <w:rFonts w:hint="eastAsia"/>
                <w:color w:val="auto"/>
                <w:highlight w:val="none"/>
                <w:lang w:val="en-US" w:eastAsia="zh-CN"/>
              </w:rPr>
            </w:pPr>
            <w:r>
              <w:rPr>
                <w:color w:val="auto"/>
                <w:highlight w:val="none"/>
              </w:rPr>
              <w:t>生活垃圾集中收集，</w:t>
            </w:r>
            <w:r>
              <w:rPr>
                <w:rFonts w:hint="eastAsia"/>
                <w:color w:val="auto"/>
                <w:highlight w:val="none"/>
              </w:rPr>
              <w:t>由市政环卫部门统一处理</w:t>
            </w:r>
            <w:r>
              <w:rPr>
                <w:rFonts w:hint="eastAsia"/>
                <w:color w:val="auto"/>
                <w:highlight w:val="none"/>
                <w:lang w:eastAsia="zh-CN"/>
              </w:rPr>
              <w:t>；</w:t>
            </w:r>
            <w:r>
              <w:rPr>
                <w:rFonts w:hint="eastAsia"/>
                <w:color w:val="auto"/>
                <w:highlight w:val="none"/>
              </w:rPr>
              <w:t>杂质中主要为不合格原粮，少部分为石子、泥沙等废物，分别收集，暂存于</w:t>
            </w:r>
            <w:r>
              <w:rPr>
                <w:rFonts w:hint="eastAsia"/>
                <w:color w:val="auto"/>
                <w:highlight w:val="none"/>
                <w:lang w:val="en-US" w:eastAsia="zh-CN"/>
              </w:rPr>
              <w:t>一般固废暂存间</w:t>
            </w:r>
            <w:r>
              <w:rPr>
                <w:rFonts w:hint="eastAsia"/>
                <w:color w:val="auto"/>
                <w:highlight w:val="none"/>
              </w:rPr>
              <w:t>内，</w:t>
            </w:r>
            <w:r>
              <w:rPr>
                <w:rFonts w:hint="eastAsia"/>
                <w:color w:val="auto"/>
                <w:highlight w:val="none"/>
                <w:lang w:eastAsia="zh-CN"/>
              </w:rPr>
              <w:t>不合格原粮由装卸、输送、筛分、</w:t>
            </w:r>
            <w:r>
              <w:rPr>
                <w:color w:val="auto"/>
                <w:highlight w:val="none"/>
              </w:rPr>
              <w:t>烘干塔</w:t>
            </w:r>
            <w:r>
              <w:rPr>
                <w:rFonts w:hint="eastAsia"/>
                <w:color w:val="auto"/>
                <w:highlight w:val="none"/>
                <w:lang w:val="en-US" w:eastAsia="zh-CN"/>
              </w:rPr>
              <w:t>收集</w:t>
            </w:r>
            <w:r>
              <w:rPr>
                <w:color w:val="auto"/>
                <w:highlight w:val="none"/>
              </w:rPr>
              <w:t>粉尘</w:t>
            </w:r>
            <w:r>
              <w:rPr>
                <w:rFonts w:hint="eastAsia"/>
                <w:color w:val="auto"/>
                <w:highlight w:val="none"/>
              </w:rPr>
              <w:t>外售</w:t>
            </w:r>
            <w:r>
              <w:rPr>
                <w:rFonts w:hint="eastAsia"/>
                <w:color w:val="auto"/>
                <w:highlight w:val="none"/>
                <w:lang w:val="en-US" w:eastAsia="zh-CN"/>
              </w:rPr>
              <w:t>饲料加工企业作为原料使用</w:t>
            </w:r>
            <w:r>
              <w:rPr>
                <w:rFonts w:hint="eastAsia"/>
                <w:color w:val="auto"/>
                <w:highlight w:val="none"/>
              </w:rPr>
              <w:t>，石子、泥沙等废物</w:t>
            </w:r>
            <w:r>
              <w:rPr>
                <w:rFonts w:hint="eastAsia"/>
                <w:color w:val="auto"/>
                <w:highlight w:val="none"/>
                <w:lang w:val="en-US" w:eastAsia="zh-CN"/>
              </w:rPr>
              <w:t>外售建材公司作为原料使用；热风炉灰渣</w:t>
            </w:r>
            <w:r>
              <w:rPr>
                <w:color w:val="auto"/>
                <w:highlight w:val="none"/>
              </w:rPr>
              <w:t>集中收集，</w:t>
            </w:r>
            <w:r>
              <w:rPr>
                <w:rFonts w:hint="eastAsia"/>
                <w:color w:val="auto"/>
                <w:highlight w:val="none"/>
              </w:rPr>
              <w:t>外售</w:t>
            </w:r>
            <w:r>
              <w:rPr>
                <w:rFonts w:hint="eastAsia"/>
                <w:color w:val="auto"/>
                <w:highlight w:val="none"/>
                <w:lang w:val="en-US" w:eastAsia="zh-CN"/>
              </w:rPr>
              <w:t>有机肥料企业作为原料使用</w:t>
            </w:r>
            <w:r>
              <w:rPr>
                <w:rFonts w:hint="eastAsia"/>
                <w:color w:val="auto"/>
                <w:highlight w:val="none"/>
              </w:rPr>
              <w:t>。</w:t>
            </w:r>
            <w:r>
              <w:rPr>
                <w:rFonts w:hint="eastAsia"/>
                <w:color w:val="auto"/>
                <w:highlight w:val="none"/>
                <w:lang w:eastAsia="zh-CN"/>
              </w:rPr>
              <w:t>布袋除尘器</w:t>
            </w:r>
            <w:r>
              <w:rPr>
                <w:rFonts w:hint="eastAsia"/>
                <w:color w:val="auto"/>
                <w:highlight w:val="none"/>
                <w:lang w:val="en-US" w:eastAsia="zh-CN"/>
              </w:rPr>
              <w:t>产生的废布袋一般每两年更换一次，废布袋由厂家更换回收处理，厂内不暂存。</w:t>
            </w:r>
          </w:p>
          <w:p w14:paraId="3FE58C60">
            <w:pPr>
              <w:pStyle w:val="4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本项目评价范围内没有自然保护区、风景名胜区、饮用水水源保护区等环境敏感目标</w:t>
            </w:r>
            <w:r>
              <w:rPr>
                <w:rFonts w:hint="default" w:ascii="Times New Roman" w:hAnsi="Times New Roman" w:cs="Times New Roman"/>
                <w:color w:val="auto"/>
                <w:highlight w:val="none"/>
              </w:rPr>
              <w:t>。在厂界外500m范围内无集中式饮用水水源和热水、矿泉水、温泉等特殊地下水资源保护目标。本项目厂界外500米范围内大气环境保护目标</w:t>
            </w:r>
            <w:r>
              <w:rPr>
                <w:rFonts w:hint="default" w:ascii="Times New Roman" w:hAnsi="Times New Roman" w:cs="Times New Roman"/>
                <w:color w:val="auto"/>
                <w:highlight w:val="none"/>
                <w:lang w:val="en-US" w:eastAsia="zh-CN"/>
              </w:rPr>
              <w:t>为附近</w:t>
            </w:r>
            <w:r>
              <w:rPr>
                <w:rFonts w:hint="eastAsia" w:cs="Times New Roman"/>
                <w:color w:val="auto"/>
                <w:highlight w:val="none"/>
                <w:lang w:val="en-US" w:eastAsia="zh-CN"/>
              </w:rPr>
              <w:t>黑山头村</w:t>
            </w:r>
            <w:r>
              <w:rPr>
                <w:rFonts w:hint="default" w:ascii="Times New Roman" w:hAnsi="Times New Roman" w:cs="Times New Roman"/>
                <w:color w:val="auto"/>
                <w:highlight w:val="none"/>
                <w:lang w:val="en-US" w:eastAsia="zh-CN"/>
              </w:rPr>
              <w:t>居民</w:t>
            </w:r>
            <w:r>
              <w:rPr>
                <w:rFonts w:hint="eastAsia" w:cs="Times New Roman"/>
                <w:color w:val="auto"/>
                <w:highlight w:val="none"/>
                <w:lang w:val="en-US" w:eastAsia="zh-CN"/>
              </w:rPr>
              <w:t>区，50</w:t>
            </w:r>
            <w:r>
              <w:rPr>
                <w:rFonts w:hint="default" w:ascii="Times New Roman" w:hAnsi="Times New Roman" w:cs="Times New Roman"/>
                <w:color w:val="auto"/>
                <w:highlight w:val="none"/>
              </w:rPr>
              <w:t>米范围内</w:t>
            </w:r>
            <w:r>
              <w:rPr>
                <w:rFonts w:hint="eastAsia" w:cs="Times New Roman"/>
                <w:color w:val="auto"/>
                <w:highlight w:val="none"/>
                <w:lang w:val="en-US" w:eastAsia="zh-CN"/>
              </w:rPr>
              <w:t>无</w:t>
            </w:r>
            <w:r>
              <w:rPr>
                <w:rFonts w:hint="default" w:ascii="Times New Roman" w:hAnsi="Times New Roman" w:cs="Times New Roman"/>
                <w:color w:val="auto"/>
                <w:highlight w:val="none"/>
              </w:rPr>
              <w:t>声环境保护目标</w:t>
            </w:r>
            <w:r>
              <w:rPr>
                <w:rFonts w:hint="eastAsia" w:cs="Times New Roman"/>
                <w:color w:val="auto"/>
                <w:highlight w:val="none"/>
                <w:lang w:val="en-US" w:eastAsia="zh-CN"/>
              </w:rPr>
              <w:t>。</w:t>
            </w:r>
            <w:r>
              <w:rPr>
                <w:rFonts w:hint="eastAsia"/>
                <w:highlight w:val="none"/>
                <w:lang w:val="en-US" w:eastAsia="zh-CN"/>
              </w:rPr>
              <w:t>项目所在</w:t>
            </w:r>
            <w:r>
              <w:rPr>
                <w:spacing w:val="-4"/>
                <w:highlight w:val="none"/>
              </w:rPr>
              <w:t>区域</w:t>
            </w:r>
            <w:r>
              <w:rPr>
                <w:rFonts w:hint="eastAsia"/>
                <w:spacing w:val="-4"/>
                <w:highlight w:val="none"/>
                <w:lang w:val="en-US" w:eastAsia="zh-CN"/>
              </w:rPr>
              <w:t>生产期间</w:t>
            </w:r>
            <w:r>
              <w:rPr>
                <w:spacing w:val="-4"/>
                <w:highlight w:val="none"/>
              </w:rPr>
              <w:t>主导风向为西</w:t>
            </w:r>
            <w:r>
              <w:rPr>
                <w:rFonts w:hint="eastAsia"/>
                <w:spacing w:val="-4"/>
                <w:highlight w:val="none"/>
                <w:lang w:val="en-US" w:eastAsia="zh-CN"/>
              </w:rPr>
              <w:t>北</w:t>
            </w:r>
            <w:r>
              <w:rPr>
                <w:spacing w:val="-4"/>
                <w:highlight w:val="none"/>
              </w:rPr>
              <w:t>风，</w:t>
            </w:r>
            <w:r>
              <w:rPr>
                <w:rFonts w:hint="eastAsia" w:cs="Times New Roman"/>
                <w:color w:val="auto"/>
                <w:highlight w:val="none"/>
                <w:lang w:val="en-US" w:eastAsia="zh-CN"/>
              </w:rPr>
              <w:t>黑山头村</w:t>
            </w:r>
            <w:r>
              <w:rPr>
                <w:spacing w:val="-4"/>
                <w:highlight w:val="none"/>
              </w:rPr>
              <w:t>位于主导风向为</w:t>
            </w:r>
            <w:r>
              <w:rPr>
                <w:rFonts w:hint="eastAsia"/>
                <w:spacing w:val="-4"/>
                <w:highlight w:val="none"/>
                <w:lang w:val="en-US" w:eastAsia="zh-CN"/>
              </w:rPr>
              <w:t>侧</w:t>
            </w:r>
            <w:r>
              <w:rPr>
                <w:spacing w:val="-4"/>
                <w:highlight w:val="none"/>
              </w:rPr>
              <w:t>风向，对大气环境保护目标影响较小。</w:t>
            </w:r>
          </w:p>
          <w:p w14:paraId="4BC3C7F6">
            <w:pPr>
              <w:pStyle w:val="46"/>
              <w:ind w:firstLine="480"/>
              <w:rPr>
                <w:rFonts w:hint="eastAsia"/>
                <w:color w:val="auto"/>
                <w:highlight w:val="none"/>
                <w:lang w:eastAsia="zh-CN"/>
              </w:rPr>
            </w:pPr>
            <w:r>
              <w:rPr>
                <w:color w:val="auto"/>
                <w:highlight w:val="none"/>
              </w:rPr>
              <w:t>根据工程分析确定的污染物源强，通过大气环境、水环境、声环境影响分析，项目建成后污染物达标排放对区域环境空气、水环境、声环境影响较小。项目建设不会使得环境功能发生改变，项目选址可行</w:t>
            </w:r>
            <w:r>
              <w:rPr>
                <w:rFonts w:hint="eastAsia"/>
                <w:color w:val="auto"/>
                <w:highlight w:val="none"/>
                <w:lang w:eastAsia="zh-CN"/>
              </w:rPr>
              <w:t>。</w:t>
            </w:r>
          </w:p>
          <w:p w14:paraId="56519160">
            <w:pPr>
              <w:pStyle w:val="46"/>
              <w:ind w:left="0" w:leftChars="0" w:firstLine="0" w:firstLineChars="0"/>
              <w:rPr>
                <w:rFonts w:hint="default"/>
                <w:color w:val="auto"/>
                <w:highlight w:val="none"/>
                <w:lang w:eastAsia="zh-CN"/>
              </w:rPr>
            </w:pPr>
          </w:p>
          <w:p w14:paraId="06014C42">
            <w:pPr>
              <w:pStyle w:val="46"/>
              <w:ind w:left="0" w:leftChars="0" w:firstLine="0" w:firstLineChars="0"/>
              <w:rPr>
                <w:rFonts w:hint="default"/>
                <w:color w:val="auto"/>
                <w:highlight w:val="none"/>
                <w:lang w:eastAsia="zh-CN"/>
              </w:rPr>
            </w:pPr>
          </w:p>
          <w:p w14:paraId="14654D52">
            <w:pPr>
              <w:pStyle w:val="46"/>
              <w:ind w:left="0" w:leftChars="0" w:firstLine="0" w:firstLineChars="0"/>
              <w:rPr>
                <w:rFonts w:hint="default"/>
                <w:color w:val="auto"/>
                <w:highlight w:val="none"/>
                <w:lang w:eastAsia="zh-CN"/>
              </w:rPr>
            </w:pPr>
          </w:p>
          <w:p w14:paraId="76791089">
            <w:pPr>
              <w:pStyle w:val="46"/>
              <w:ind w:left="0" w:leftChars="0" w:firstLine="0" w:firstLineChars="0"/>
              <w:rPr>
                <w:rFonts w:hint="default"/>
                <w:color w:val="auto"/>
                <w:highlight w:val="none"/>
                <w:lang w:eastAsia="zh-CN"/>
              </w:rPr>
            </w:pPr>
          </w:p>
        </w:tc>
      </w:tr>
    </w:tbl>
    <w:p w14:paraId="0CCC5109">
      <w:pPr>
        <w:wordWrap w:val="0"/>
        <w:topLinePunct/>
        <w:jc w:val="center"/>
        <w:textAlignment w:val="center"/>
        <w:outlineLvl w:val="0"/>
        <w:rPr>
          <w:rFonts w:hint="default" w:ascii="Times New Roman" w:hAnsi="Times New Roman" w:cs="Times New Roman"/>
          <w:b/>
          <w:snapToGrid w:val="0"/>
          <w:color w:val="auto"/>
          <w:sz w:val="30"/>
          <w:szCs w:val="30"/>
          <w:highlight w:val="none"/>
        </w:rPr>
        <w:sectPr>
          <w:footerReference r:id="rId8" w:type="default"/>
          <w:pgSz w:w="11906" w:h="16838"/>
          <w:pgMar w:top="1440" w:right="1800" w:bottom="1440" w:left="1800" w:header="851" w:footer="851" w:gutter="0"/>
          <w:pgBorders>
            <w:top w:val="none" w:sz="0" w:space="0"/>
            <w:left w:val="none" w:sz="0" w:space="0"/>
            <w:bottom w:val="none" w:sz="0" w:space="0"/>
            <w:right w:val="none" w:sz="0" w:space="0"/>
          </w:pgBorders>
          <w:pgNumType w:fmt="decimal" w:start="1"/>
          <w:cols w:space="720" w:num="1"/>
          <w:docGrid w:linePitch="312" w:charSpace="0"/>
        </w:sectPr>
      </w:pPr>
    </w:p>
    <w:p w14:paraId="14E3D027">
      <w:pPr>
        <w:wordWrap w:val="0"/>
        <w:topLinePunct/>
        <w:jc w:val="center"/>
        <w:textAlignment w:val="center"/>
        <w:outlineLvl w:val="0"/>
        <w:rPr>
          <w:rFonts w:hint="default" w:ascii="Times New Roman" w:hAnsi="Times New Roman" w:cs="Times New Roman"/>
          <w:b/>
          <w:snapToGrid w:val="0"/>
          <w:color w:val="auto"/>
          <w:sz w:val="30"/>
          <w:szCs w:val="30"/>
          <w:highlight w:val="none"/>
        </w:rPr>
      </w:pPr>
      <w:bookmarkStart w:id="5" w:name="_Toc31607"/>
      <w:r>
        <w:rPr>
          <w:rFonts w:hint="default" w:ascii="Times New Roman" w:hAnsi="Times New Roman" w:cs="Times New Roman"/>
          <w:b/>
          <w:snapToGrid w:val="0"/>
          <w:color w:val="auto"/>
          <w:sz w:val="30"/>
          <w:szCs w:val="30"/>
          <w:highlight w:val="none"/>
        </w:rPr>
        <w:t>二、建设项目工程分析</w:t>
      </w:r>
      <w:bookmarkEnd w:id="5"/>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8"/>
        <w:gridCol w:w="7714"/>
      </w:tblGrid>
      <w:tr w14:paraId="0DA81E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4" w:type="pct"/>
            <w:noWrap w:val="0"/>
            <w:vAlign w:val="center"/>
          </w:tcPr>
          <w:p w14:paraId="7E6D76AC">
            <w:pPr>
              <w:wordWrap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建设内容</w:t>
            </w:r>
          </w:p>
        </w:tc>
        <w:tc>
          <w:tcPr>
            <w:tcW w:w="4525" w:type="pct"/>
            <w:noWrap w:val="0"/>
            <w:vAlign w:val="center"/>
          </w:tcPr>
          <w:p w14:paraId="3CBF821E">
            <w:pPr>
              <w:pStyle w:val="59"/>
              <w:spacing w:before="120" w:beforeLines="50"/>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1.</w:t>
            </w:r>
            <w:r>
              <w:rPr>
                <w:rFonts w:hint="default" w:ascii="Times New Roman" w:hAnsi="Times New Roman" w:cs="Times New Roman"/>
                <w:b/>
                <w:bCs/>
                <w:color w:val="auto"/>
                <w:highlight w:val="none"/>
              </w:rPr>
              <w:t>建设内容</w:t>
            </w:r>
          </w:p>
          <w:p w14:paraId="211F5E64">
            <w:pPr>
              <w:pStyle w:val="46"/>
              <w:bidi w:val="0"/>
              <w:rPr>
                <w:rFonts w:hint="default"/>
                <w:highlight w:val="none"/>
              </w:rPr>
            </w:pPr>
            <w:r>
              <w:rPr>
                <w:rFonts w:hint="default"/>
                <w:highlight w:val="none"/>
              </w:rPr>
              <w:t>（1）项目地理位置</w:t>
            </w:r>
          </w:p>
          <w:p w14:paraId="327A64E8">
            <w:pPr>
              <w:pStyle w:val="46"/>
              <w:bidi w:val="0"/>
              <w:rPr>
                <w:highlight w:val="none"/>
              </w:rPr>
            </w:pPr>
            <w:r>
              <w:rPr>
                <w:rFonts w:hint="default"/>
                <w:highlight w:val="none"/>
                <w:lang w:val="en-US" w:eastAsia="zh-CN"/>
              </w:rPr>
              <w:t>本项目位于</w:t>
            </w:r>
            <w:r>
              <w:rPr>
                <w:rFonts w:hint="eastAsia"/>
                <w:highlight w:val="none"/>
                <w:lang w:eastAsia="zh-CN"/>
              </w:rPr>
              <w:t>黑龙江省大兴安岭地区呼玛县三卡乡</w:t>
            </w:r>
            <w:r>
              <w:rPr>
                <w:rFonts w:hint="default"/>
                <w:highlight w:val="none"/>
                <w:lang w:eastAsia="zh-CN"/>
              </w:rPr>
              <w:t>。</w:t>
            </w:r>
            <w:r>
              <w:rPr>
                <w:rFonts w:hint="default"/>
                <w:highlight w:val="none"/>
                <w:lang w:val="en-US" w:eastAsia="zh-CN"/>
              </w:rPr>
              <w:t>中心地理位置坐标为：东经1</w:t>
            </w:r>
            <w:r>
              <w:rPr>
                <w:rFonts w:hint="eastAsia"/>
                <w:highlight w:val="none"/>
                <w:lang w:val="en-US" w:eastAsia="zh-CN"/>
              </w:rPr>
              <w:t>26</w:t>
            </w:r>
            <w:r>
              <w:rPr>
                <w:rFonts w:hint="default"/>
                <w:highlight w:val="none"/>
                <w:lang w:val="en-US" w:eastAsia="zh-CN"/>
              </w:rPr>
              <w:t>°</w:t>
            </w:r>
            <w:r>
              <w:rPr>
                <w:rFonts w:hint="eastAsia"/>
                <w:highlight w:val="none"/>
                <w:lang w:val="en-US" w:eastAsia="zh-CN"/>
              </w:rPr>
              <w:t>53</w:t>
            </w:r>
            <w:r>
              <w:rPr>
                <w:rFonts w:hint="default"/>
                <w:highlight w:val="none"/>
                <w:lang w:val="en-US" w:eastAsia="zh-CN"/>
              </w:rPr>
              <w:t>′</w:t>
            </w:r>
            <w:r>
              <w:rPr>
                <w:rFonts w:hint="eastAsia"/>
                <w:highlight w:val="none"/>
                <w:lang w:val="en-US" w:eastAsia="zh-CN"/>
              </w:rPr>
              <w:t>22.245</w:t>
            </w:r>
            <w:r>
              <w:rPr>
                <w:rFonts w:hint="default"/>
                <w:highlight w:val="none"/>
                <w:lang w:val="en-US" w:eastAsia="zh-CN"/>
              </w:rPr>
              <w:t>"，北纬</w:t>
            </w:r>
            <w:r>
              <w:rPr>
                <w:rFonts w:hint="eastAsia"/>
                <w:highlight w:val="none"/>
                <w:lang w:val="en-US" w:eastAsia="zh-CN"/>
              </w:rPr>
              <w:t>51</w:t>
            </w:r>
            <w:r>
              <w:rPr>
                <w:rFonts w:hint="default"/>
                <w:highlight w:val="none"/>
                <w:lang w:val="en-US" w:eastAsia="zh-CN"/>
              </w:rPr>
              <w:t>°</w:t>
            </w:r>
            <w:r>
              <w:rPr>
                <w:rFonts w:hint="eastAsia"/>
                <w:highlight w:val="none"/>
                <w:lang w:val="en-US" w:eastAsia="zh-CN"/>
              </w:rPr>
              <w:t>08</w:t>
            </w:r>
            <w:r>
              <w:rPr>
                <w:rFonts w:hint="default"/>
                <w:highlight w:val="none"/>
                <w:lang w:val="en-US" w:eastAsia="zh-CN"/>
              </w:rPr>
              <w:t>'</w:t>
            </w:r>
            <w:r>
              <w:rPr>
                <w:rFonts w:hint="eastAsia"/>
                <w:highlight w:val="none"/>
                <w:lang w:val="en-US" w:eastAsia="zh-CN"/>
              </w:rPr>
              <w:t>44.113”</w:t>
            </w:r>
            <w:r>
              <w:rPr>
                <w:rFonts w:hint="default"/>
                <w:highlight w:val="none"/>
                <w:lang w:val="en-US" w:eastAsia="zh-CN"/>
              </w:rPr>
              <w:t>。本项目</w:t>
            </w:r>
            <w:r>
              <w:rPr>
                <w:rFonts w:hint="eastAsia"/>
                <w:highlight w:val="none"/>
                <w:lang w:val="en-US" w:eastAsia="zh-CN"/>
              </w:rPr>
              <w:t>东侧、南侧为农田，西侧为废弃厂房、空地、农田，北侧为农田路（村路），隔道路为331公路项目部临时商混站</w:t>
            </w:r>
            <w:r>
              <w:rPr>
                <w:highlight w:val="none"/>
              </w:rPr>
              <w:t>。</w:t>
            </w:r>
          </w:p>
          <w:p w14:paraId="2855E4A9">
            <w:pPr>
              <w:pStyle w:val="46"/>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）建设内容</w:t>
            </w:r>
          </w:p>
          <w:p w14:paraId="3DE2F696">
            <w:pPr>
              <w:pStyle w:val="46"/>
              <w:ind w:firstLine="480"/>
              <w:rPr>
                <w:rFonts w:hint="eastAsia" w:eastAsia="宋体"/>
                <w:color w:val="auto"/>
                <w:sz w:val="24"/>
                <w:szCs w:val="24"/>
                <w:highlight w:val="none"/>
                <w:lang w:val="en-US" w:eastAsia="zh-CN"/>
              </w:rPr>
            </w:pPr>
            <w:r>
              <w:rPr>
                <w:rFonts w:hint="eastAsia" w:cs="Times New Roman"/>
                <w:color w:val="auto"/>
                <w:sz w:val="24"/>
                <w:szCs w:val="24"/>
                <w:highlight w:val="none"/>
                <w:lang w:val="en-US" w:eastAsia="zh-CN"/>
              </w:rPr>
              <w:t>本项目为新建项目，总占地面积为39522m</w:t>
            </w:r>
            <w:r>
              <w:rPr>
                <w:rFonts w:hint="eastAsia" w:cs="Times New Roman"/>
                <w:color w:val="auto"/>
                <w:sz w:val="24"/>
                <w:szCs w:val="24"/>
                <w:highlight w:val="none"/>
                <w:vertAlign w:val="superscript"/>
                <w:lang w:val="en-US" w:eastAsia="zh-CN"/>
              </w:rPr>
              <w:t>2</w:t>
            </w:r>
            <w:r>
              <w:rPr>
                <w:rFonts w:hint="eastAsia" w:cs="Times New Roman"/>
                <w:color w:val="auto"/>
                <w:sz w:val="24"/>
                <w:szCs w:val="24"/>
                <w:highlight w:val="none"/>
                <w:lang w:val="en-US" w:eastAsia="zh-CN"/>
              </w:rPr>
              <w:t>，</w:t>
            </w:r>
            <w:r>
              <w:rPr>
                <w:color w:val="auto"/>
                <w:sz w:val="24"/>
                <w:szCs w:val="24"/>
                <w:highlight w:val="none"/>
              </w:rPr>
              <w:t>本</w:t>
            </w:r>
            <w:r>
              <w:rPr>
                <w:rFonts w:hint="eastAsia"/>
                <w:color w:val="auto"/>
                <w:sz w:val="24"/>
                <w:szCs w:val="24"/>
                <w:highlight w:val="none"/>
              </w:rPr>
              <w:t>项目</w:t>
            </w:r>
            <w:r>
              <w:rPr>
                <w:rFonts w:hint="eastAsia"/>
                <w:color w:val="auto"/>
                <w:sz w:val="24"/>
                <w:szCs w:val="24"/>
                <w:highlight w:val="none"/>
                <w:lang w:val="en-US" w:eastAsia="zh-CN"/>
              </w:rPr>
              <w:t>建设内容</w:t>
            </w:r>
            <w:r>
              <w:rPr>
                <w:rFonts w:ascii="Times New Roman" w:hAnsi="Times New Roman" w:eastAsia="宋体" w:cs="Times New Roman"/>
                <w:color w:val="auto"/>
                <w:kern w:val="2"/>
                <w:sz w:val="24"/>
                <w:szCs w:val="24"/>
                <w:highlight w:val="none"/>
                <w:lang w:val="en-US" w:eastAsia="zh-CN" w:bidi="ar-SA"/>
              </w:rPr>
              <w:t>主</w:t>
            </w:r>
            <w:r>
              <w:rPr>
                <w:rFonts w:hint="eastAsia" w:cs="Times New Roman"/>
                <w:color w:val="auto"/>
                <w:kern w:val="2"/>
                <w:sz w:val="24"/>
                <w:szCs w:val="24"/>
                <w:highlight w:val="none"/>
                <w:lang w:val="en-US" w:eastAsia="zh-CN" w:bidi="ar-SA"/>
              </w:rPr>
              <w:t>要为1座综合室、2座原粮库、1座干粮库、10座圆形原粮筒仓、1座热风炉房</w:t>
            </w:r>
            <w:r>
              <w:rPr>
                <w:color w:val="auto"/>
                <w:sz w:val="24"/>
                <w:szCs w:val="24"/>
                <w:highlight w:val="none"/>
                <w:lang w:val="en-US" w:eastAsia="zh-CN"/>
              </w:rPr>
              <w:t>及配套生产设施等</w:t>
            </w:r>
            <w:r>
              <w:rPr>
                <w:rFonts w:hint="eastAsia"/>
                <w:color w:val="auto"/>
                <w:sz w:val="24"/>
                <w:szCs w:val="24"/>
                <w:highlight w:val="none"/>
                <w:lang w:val="en-US" w:eastAsia="zh-CN"/>
              </w:rPr>
              <w:t>，</w:t>
            </w:r>
            <w:r>
              <w:rPr>
                <w:rFonts w:ascii="Times New Roman" w:hAnsi="Times New Roman" w:eastAsia="宋体" w:cs="Times New Roman"/>
                <w:color w:val="auto"/>
                <w:kern w:val="2"/>
                <w:sz w:val="24"/>
                <w:szCs w:val="24"/>
                <w:highlight w:val="none"/>
                <w:lang w:val="en-US" w:eastAsia="zh-CN" w:bidi="ar-SA"/>
              </w:rPr>
              <w:t>热风炉房</w:t>
            </w:r>
            <w:r>
              <w:rPr>
                <w:rFonts w:hint="eastAsia" w:ascii="Times New Roman" w:hAnsi="Times New Roman" w:eastAsia="宋体" w:cs="Times New Roman"/>
                <w:color w:val="auto"/>
                <w:kern w:val="2"/>
                <w:sz w:val="24"/>
                <w:szCs w:val="24"/>
                <w:highlight w:val="none"/>
                <w:lang w:val="en-US" w:eastAsia="zh-CN" w:bidi="ar-SA"/>
              </w:rPr>
              <w:t>内</w:t>
            </w:r>
            <w:r>
              <w:rPr>
                <w:rFonts w:hint="eastAsia"/>
                <w:color w:val="auto"/>
                <w:sz w:val="24"/>
                <w:szCs w:val="24"/>
                <w:highlight w:val="none"/>
                <w:lang w:val="en-US" w:eastAsia="zh-CN"/>
              </w:rPr>
              <w:t>新建</w:t>
            </w:r>
            <w:r>
              <w:rPr>
                <w:rFonts w:hint="eastAsia" w:ascii="Times New Roman" w:hAnsi="Times New Roman" w:eastAsia="宋体" w:cs="Times New Roman"/>
                <w:color w:val="auto"/>
                <w:kern w:val="2"/>
                <w:sz w:val="24"/>
                <w:szCs w:val="24"/>
                <w:highlight w:val="none"/>
                <w:lang w:val="en-US" w:eastAsia="zh-CN" w:bidi="ar-SA"/>
              </w:rPr>
              <w:t>1台</w:t>
            </w:r>
            <w:r>
              <w:rPr>
                <w:rFonts w:hint="eastAsia" w:cs="Times New Roman"/>
                <w:color w:val="auto"/>
                <w:kern w:val="2"/>
                <w:sz w:val="24"/>
                <w:szCs w:val="24"/>
                <w:highlight w:val="none"/>
                <w:lang w:val="en-US" w:eastAsia="zh-CN" w:bidi="ar-SA"/>
              </w:rPr>
              <w:t>720万Kcal/h</w:t>
            </w:r>
            <w:r>
              <w:rPr>
                <w:rFonts w:hint="eastAsia" w:ascii="Times New Roman" w:hAnsi="Times New Roman" w:eastAsia="宋体" w:cs="Times New Roman"/>
                <w:color w:val="auto"/>
                <w:kern w:val="2"/>
                <w:sz w:val="24"/>
                <w:szCs w:val="24"/>
                <w:highlight w:val="none"/>
                <w:lang w:val="en-US" w:eastAsia="zh-CN" w:bidi="ar-SA"/>
              </w:rPr>
              <w:t>燃生物质</w:t>
            </w:r>
            <w:r>
              <w:rPr>
                <w:rFonts w:ascii="Times New Roman" w:hAnsi="Times New Roman" w:eastAsia="宋体" w:cs="Times New Roman"/>
                <w:color w:val="auto"/>
                <w:kern w:val="2"/>
                <w:sz w:val="24"/>
                <w:szCs w:val="24"/>
                <w:highlight w:val="none"/>
                <w:lang w:val="en-US" w:eastAsia="zh-CN" w:bidi="ar-SA"/>
              </w:rPr>
              <w:t>热风炉</w:t>
            </w:r>
            <w:r>
              <w:rPr>
                <w:rFonts w:hint="eastAsia" w:cs="Times New Roman"/>
                <w:color w:val="auto"/>
                <w:kern w:val="2"/>
                <w:sz w:val="24"/>
                <w:szCs w:val="24"/>
                <w:highlight w:val="none"/>
                <w:lang w:val="en-US" w:eastAsia="zh-CN" w:bidi="ar-SA"/>
              </w:rPr>
              <w:t>配套1座600t/d</w:t>
            </w:r>
            <w:r>
              <w:rPr>
                <w:rFonts w:ascii="Times New Roman" w:hAnsi="Times New Roman" w:eastAsia="宋体" w:cs="Times New Roman"/>
                <w:color w:val="auto"/>
                <w:kern w:val="2"/>
                <w:sz w:val="24"/>
                <w:szCs w:val="24"/>
                <w:highlight w:val="none"/>
                <w:lang w:val="en-US" w:eastAsia="zh-CN" w:bidi="ar-SA"/>
              </w:rPr>
              <w:t>烘干塔</w:t>
            </w:r>
            <w:r>
              <w:rPr>
                <w:rFonts w:hint="eastAsia" w:cs="Times New Roman"/>
                <w:color w:val="auto"/>
                <w:kern w:val="2"/>
                <w:sz w:val="24"/>
                <w:szCs w:val="24"/>
                <w:highlight w:val="none"/>
                <w:lang w:val="en-US" w:eastAsia="zh-CN" w:bidi="ar-SA"/>
              </w:rPr>
              <w:t>，</w:t>
            </w:r>
            <w:r>
              <w:rPr>
                <w:rFonts w:hint="eastAsia"/>
                <w:color w:val="auto"/>
                <w:sz w:val="24"/>
                <w:szCs w:val="24"/>
                <w:highlight w:val="none"/>
                <w:lang w:val="en-US" w:eastAsia="zh-CN"/>
              </w:rPr>
              <w:t>建成后年烘干玉米原粮3.6万t</w:t>
            </w:r>
            <w:r>
              <w:rPr>
                <w:rFonts w:hint="eastAsia"/>
                <w:color w:val="auto"/>
                <w:sz w:val="24"/>
                <w:szCs w:val="24"/>
                <w:highlight w:val="none"/>
                <w:lang w:eastAsia="zh-CN"/>
              </w:rPr>
              <w:t>。</w:t>
            </w:r>
          </w:p>
          <w:p w14:paraId="3A3AC69F">
            <w:pPr>
              <w:pStyle w:val="46"/>
              <w:ind w:firstLine="480"/>
              <w:rPr>
                <w:rFonts w:hint="default" w:ascii="Times New Roman" w:hAnsi="Times New Roman" w:cs="Times New Roman"/>
                <w:color w:val="auto"/>
                <w:highlight w:val="none"/>
              </w:rPr>
            </w:pPr>
            <w:r>
              <w:rPr>
                <w:rFonts w:hint="eastAsia"/>
                <w:color w:val="auto"/>
                <w:highlight w:val="none"/>
                <w:lang w:val="en-US" w:eastAsia="zh-CN"/>
              </w:rPr>
              <w:t>本项目</w:t>
            </w:r>
            <w:r>
              <w:rPr>
                <w:color w:val="auto"/>
                <w:sz w:val="24"/>
                <w:szCs w:val="24"/>
                <w:highlight w:val="none"/>
              </w:rPr>
              <w:t>主要包括主体工程、储运工程、辅助工程、公用工程</w:t>
            </w:r>
            <w:r>
              <w:rPr>
                <w:color w:val="auto"/>
                <w:highlight w:val="none"/>
              </w:rPr>
              <w:t>及环保工程，建设项目组成情况见下表2-1。</w:t>
            </w:r>
          </w:p>
          <w:p w14:paraId="2B3AFF62">
            <w:pPr>
              <w:pStyle w:val="50"/>
              <w:rPr>
                <w:rFonts w:hint="default" w:ascii="Times New Roman" w:hAnsi="Times New Roman" w:cs="Times New Roman"/>
                <w:color w:val="auto"/>
                <w:highlight w:val="none"/>
              </w:rPr>
            </w:pPr>
            <w:r>
              <w:rPr>
                <w:rFonts w:hint="default" w:ascii="Times New Roman" w:hAnsi="Times New Roman" w:cs="Times New Roman"/>
                <w:color w:val="auto"/>
                <w:highlight w:val="none"/>
              </w:rPr>
              <w:t>表2-1   项目建设内容一览表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189"/>
              <w:gridCol w:w="4698"/>
              <w:gridCol w:w="920"/>
            </w:tblGrid>
            <w:tr w14:paraId="4E43A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Align w:val="center"/>
                </w:tcPr>
                <w:p w14:paraId="6C2AB25F">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bookmarkStart w:id="6" w:name="_Hlk113374925"/>
                  <w:r>
                    <w:rPr>
                      <w:rFonts w:hint="eastAsia" w:ascii="Times New Roman" w:hAnsi="Times New Roman" w:eastAsia="宋体" w:cs="Times New Roman"/>
                      <w:color w:val="auto"/>
                      <w:kern w:val="2"/>
                      <w:sz w:val="21"/>
                      <w:szCs w:val="21"/>
                      <w:highlight w:val="none"/>
                      <w:lang w:val="en-US" w:eastAsia="zh-CN" w:bidi="ar-SA"/>
                    </w:rPr>
                    <w:t>工程类别</w:t>
                  </w:r>
                </w:p>
              </w:tc>
              <w:tc>
                <w:tcPr>
                  <w:tcW w:w="792" w:type="pct"/>
                  <w:vAlign w:val="center"/>
                </w:tcPr>
                <w:p w14:paraId="6309C5C3">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项目名称</w:t>
                  </w:r>
                </w:p>
              </w:tc>
              <w:tc>
                <w:tcPr>
                  <w:tcW w:w="3132" w:type="pct"/>
                  <w:vAlign w:val="center"/>
                </w:tcPr>
                <w:p w14:paraId="7D5E9274">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建设规模及内容</w:t>
                  </w:r>
                </w:p>
              </w:tc>
              <w:tc>
                <w:tcPr>
                  <w:tcW w:w="613" w:type="pct"/>
                  <w:vAlign w:val="center"/>
                </w:tcPr>
                <w:p w14:paraId="61DFDB3E">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备注</w:t>
                  </w:r>
                </w:p>
              </w:tc>
            </w:tr>
            <w:tr w14:paraId="3CD81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restart"/>
                  <w:vAlign w:val="center"/>
                </w:tcPr>
                <w:p w14:paraId="65615C6B">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主体工程</w:t>
                  </w:r>
                </w:p>
              </w:tc>
              <w:tc>
                <w:tcPr>
                  <w:tcW w:w="792" w:type="pct"/>
                  <w:shd w:val="clear" w:color="auto" w:fill="auto"/>
                  <w:vAlign w:val="center"/>
                </w:tcPr>
                <w:p w14:paraId="0F3A3827">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热风炉房</w:t>
                  </w:r>
                </w:p>
              </w:tc>
              <w:tc>
                <w:tcPr>
                  <w:tcW w:w="3132" w:type="pct"/>
                  <w:shd w:val="clear" w:color="auto" w:fill="auto"/>
                  <w:vAlign w:val="center"/>
                </w:tcPr>
                <w:p w14:paraId="7D92C253">
                  <w:pPr>
                    <w:pStyle w:val="49"/>
                    <w:bidi w:val="0"/>
                    <w:ind w:firstLine="420" w:firstLineChars="200"/>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lang w:val="en-US" w:eastAsia="zh-CN"/>
                    </w:rPr>
                    <w:t>1座，</w:t>
                  </w:r>
                  <w:r>
                    <w:rPr>
                      <w:rFonts w:hint="eastAsia"/>
                      <w:color w:val="auto"/>
                      <w:sz w:val="21"/>
                      <w:szCs w:val="21"/>
                      <w:highlight w:val="none"/>
                      <w:lang w:val="en-US" w:eastAsia="zh-CN"/>
                    </w:rPr>
                    <w:t>砖瓦结构，</w:t>
                  </w:r>
                  <w:r>
                    <w:rPr>
                      <w:color w:val="auto"/>
                      <w:sz w:val="21"/>
                      <w:szCs w:val="21"/>
                      <w:highlight w:val="none"/>
                      <w:lang w:val="en-US" w:eastAsia="zh-CN"/>
                    </w:rPr>
                    <w:t>建筑面积为</w:t>
                  </w:r>
                  <w:r>
                    <w:rPr>
                      <w:rFonts w:hint="eastAsia"/>
                      <w:color w:val="auto"/>
                      <w:sz w:val="21"/>
                      <w:szCs w:val="21"/>
                      <w:highlight w:val="none"/>
                      <w:lang w:val="en-US" w:eastAsia="zh-CN"/>
                    </w:rPr>
                    <w:t>240m</w:t>
                  </w:r>
                  <w:r>
                    <w:rPr>
                      <w:rFonts w:hint="eastAsia"/>
                      <w:color w:val="auto"/>
                      <w:sz w:val="21"/>
                      <w:szCs w:val="21"/>
                      <w:highlight w:val="none"/>
                      <w:vertAlign w:val="superscript"/>
                      <w:lang w:val="en-US" w:eastAsia="zh-CN"/>
                    </w:rPr>
                    <w:t>2</w:t>
                  </w:r>
                  <w:r>
                    <w:rPr>
                      <w:color w:val="auto"/>
                      <w:sz w:val="21"/>
                      <w:szCs w:val="21"/>
                      <w:highlight w:val="none"/>
                      <w:lang w:val="en-US" w:eastAsia="zh-CN"/>
                    </w:rPr>
                    <w:t>，</w:t>
                  </w:r>
                  <w:r>
                    <w:rPr>
                      <w:rFonts w:hint="eastAsia"/>
                      <w:color w:val="auto"/>
                      <w:sz w:val="21"/>
                      <w:szCs w:val="21"/>
                      <w:highlight w:val="none"/>
                      <w:lang w:val="en-US" w:eastAsia="zh-CN"/>
                    </w:rPr>
                    <w:t>高5m，</w:t>
                  </w:r>
                  <w:r>
                    <w:rPr>
                      <w:color w:val="auto"/>
                      <w:sz w:val="21"/>
                      <w:szCs w:val="21"/>
                      <w:highlight w:val="none"/>
                      <w:lang w:val="en-US" w:eastAsia="zh-CN"/>
                    </w:rPr>
                    <w:t>设置1台</w:t>
                  </w:r>
                  <w:r>
                    <w:rPr>
                      <w:rFonts w:hint="eastAsia"/>
                      <w:color w:val="auto"/>
                      <w:sz w:val="21"/>
                      <w:szCs w:val="21"/>
                      <w:highlight w:val="none"/>
                      <w:lang w:val="en-US" w:eastAsia="zh-CN"/>
                    </w:rPr>
                    <w:t>720万Kcal/h的燃生物质热风炉</w:t>
                  </w:r>
                  <w:r>
                    <w:rPr>
                      <w:color w:val="auto"/>
                      <w:sz w:val="21"/>
                      <w:szCs w:val="21"/>
                      <w:highlight w:val="none"/>
                      <w:lang w:val="en-US" w:eastAsia="zh-CN"/>
                    </w:rPr>
                    <w:t>。热风炉配备布袋除尘器和15m高烟囱</w:t>
                  </w:r>
                  <w:r>
                    <w:rPr>
                      <w:rFonts w:hint="eastAsia"/>
                      <w:color w:val="auto"/>
                      <w:sz w:val="21"/>
                      <w:szCs w:val="21"/>
                      <w:highlight w:val="none"/>
                      <w:lang w:val="en-US" w:eastAsia="zh-CN"/>
                    </w:rPr>
                    <w:t>。</w:t>
                  </w:r>
                </w:p>
              </w:tc>
              <w:tc>
                <w:tcPr>
                  <w:tcW w:w="613" w:type="pct"/>
                  <w:shd w:val="clear" w:color="auto" w:fill="auto"/>
                  <w:vAlign w:val="center"/>
                </w:tcPr>
                <w:p w14:paraId="0C1C1ADA">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48295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78490D72">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792" w:type="pct"/>
                  <w:shd w:val="clear" w:color="auto" w:fill="auto"/>
                  <w:vAlign w:val="center"/>
                </w:tcPr>
                <w:p w14:paraId="1C016140">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烘干塔</w:t>
                  </w:r>
                </w:p>
              </w:tc>
              <w:tc>
                <w:tcPr>
                  <w:tcW w:w="3132" w:type="pct"/>
                  <w:shd w:val="clear" w:color="auto" w:fill="auto"/>
                  <w:vAlign w:val="center"/>
                </w:tcPr>
                <w:p w14:paraId="7C126560">
                  <w:pPr>
                    <w:pStyle w:val="49"/>
                    <w:bidi w:val="0"/>
                    <w:ind w:firstLine="420" w:firstLineChars="200"/>
                    <w:rPr>
                      <w:rFonts w:hint="default" w:ascii="Times New Roman" w:hAnsi="Times New Roman" w:eastAsia="宋体" w:cs="Times New Roman"/>
                      <w:color w:val="auto"/>
                      <w:kern w:val="2"/>
                      <w:sz w:val="21"/>
                      <w:szCs w:val="21"/>
                      <w:highlight w:val="none"/>
                      <w:lang w:val="en-US" w:eastAsia="zh-CN" w:bidi="ar-SA"/>
                    </w:rPr>
                  </w:pPr>
                  <w:r>
                    <w:rPr>
                      <w:color w:val="auto"/>
                      <w:sz w:val="21"/>
                      <w:szCs w:val="21"/>
                      <w:highlight w:val="none"/>
                      <w:lang w:val="en-US" w:eastAsia="zh-CN"/>
                    </w:rPr>
                    <w:t>1座，烘干能力为</w:t>
                  </w:r>
                  <w:r>
                    <w:rPr>
                      <w:rFonts w:hint="eastAsia"/>
                      <w:color w:val="auto"/>
                      <w:sz w:val="21"/>
                      <w:szCs w:val="21"/>
                      <w:highlight w:val="none"/>
                      <w:lang w:val="en-US" w:eastAsia="zh-CN"/>
                    </w:rPr>
                    <w:t>600</w:t>
                  </w:r>
                  <w:r>
                    <w:rPr>
                      <w:color w:val="auto"/>
                      <w:sz w:val="21"/>
                      <w:szCs w:val="21"/>
                      <w:highlight w:val="none"/>
                      <w:lang w:val="en-US" w:eastAsia="zh-CN"/>
                    </w:rPr>
                    <w:t>t/d</w:t>
                  </w:r>
                  <w:r>
                    <w:rPr>
                      <w:rFonts w:hint="eastAsia"/>
                      <w:color w:val="auto"/>
                      <w:sz w:val="21"/>
                      <w:szCs w:val="21"/>
                      <w:highlight w:val="none"/>
                      <w:lang w:val="en-US" w:eastAsia="zh-CN"/>
                    </w:rPr>
                    <w:t>，年烘干60天</w:t>
                  </w:r>
                  <w:r>
                    <w:rPr>
                      <w:rFonts w:hint="eastAsia"/>
                      <w:color w:val="auto"/>
                      <w:highlight w:val="none"/>
                      <w:lang w:val="en-US" w:eastAsia="zh-CN"/>
                    </w:rPr>
                    <w:t>（11月-12月）</w:t>
                  </w:r>
                  <w:r>
                    <w:rPr>
                      <w:rFonts w:hint="eastAsia"/>
                      <w:color w:val="auto"/>
                      <w:sz w:val="21"/>
                      <w:szCs w:val="21"/>
                      <w:highlight w:val="none"/>
                      <w:lang w:val="en-US" w:eastAsia="zh-CN"/>
                    </w:rPr>
                    <w:t>，每天烘干24小时，年烘干玉米原粮3.6万t。</w:t>
                  </w:r>
                </w:p>
              </w:tc>
              <w:tc>
                <w:tcPr>
                  <w:tcW w:w="613" w:type="pct"/>
                  <w:shd w:val="clear" w:color="auto" w:fill="auto"/>
                  <w:vAlign w:val="center"/>
                </w:tcPr>
                <w:p w14:paraId="4C8CC865">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785D61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restart"/>
                  <w:vAlign w:val="center"/>
                </w:tcPr>
                <w:p w14:paraId="2C157AC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辅助工程</w:t>
                  </w:r>
                </w:p>
              </w:tc>
              <w:tc>
                <w:tcPr>
                  <w:tcW w:w="792" w:type="pct"/>
                  <w:vAlign w:val="center"/>
                </w:tcPr>
                <w:p w14:paraId="03846F13">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综合室</w:t>
                  </w:r>
                </w:p>
              </w:tc>
              <w:tc>
                <w:tcPr>
                  <w:tcW w:w="3132" w:type="pct"/>
                  <w:vAlign w:val="center"/>
                </w:tcPr>
                <w:p w14:paraId="0B21A57F">
                  <w:pPr>
                    <w:pStyle w:val="49"/>
                    <w:bidi w:val="0"/>
                    <w:rPr>
                      <w:rFonts w:hint="eastAsia" w:eastAsia="宋体"/>
                      <w:color w:val="auto"/>
                      <w:sz w:val="21"/>
                      <w:szCs w:val="21"/>
                      <w:highlight w:val="none"/>
                      <w:lang w:val="en-US" w:eastAsia="zh-CN"/>
                    </w:rPr>
                  </w:pPr>
                  <w:r>
                    <w:rPr>
                      <w:color w:val="auto"/>
                      <w:sz w:val="21"/>
                      <w:szCs w:val="21"/>
                      <w:highlight w:val="none"/>
                      <w:lang w:val="en-US" w:eastAsia="zh-CN"/>
                    </w:rPr>
                    <w:t>1座，</w:t>
                  </w:r>
                  <w:r>
                    <w:rPr>
                      <w:rFonts w:hint="eastAsia"/>
                      <w:color w:val="auto"/>
                      <w:sz w:val="21"/>
                      <w:szCs w:val="21"/>
                      <w:highlight w:val="none"/>
                      <w:lang w:val="en-US" w:eastAsia="zh-CN"/>
                    </w:rPr>
                    <w:t>2层，砖瓦结构，</w:t>
                  </w:r>
                  <w:r>
                    <w:rPr>
                      <w:color w:val="auto"/>
                      <w:sz w:val="21"/>
                      <w:szCs w:val="21"/>
                      <w:highlight w:val="none"/>
                      <w:lang w:val="en-US" w:eastAsia="zh-CN"/>
                    </w:rPr>
                    <w:t>建筑面积为</w:t>
                  </w:r>
                  <w:r>
                    <w:rPr>
                      <w:rFonts w:hint="eastAsia"/>
                      <w:color w:val="auto"/>
                      <w:sz w:val="21"/>
                      <w:szCs w:val="21"/>
                      <w:highlight w:val="none"/>
                      <w:lang w:val="en-US" w:eastAsia="zh-CN"/>
                    </w:rPr>
                    <w:t>1000m</w:t>
                  </w:r>
                  <w:r>
                    <w:rPr>
                      <w:rFonts w:hint="eastAsia"/>
                      <w:color w:val="auto"/>
                      <w:sz w:val="21"/>
                      <w:szCs w:val="21"/>
                      <w:highlight w:val="none"/>
                      <w:vertAlign w:val="superscript"/>
                      <w:lang w:val="en-US" w:eastAsia="zh-CN"/>
                    </w:rPr>
                    <w:t>2</w:t>
                  </w:r>
                  <w:r>
                    <w:rPr>
                      <w:color w:val="auto"/>
                      <w:sz w:val="21"/>
                      <w:szCs w:val="21"/>
                      <w:highlight w:val="none"/>
                      <w:lang w:val="en-US" w:eastAsia="zh-CN"/>
                    </w:rPr>
                    <w:t>，</w:t>
                  </w:r>
                  <w:r>
                    <w:rPr>
                      <w:rFonts w:hint="eastAsia"/>
                      <w:color w:val="auto"/>
                      <w:sz w:val="21"/>
                      <w:szCs w:val="21"/>
                      <w:highlight w:val="none"/>
                      <w:lang w:val="en-US" w:eastAsia="zh-CN"/>
                    </w:rPr>
                    <w:t>高8m，</w:t>
                  </w:r>
                  <w:r>
                    <w:rPr>
                      <w:color w:val="auto"/>
                      <w:sz w:val="21"/>
                      <w:szCs w:val="21"/>
                      <w:highlight w:val="none"/>
                      <w:lang w:val="en-US" w:eastAsia="zh-CN"/>
                    </w:rPr>
                    <w:t>用于员工办公</w:t>
                  </w:r>
                  <w:r>
                    <w:rPr>
                      <w:rFonts w:hint="eastAsia"/>
                      <w:color w:val="auto"/>
                      <w:sz w:val="21"/>
                      <w:szCs w:val="21"/>
                      <w:highlight w:val="none"/>
                      <w:lang w:val="en-US" w:eastAsia="zh-CN"/>
                    </w:rPr>
                    <w:t>与谷物化验，谷物化验仅为</w:t>
                  </w:r>
                  <w:r>
                    <w:rPr>
                      <w:color w:val="auto"/>
                      <w:sz w:val="21"/>
                      <w:szCs w:val="21"/>
                      <w:highlight w:val="none"/>
                    </w:rPr>
                    <w:t>检测谷物含水率、出米率等，不涉及化学实验</w:t>
                  </w:r>
                  <w:r>
                    <w:rPr>
                      <w:rFonts w:hint="eastAsia"/>
                      <w:color w:val="auto"/>
                      <w:sz w:val="21"/>
                      <w:szCs w:val="21"/>
                      <w:highlight w:val="none"/>
                      <w:lang w:val="en-US" w:eastAsia="zh-CN"/>
                    </w:rPr>
                    <w:t>。</w:t>
                  </w:r>
                  <w:r>
                    <w:rPr>
                      <w:rFonts w:hint="eastAsia"/>
                      <w:color w:val="auto"/>
                      <w:sz w:val="21"/>
                      <w:szCs w:val="21"/>
                      <w:highlight w:val="none"/>
                    </w:rPr>
                    <w:t>冬季采用电取暖</w:t>
                  </w:r>
                  <w:r>
                    <w:rPr>
                      <w:rFonts w:hint="eastAsia"/>
                      <w:color w:val="auto"/>
                      <w:sz w:val="21"/>
                      <w:szCs w:val="21"/>
                      <w:highlight w:val="none"/>
                      <w:lang w:eastAsia="zh-CN"/>
                    </w:rPr>
                    <w:t>。</w:t>
                  </w:r>
                </w:p>
              </w:tc>
              <w:tc>
                <w:tcPr>
                  <w:tcW w:w="613" w:type="pct"/>
                  <w:vAlign w:val="center"/>
                </w:tcPr>
                <w:p w14:paraId="093C6F86">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新建</w:t>
                  </w:r>
                </w:p>
              </w:tc>
            </w:tr>
            <w:tr w14:paraId="4EE1A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5DF434D8">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23C2F16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地磅</w:t>
                  </w:r>
                </w:p>
              </w:tc>
              <w:tc>
                <w:tcPr>
                  <w:tcW w:w="3132" w:type="pct"/>
                  <w:vAlign w:val="center"/>
                </w:tcPr>
                <w:p w14:paraId="0FADC843">
                  <w:pPr>
                    <w:pStyle w:val="49"/>
                    <w:bidi w:val="0"/>
                    <w:rPr>
                      <w:color w:val="auto"/>
                      <w:sz w:val="21"/>
                      <w:szCs w:val="21"/>
                      <w:highlight w:val="none"/>
                      <w:lang w:val="en-US" w:eastAsia="zh-CN"/>
                    </w:rPr>
                  </w:pPr>
                  <w:r>
                    <w:rPr>
                      <w:rFonts w:hint="eastAsia"/>
                      <w:color w:val="auto"/>
                      <w:sz w:val="21"/>
                      <w:szCs w:val="21"/>
                      <w:highlight w:val="none"/>
                      <w:lang w:val="en-US" w:eastAsia="zh-CN"/>
                    </w:rPr>
                    <w:t>1</w:t>
                  </w:r>
                  <w:r>
                    <w:rPr>
                      <w:color w:val="auto"/>
                      <w:sz w:val="21"/>
                      <w:szCs w:val="21"/>
                      <w:highlight w:val="none"/>
                      <w:lang w:val="en-US" w:eastAsia="zh-CN"/>
                    </w:rPr>
                    <w:t>座，最大称重量1</w:t>
                  </w:r>
                  <w:r>
                    <w:rPr>
                      <w:rFonts w:hint="eastAsia"/>
                      <w:color w:val="auto"/>
                      <w:sz w:val="21"/>
                      <w:szCs w:val="21"/>
                      <w:highlight w:val="none"/>
                      <w:lang w:val="en-US" w:eastAsia="zh-CN"/>
                    </w:rPr>
                    <w:t>5</w:t>
                  </w:r>
                  <w:r>
                    <w:rPr>
                      <w:color w:val="auto"/>
                      <w:sz w:val="21"/>
                      <w:szCs w:val="21"/>
                      <w:highlight w:val="none"/>
                      <w:lang w:val="en-US" w:eastAsia="zh-CN"/>
                    </w:rPr>
                    <w:t>0t</w:t>
                  </w:r>
                  <w:r>
                    <w:rPr>
                      <w:rFonts w:hint="eastAsia"/>
                      <w:color w:val="auto"/>
                      <w:sz w:val="21"/>
                      <w:szCs w:val="21"/>
                      <w:highlight w:val="none"/>
                      <w:lang w:val="en-US" w:eastAsia="zh-CN"/>
                    </w:rPr>
                    <w:t>。</w:t>
                  </w:r>
                </w:p>
              </w:tc>
              <w:tc>
                <w:tcPr>
                  <w:tcW w:w="613" w:type="pct"/>
                  <w:vAlign w:val="center"/>
                </w:tcPr>
                <w:p w14:paraId="4279F429">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447394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64A072B7">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585442C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筛分</w:t>
                  </w:r>
                </w:p>
              </w:tc>
              <w:tc>
                <w:tcPr>
                  <w:tcW w:w="3132" w:type="pct"/>
                  <w:vAlign w:val="center"/>
                </w:tcPr>
                <w:p w14:paraId="45125DDD">
                  <w:pPr>
                    <w:pStyle w:val="49"/>
                    <w:bidi w:val="0"/>
                    <w:rPr>
                      <w:rFonts w:hint="default"/>
                      <w:color w:val="auto"/>
                      <w:szCs w:val="21"/>
                      <w:highlight w:val="none"/>
                      <w:lang w:val="en-US" w:eastAsia="zh-CN"/>
                    </w:rPr>
                  </w:pPr>
                  <w:r>
                    <w:rPr>
                      <w:rFonts w:hint="eastAsia"/>
                      <w:color w:val="auto"/>
                      <w:highlight w:val="none"/>
                      <w:lang w:val="en-US" w:eastAsia="zh-CN"/>
                    </w:rPr>
                    <w:t>本项目筛分工序设置1台</w:t>
                  </w:r>
                  <w:r>
                    <w:rPr>
                      <w:rFonts w:hint="default"/>
                      <w:color w:val="auto"/>
                      <w:highlight w:val="none"/>
                      <w:lang w:val="en-US" w:eastAsia="zh-CN"/>
                    </w:rPr>
                    <w:t>初清筛</w:t>
                  </w:r>
                  <w:r>
                    <w:rPr>
                      <w:rFonts w:hint="eastAsia"/>
                      <w:color w:val="auto"/>
                      <w:highlight w:val="none"/>
                      <w:lang w:val="en-US" w:eastAsia="zh-CN"/>
                    </w:rPr>
                    <w:t>，</w:t>
                  </w:r>
                  <w:r>
                    <w:rPr>
                      <w:rFonts w:hint="default"/>
                      <w:color w:val="auto"/>
                      <w:highlight w:val="none"/>
                      <w:lang w:val="en-US" w:eastAsia="zh-CN"/>
                    </w:rPr>
                    <w:t>初清筛</w:t>
                  </w:r>
                  <w:r>
                    <w:rPr>
                      <w:color w:val="auto"/>
                      <w:highlight w:val="none"/>
                    </w:rPr>
                    <w:t>采</w:t>
                  </w:r>
                  <w:r>
                    <w:rPr>
                      <w:rFonts w:hint="eastAsia"/>
                      <w:color w:val="auto"/>
                      <w:highlight w:val="none"/>
                      <w:lang w:val="en-US" w:eastAsia="zh-CN"/>
                    </w:rPr>
                    <w:t>取</w:t>
                  </w:r>
                  <w:r>
                    <w:rPr>
                      <w:color w:val="auto"/>
                      <w:highlight w:val="none"/>
                    </w:rPr>
                    <w:t>封闭</w:t>
                  </w:r>
                  <w:r>
                    <w:rPr>
                      <w:rFonts w:hint="eastAsia"/>
                      <w:color w:val="auto"/>
                      <w:highlight w:val="none"/>
                      <w:lang w:val="en-US" w:eastAsia="zh-CN"/>
                    </w:rPr>
                    <w:t>措施，筛分工作期间设置围挡，可</w:t>
                  </w:r>
                  <w:r>
                    <w:rPr>
                      <w:color w:val="auto"/>
                      <w:highlight w:val="none"/>
                    </w:rPr>
                    <w:t>减少</w:t>
                  </w:r>
                  <w:r>
                    <w:rPr>
                      <w:rFonts w:hint="eastAsia"/>
                      <w:color w:val="auto"/>
                      <w:highlight w:val="none"/>
                      <w:lang w:val="en-US" w:eastAsia="zh-CN"/>
                    </w:rPr>
                    <w:t>筛分</w:t>
                  </w:r>
                  <w:r>
                    <w:rPr>
                      <w:color w:val="auto"/>
                      <w:highlight w:val="none"/>
                    </w:rPr>
                    <w:t>粉尘的</w:t>
                  </w:r>
                  <w:r>
                    <w:rPr>
                      <w:rFonts w:hint="eastAsia"/>
                      <w:color w:val="auto"/>
                      <w:highlight w:val="none"/>
                      <w:lang w:val="en-US" w:eastAsia="zh-CN"/>
                    </w:rPr>
                    <w:t>排放</w:t>
                  </w:r>
                  <w:r>
                    <w:rPr>
                      <w:color w:val="auto"/>
                      <w:highlight w:val="none"/>
                    </w:rPr>
                    <w:t>。</w:t>
                  </w:r>
                </w:p>
              </w:tc>
              <w:tc>
                <w:tcPr>
                  <w:tcW w:w="613" w:type="pct"/>
                  <w:vAlign w:val="center"/>
                </w:tcPr>
                <w:p w14:paraId="47653422">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77EC4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restart"/>
                  <w:vAlign w:val="center"/>
                </w:tcPr>
                <w:p w14:paraId="2B352A1A">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储运工程</w:t>
                  </w:r>
                </w:p>
              </w:tc>
              <w:tc>
                <w:tcPr>
                  <w:tcW w:w="792" w:type="pct"/>
                  <w:shd w:val="clear" w:color="auto" w:fill="auto"/>
                  <w:vAlign w:val="center"/>
                </w:tcPr>
                <w:p w14:paraId="03BFF271">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1#原粮库</w:t>
                  </w:r>
                </w:p>
              </w:tc>
              <w:tc>
                <w:tcPr>
                  <w:tcW w:w="3132" w:type="pct"/>
                  <w:shd w:val="clear" w:color="auto" w:fill="auto"/>
                  <w:vAlign w:val="center"/>
                </w:tcPr>
                <w:p w14:paraId="514E264F">
                  <w:pPr>
                    <w:pStyle w:val="49"/>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olor w:val="auto"/>
                      <w:sz w:val="21"/>
                      <w:szCs w:val="21"/>
                      <w:highlight w:val="none"/>
                      <w:lang w:val="en-US" w:eastAsia="zh-CN"/>
                    </w:rPr>
                    <w:t>1座，全封闭钢结构，建筑</w:t>
                  </w:r>
                  <w:r>
                    <w:rPr>
                      <w:color w:val="auto"/>
                      <w:sz w:val="21"/>
                      <w:szCs w:val="21"/>
                      <w:highlight w:val="none"/>
                      <w:lang w:val="en-US" w:eastAsia="zh-CN"/>
                    </w:rPr>
                    <w:t>面积</w:t>
                  </w:r>
                  <w:r>
                    <w:rPr>
                      <w:rFonts w:hint="eastAsia"/>
                      <w:color w:val="auto"/>
                      <w:sz w:val="21"/>
                      <w:szCs w:val="21"/>
                      <w:highlight w:val="none"/>
                      <w:lang w:val="en-US" w:eastAsia="zh-CN"/>
                    </w:rPr>
                    <w:t>1650m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，高度11m，</w:t>
                  </w:r>
                  <w:r>
                    <w:rPr>
                      <w:color w:val="auto"/>
                      <w:sz w:val="21"/>
                      <w:szCs w:val="21"/>
                      <w:highlight w:val="none"/>
                      <w:lang w:val="en-US" w:eastAsia="zh-CN"/>
                    </w:rPr>
                    <w:t>用于贮存</w:t>
                  </w:r>
                  <w:r>
                    <w:rPr>
                      <w:rFonts w:hint="eastAsia" w:cs="Times New Roman"/>
                      <w:color w:val="auto"/>
                      <w:kern w:val="2"/>
                      <w:sz w:val="21"/>
                      <w:szCs w:val="21"/>
                      <w:highlight w:val="none"/>
                      <w:lang w:val="en-US" w:eastAsia="zh-CN" w:bidi="ar-SA"/>
                    </w:rPr>
                    <w:t>原粮</w:t>
                  </w:r>
                  <w:r>
                    <w:rPr>
                      <w:rFonts w:hint="eastAsia"/>
                      <w:color w:val="auto"/>
                      <w:sz w:val="21"/>
                      <w:szCs w:val="21"/>
                      <w:highlight w:val="none"/>
                      <w:lang w:val="en-US" w:eastAsia="zh-CN"/>
                    </w:rPr>
                    <w:t>，最大储存量6000吨，转运周期为15d。</w:t>
                  </w:r>
                </w:p>
              </w:tc>
              <w:tc>
                <w:tcPr>
                  <w:tcW w:w="613" w:type="pct"/>
                  <w:shd w:val="clear" w:color="auto" w:fill="auto"/>
                  <w:vAlign w:val="center"/>
                </w:tcPr>
                <w:p w14:paraId="22356119">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098F4E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6BAEDA94">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shd w:val="clear" w:color="auto" w:fill="auto"/>
                  <w:vAlign w:val="center"/>
                </w:tcPr>
                <w:p w14:paraId="10FEDCC0">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2#原粮库</w:t>
                  </w:r>
                </w:p>
              </w:tc>
              <w:tc>
                <w:tcPr>
                  <w:tcW w:w="3132" w:type="pct"/>
                  <w:shd w:val="clear" w:color="auto" w:fill="auto"/>
                  <w:vAlign w:val="center"/>
                </w:tcPr>
                <w:p w14:paraId="3B7A654F">
                  <w:pPr>
                    <w:pStyle w:val="49"/>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olor w:val="auto"/>
                      <w:sz w:val="21"/>
                      <w:szCs w:val="21"/>
                      <w:highlight w:val="none"/>
                      <w:lang w:val="en-US" w:eastAsia="zh-CN"/>
                    </w:rPr>
                    <w:t>1座，全封闭钢结构，建筑</w:t>
                  </w:r>
                  <w:r>
                    <w:rPr>
                      <w:color w:val="auto"/>
                      <w:sz w:val="21"/>
                      <w:szCs w:val="21"/>
                      <w:highlight w:val="none"/>
                      <w:lang w:val="en-US" w:eastAsia="zh-CN"/>
                    </w:rPr>
                    <w:t>面积</w:t>
                  </w:r>
                  <w:r>
                    <w:rPr>
                      <w:rFonts w:hint="eastAsia"/>
                      <w:color w:val="auto"/>
                      <w:sz w:val="21"/>
                      <w:szCs w:val="21"/>
                      <w:highlight w:val="none"/>
                      <w:lang w:val="en-US" w:eastAsia="zh-CN"/>
                    </w:rPr>
                    <w:t>2000m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，高度9m，</w:t>
                  </w:r>
                  <w:r>
                    <w:rPr>
                      <w:color w:val="auto"/>
                      <w:sz w:val="21"/>
                      <w:szCs w:val="21"/>
                      <w:highlight w:val="none"/>
                      <w:lang w:val="en-US" w:eastAsia="zh-CN"/>
                    </w:rPr>
                    <w:t>用于贮存</w:t>
                  </w:r>
                  <w:r>
                    <w:rPr>
                      <w:rFonts w:hint="eastAsia" w:cs="Times New Roman"/>
                      <w:color w:val="auto"/>
                      <w:kern w:val="2"/>
                      <w:sz w:val="21"/>
                      <w:szCs w:val="21"/>
                      <w:highlight w:val="none"/>
                      <w:lang w:val="en-US" w:eastAsia="zh-CN" w:bidi="ar-SA"/>
                    </w:rPr>
                    <w:t>原粮</w:t>
                  </w:r>
                  <w:r>
                    <w:rPr>
                      <w:rFonts w:hint="eastAsia"/>
                      <w:color w:val="auto"/>
                      <w:sz w:val="21"/>
                      <w:szCs w:val="21"/>
                      <w:highlight w:val="none"/>
                      <w:lang w:val="en-US" w:eastAsia="zh-CN"/>
                    </w:rPr>
                    <w:t>，最大储存量7000吨，转运周期为15d。</w:t>
                  </w:r>
                </w:p>
              </w:tc>
              <w:tc>
                <w:tcPr>
                  <w:tcW w:w="613" w:type="pct"/>
                  <w:shd w:val="clear" w:color="auto" w:fill="auto"/>
                  <w:vAlign w:val="center"/>
                </w:tcPr>
                <w:p w14:paraId="3BD19783">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1E076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02277F3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6FF15A94">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1#干</w:t>
                  </w:r>
                  <w:r>
                    <w:rPr>
                      <w:rFonts w:hint="eastAsia"/>
                      <w:color w:val="auto"/>
                      <w:sz w:val="21"/>
                      <w:szCs w:val="21"/>
                      <w:highlight w:val="none"/>
                    </w:rPr>
                    <w:t>粮库</w:t>
                  </w:r>
                </w:p>
              </w:tc>
              <w:tc>
                <w:tcPr>
                  <w:tcW w:w="3132" w:type="pct"/>
                  <w:vAlign w:val="center"/>
                </w:tcPr>
                <w:p w14:paraId="79A0CC4E">
                  <w:pPr>
                    <w:pStyle w:val="49"/>
                    <w:bidi w:val="0"/>
                    <w:rPr>
                      <w:rFonts w:hint="eastAsia" w:eastAsia="宋体"/>
                      <w:color w:val="auto"/>
                      <w:sz w:val="21"/>
                      <w:szCs w:val="21"/>
                      <w:highlight w:val="none"/>
                      <w:lang w:val="en-US" w:eastAsia="zh-CN"/>
                    </w:rPr>
                  </w:pPr>
                  <w:r>
                    <w:rPr>
                      <w:rFonts w:hint="eastAsia"/>
                      <w:color w:val="auto"/>
                      <w:sz w:val="21"/>
                      <w:szCs w:val="21"/>
                      <w:highlight w:val="none"/>
                      <w:lang w:val="en-US" w:eastAsia="zh-CN"/>
                    </w:rPr>
                    <w:t>1座，全封闭钢结构，建筑</w:t>
                  </w:r>
                  <w:r>
                    <w:rPr>
                      <w:color w:val="auto"/>
                      <w:sz w:val="21"/>
                      <w:szCs w:val="21"/>
                      <w:highlight w:val="none"/>
                      <w:lang w:val="en-US" w:eastAsia="zh-CN"/>
                    </w:rPr>
                    <w:t>面积</w:t>
                  </w:r>
                  <w:r>
                    <w:rPr>
                      <w:rFonts w:hint="eastAsia"/>
                      <w:color w:val="auto"/>
                      <w:sz w:val="21"/>
                      <w:szCs w:val="21"/>
                      <w:highlight w:val="none"/>
                      <w:lang w:val="en-US" w:eastAsia="zh-CN"/>
                    </w:rPr>
                    <w:t>2000m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，高度11m，</w:t>
                  </w:r>
                  <w:r>
                    <w:rPr>
                      <w:color w:val="auto"/>
                      <w:sz w:val="21"/>
                      <w:szCs w:val="21"/>
                      <w:highlight w:val="none"/>
                      <w:lang w:val="en-US" w:eastAsia="zh-CN"/>
                    </w:rPr>
                    <w:t>用于贮存</w:t>
                  </w:r>
                  <w:r>
                    <w:rPr>
                      <w:rFonts w:hint="eastAsia"/>
                      <w:color w:val="auto"/>
                      <w:sz w:val="21"/>
                      <w:szCs w:val="21"/>
                      <w:highlight w:val="none"/>
                      <w:lang w:val="en-US" w:eastAsia="zh-CN"/>
                    </w:rPr>
                    <w:t>干粮，最大储存量8000吨，转运周期为15d。</w:t>
                  </w:r>
                </w:p>
              </w:tc>
              <w:tc>
                <w:tcPr>
                  <w:tcW w:w="613" w:type="pct"/>
                  <w:vAlign w:val="center"/>
                </w:tcPr>
                <w:p w14:paraId="365CE96A">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00883C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31F2C9B9">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19C6D205">
                  <w:pPr>
                    <w:pStyle w:val="172"/>
                    <w:keepNext w:val="0"/>
                    <w:keepLines w:val="0"/>
                    <w:pageBreakBefore w:val="0"/>
                    <w:widowControl/>
                    <w:kinsoku/>
                    <w:wordWrap w:val="0"/>
                    <w:overflowPunct/>
                    <w:topLinePunct w:val="0"/>
                    <w:bidi w:val="0"/>
                    <w:adjustRightInd w:val="0"/>
                    <w:snapToGrid w:val="0"/>
                    <w:spacing w:line="240" w:lineRule="auto"/>
                    <w:ind w:left="0" w:leftChars="0" w:right="0" w:rightChars="0" w:firstLine="0" w:firstLineChars="0"/>
                    <w:jc w:val="center"/>
                    <w:rPr>
                      <w:rFonts w:hint="eastAsia"/>
                      <w:color w:val="auto"/>
                      <w:sz w:val="21"/>
                      <w:szCs w:val="21"/>
                      <w:highlight w:val="none"/>
                      <w:lang w:val="en-US" w:eastAsia="zh-CN"/>
                    </w:rPr>
                  </w:pPr>
                  <w:r>
                    <w:rPr>
                      <w:snapToGrid w:val="0"/>
                      <w:color w:val="auto"/>
                      <w:spacing w:val="0"/>
                      <w:sz w:val="21"/>
                      <w:szCs w:val="21"/>
                      <w:highlight w:val="none"/>
                    </w:rPr>
                    <w:t>圆形原粮筒仓</w:t>
                  </w:r>
                </w:p>
              </w:tc>
              <w:tc>
                <w:tcPr>
                  <w:tcW w:w="3132" w:type="pct"/>
                  <w:vAlign w:val="center"/>
                </w:tcPr>
                <w:p w14:paraId="656D96E7">
                  <w:pPr>
                    <w:pStyle w:val="49"/>
                    <w:bidi w:val="0"/>
                    <w:rPr>
                      <w:rFonts w:hint="default" w:eastAsia="宋体"/>
                      <w:highlight w:val="none"/>
                      <w:lang w:val="en-US" w:eastAsia="zh-CN"/>
                    </w:rPr>
                  </w:pPr>
                  <w:r>
                    <w:rPr>
                      <w:highlight w:val="none"/>
                    </w:rPr>
                    <w:t>建设</w:t>
                  </w:r>
                  <w:r>
                    <w:rPr>
                      <w:rFonts w:hint="eastAsia"/>
                      <w:highlight w:val="none"/>
                      <w:lang w:val="en-US" w:eastAsia="zh-CN"/>
                    </w:rPr>
                    <w:t>10</w:t>
                  </w:r>
                  <w:r>
                    <w:rPr>
                      <w:highlight w:val="none"/>
                    </w:rPr>
                    <w:t>座，建筑面积均为</w:t>
                  </w:r>
                  <w:r>
                    <w:rPr>
                      <w:rFonts w:hint="eastAsia"/>
                      <w:highlight w:val="none"/>
                      <w:lang w:val="en-US" w:eastAsia="zh-CN"/>
                    </w:rPr>
                    <w:t>5</w:t>
                  </w:r>
                  <w:r>
                    <w:rPr>
                      <w:highlight w:val="none"/>
                    </w:rPr>
                    <w:t>0m</w:t>
                  </w:r>
                  <w:r>
                    <w:rPr>
                      <w:rFonts w:hint="eastAsia"/>
                      <w:highlight w:val="none"/>
                      <w:vertAlign w:val="superscript"/>
                      <w:lang w:val="en-US" w:eastAsia="zh-CN"/>
                    </w:rPr>
                    <w:t>2</w:t>
                  </w:r>
                  <w:r>
                    <w:rPr>
                      <w:rFonts w:hint="eastAsia"/>
                      <w:highlight w:val="none"/>
                      <w:lang w:eastAsia="zh-CN"/>
                    </w:rPr>
                    <w:t>，</w:t>
                  </w:r>
                  <w:r>
                    <w:rPr>
                      <w:rFonts w:hint="eastAsia"/>
                      <w:highlight w:val="none"/>
                      <w:lang w:val="en-US" w:eastAsia="zh-CN"/>
                    </w:rPr>
                    <w:t>钢</w:t>
                  </w:r>
                  <w:r>
                    <w:rPr>
                      <w:highlight w:val="none"/>
                    </w:rPr>
                    <w:t>结构。用于储存烘干前玉米</w:t>
                  </w:r>
                  <w:r>
                    <w:rPr>
                      <w:rFonts w:hint="eastAsia"/>
                      <w:highlight w:val="none"/>
                      <w:lang w:eastAsia="zh-CN"/>
                    </w:rPr>
                    <w:t>，</w:t>
                  </w:r>
                  <w:r>
                    <w:rPr>
                      <w:rFonts w:hint="eastAsia"/>
                      <w:highlight w:val="none"/>
                      <w:lang w:val="en-US" w:eastAsia="zh-CN"/>
                    </w:rPr>
                    <w:t>单座</w:t>
                  </w:r>
                  <w:r>
                    <w:rPr>
                      <w:snapToGrid w:val="0"/>
                      <w:color w:val="auto"/>
                      <w:spacing w:val="0"/>
                      <w:sz w:val="21"/>
                      <w:szCs w:val="21"/>
                      <w:highlight w:val="none"/>
                    </w:rPr>
                    <w:t>圆形原粮筒仓</w:t>
                  </w:r>
                  <w:r>
                    <w:rPr>
                      <w:rFonts w:hint="eastAsia"/>
                      <w:highlight w:val="none"/>
                      <w:lang w:val="en-US" w:eastAsia="zh-CN"/>
                    </w:rPr>
                    <w:t>可储存烘干前玉米1000t</w:t>
                  </w:r>
                  <w:r>
                    <w:rPr>
                      <w:rFonts w:hint="eastAsia"/>
                      <w:highlight w:val="none"/>
                      <w:lang w:eastAsia="zh-CN"/>
                    </w:rPr>
                    <w:t>，</w:t>
                  </w:r>
                  <w:r>
                    <w:rPr>
                      <w:rFonts w:hint="eastAsia"/>
                      <w:highlight w:val="none"/>
                      <w:lang w:val="en-US" w:eastAsia="zh-CN"/>
                    </w:rPr>
                    <w:t>合计储存能力为10000t</w:t>
                  </w:r>
                  <w:r>
                    <w:rPr>
                      <w:rFonts w:hint="eastAsia"/>
                      <w:color w:val="auto"/>
                      <w:sz w:val="21"/>
                      <w:szCs w:val="21"/>
                      <w:highlight w:val="none"/>
                      <w:lang w:val="en-US" w:eastAsia="zh-CN"/>
                    </w:rPr>
                    <w:t>，转运周期为15d</w:t>
                  </w:r>
                  <w:r>
                    <w:rPr>
                      <w:rFonts w:hint="eastAsia"/>
                      <w:highlight w:val="none"/>
                      <w:lang w:val="en-US" w:eastAsia="zh-CN"/>
                    </w:rPr>
                    <w:t>。</w:t>
                  </w:r>
                </w:p>
              </w:tc>
              <w:tc>
                <w:tcPr>
                  <w:tcW w:w="613" w:type="pct"/>
                  <w:vAlign w:val="center"/>
                </w:tcPr>
                <w:p w14:paraId="1F7A8A8E">
                  <w:pPr>
                    <w:pStyle w:val="172"/>
                    <w:keepNext w:val="0"/>
                    <w:keepLines w:val="0"/>
                    <w:pageBreakBefore w:val="0"/>
                    <w:widowControl/>
                    <w:kinsoku/>
                    <w:wordWrap w:val="0"/>
                    <w:overflowPunct/>
                    <w:topLinePunct w:val="0"/>
                    <w:bidi w:val="0"/>
                    <w:adjustRightInd w:val="0"/>
                    <w:snapToGrid w:val="0"/>
                    <w:spacing w:line="240" w:lineRule="auto"/>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412CC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645BFBE4">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5D626DF9">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燃料</w:t>
                  </w:r>
                  <w:r>
                    <w:rPr>
                      <w:rFonts w:hint="eastAsia" w:ascii="Times New Roman" w:hAnsi="Times New Roman" w:eastAsia="宋体" w:cs="Times New Roman"/>
                      <w:color w:val="auto"/>
                      <w:kern w:val="2"/>
                      <w:sz w:val="21"/>
                      <w:szCs w:val="21"/>
                      <w:highlight w:val="none"/>
                      <w:lang w:val="en-US" w:eastAsia="zh-CN" w:bidi="ar-SA"/>
                    </w:rPr>
                    <w:t>库</w:t>
                  </w:r>
                </w:p>
              </w:tc>
              <w:tc>
                <w:tcPr>
                  <w:tcW w:w="3132" w:type="pct"/>
                  <w:vAlign w:val="center"/>
                </w:tcPr>
                <w:p w14:paraId="23612056">
                  <w:pPr>
                    <w:pStyle w:val="49"/>
                    <w:bidi w:val="0"/>
                    <w:rPr>
                      <w:color w:val="auto"/>
                      <w:sz w:val="21"/>
                      <w:szCs w:val="21"/>
                      <w:highlight w:val="none"/>
                      <w:lang w:val="en-US" w:eastAsia="zh-CN"/>
                    </w:rPr>
                  </w:pPr>
                  <w:r>
                    <w:rPr>
                      <w:rFonts w:hint="eastAsia"/>
                      <w:color w:val="auto"/>
                      <w:sz w:val="21"/>
                      <w:szCs w:val="21"/>
                      <w:highlight w:val="none"/>
                      <w:lang w:val="en-US" w:eastAsia="zh-CN"/>
                    </w:rPr>
                    <w:t>1座，</w:t>
                  </w:r>
                  <w:r>
                    <w:rPr>
                      <w:rFonts w:hint="default"/>
                      <w:color w:val="auto"/>
                      <w:sz w:val="21"/>
                      <w:szCs w:val="21"/>
                      <w:highlight w:val="none"/>
                      <w:lang w:val="en-US" w:eastAsia="zh-CN"/>
                    </w:rPr>
                    <w:t>位于</w:t>
                  </w:r>
                  <w:r>
                    <w:rPr>
                      <w:rFonts w:hint="eastAsia"/>
                      <w:color w:val="auto"/>
                      <w:sz w:val="21"/>
                      <w:szCs w:val="21"/>
                      <w:highlight w:val="none"/>
                      <w:lang w:val="en-US" w:eastAsia="zh-CN"/>
                    </w:rPr>
                    <w:t>热风炉房内</w:t>
                  </w:r>
                  <w:r>
                    <w:rPr>
                      <w:rFonts w:hint="default"/>
                      <w:color w:val="auto"/>
                      <w:sz w:val="21"/>
                      <w:szCs w:val="21"/>
                      <w:highlight w:val="none"/>
                      <w:lang w:val="en-US" w:eastAsia="zh-CN"/>
                    </w:rPr>
                    <w:t>，建筑面积</w:t>
                  </w:r>
                  <w:r>
                    <w:rPr>
                      <w:rFonts w:hint="eastAsia"/>
                      <w:color w:val="auto"/>
                      <w:sz w:val="21"/>
                      <w:szCs w:val="21"/>
                      <w:highlight w:val="none"/>
                      <w:lang w:val="en-US" w:eastAsia="zh-CN"/>
                    </w:rPr>
                    <w:t>5</w:t>
                  </w:r>
                  <w:r>
                    <w:rPr>
                      <w:rFonts w:hint="default"/>
                      <w:color w:val="auto"/>
                      <w:sz w:val="21"/>
                      <w:szCs w:val="21"/>
                      <w:highlight w:val="none"/>
                      <w:lang w:val="en-US" w:eastAsia="zh-CN"/>
                    </w:rPr>
                    <w:t>0</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2</w:t>
                  </w:r>
                  <w:r>
                    <w:rPr>
                      <w:rFonts w:hint="default"/>
                      <w:color w:val="auto"/>
                      <w:sz w:val="21"/>
                      <w:szCs w:val="21"/>
                      <w:highlight w:val="none"/>
                      <w:lang w:val="en-US" w:eastAsia="zh-CN"/>
                    </w:rPr>
                    <w:t>，储存能力</w:t>
                  </w:r>
                  <w:r>
                    <w:rPr>
                      <w:rFonts w:hint="eastAsia"/>
                      <w:color w:val="auto"/>
                      <w:sz w:val="21"/>
                      <w:szCs w:val="21"/>
                      <w:highlight w:val="none"/>
                      <w:lang w:val="en-US" w:eastAsia="zh-CN"/>
                    </w:rPr>
                    <w:t>150</w:t>
                  </w:r>
                  <w:r>
                    <w:rPr>
                      <w:rFonts w:hint="default"/>
                      <w:color w:val="auto"/>
                      <w:sz w:val="21"/>
                      <w:szCs w:val="21"/>
                      <w:highlight w:val="none"/>
                      <w:lang w:val="en-US" w:eastAsia="zh-CN"/>
                    </w:rPr>
                    <w:t>t</w:t>
                  </w:r>
                  <w:r>
                    <w:rPr>
                      <w:rFonts w:hint="eastAsia"/>
                      <w:color w:val="auto"/>
                      <w:sz w:val="21"/>
                      <w:szCs w:val="21"/>
                      <w:highlight w:val="none"/>
                      <w:lang w:val="en-US" w:eastAsia="zh-CN"/>
                    </w:rPr>
                    <w:t>，转运周期为2d。</w:t>
                  </w:r>
                  <w:r>
                    <w:rPr>
                      <w:color w:val="auto"/>
                      <w:sz w:val="21"/>
                      <w:szCs w:val="21"/>
                      <w:highlight w:val="none"/>
                      <w:lang w:val="en-US" w:eastAsia="zh-CN"/>
                    </w:rPr>
                    <w:t>本项目燃料定期运输至厂内</w:t>
                  </w:r>
                  <w:r>
                    <w:rPr>
                      <w:rFonts w:ascii="Times New Roman" w:hAnsi="Times New Roman" w:eastAsia="宋体" w:cs="Times New Roman"/>
                      <w:color w:val="auto"/>
                      <w:kern w:val="2"/>
                      <w:sz w:val="21"/>
                      <w:szCs w:val="21"/>
                      <w:highlight w:val="none"/>
                      <w:lang w:val="en-US" w:eastAsia="zh-CN" w:bidi="ar-SA"/>
                    </w:rPr>
                    <w:t>燃料</w:t>
                  </w:r>
                  <w:r>
                    <w:rPr>
                      <w:rFonts w:hint="eastAsia" w:ascii="Times New Roman" w:hAnsi="Times New Roman" w:eastAsia="宋体" w:cs="Times New Roman"/>
                      <w:color w:val="auto"/>
                      <w:kern w:val="2"/>
                      <w:sz w:val="21"/>
                      <w:szCs w:val="21"/>
                      <w:highlight w:val="none"/>
                      <w:lang w:val="en-US" w:eastAsia="zh-CN" w:bidi="ar-SA"/>
                    </w:rPr>
                    <w:t>库</w:t>
                  </w:r>
                  <w:r>
                    <w:rPr>
                      <w:color w:val="auto"/>
                      <w:sz w:val="21"/>
                      <w:szCs w:val="21"/>
                      <w:highlight w:val="none"/>
                      <w:lang w:val="en-US" w:eastAsia="zh-CN"/>
                    </w:rPr>
                    <w:t>房暂存</w:t>
                  </w:r>
                  <w:r>
                    <w:rPr>
                      <w:rFonts w:hint="eastAsia"/>
                      <w:color w:val="auto"/>
                      <w:sz w:val="21"/>
                      <w:szCs w:val="21"/>
                      <w:highlight w:val="none"/>
                      <w:lang w:val="en-US" w:eastAsia="zh-CN"/>
                    </w:rPr>
                    <w:t>，</w:t>
                  </w:r>
                  <w:r>
                    <w:rPr>
                      <w:rFonts w:ascii="Times New Roman" w:hAnsi="Times New Roman" w:eastAsia="宋体" w:cs="Times New Roman"/>
                      <w:color w:val="auto"/>
                      <w:kern w:val="2"/>
                      <w:sz w:val="21"/>
                      <w:szCs w:val="21"/>
                      <w:highlight w:val="none"/>
                      <w:lang w:val="en-US" w:eastAsia="zh-CN" w:bidi="ar-SA"/>
                    </w:rPr>
                    <w:t>燃料</w:t>
                  </w:r>
                  <w:r>
                    <w:rPr>
                      <w:rFonts w:hint="eastAsia" w:ascii="Times New Roman" w:hAnsi="Times New Roman" w:eastAsia="宋体" w:cs="Times New Roman"/>
                      <w:color w:val="auto"/>
                      <w:kern w:val="2"/>
                      <w:sz w:val="21"/>
                      <w:szCs w:val="21"/>
                      <w:highlight w:val="none"/>
                      <w:lang w:val="en-US" w:eastAsia="zh-CN" w:bidi="ar-SA"/>
                    </w:rPr>
                    <w:t>库</w:t>
                  </w:r>
                  <w:r>
                    <w:rPr>
                      <w:rFonts w:hint="eastAsia" w:cs="Times New Roman"/>
                      <w:color w:val="auto"/>
                      <w:kern w:val="2"/>
                      <w:sz w:val="21"/>
                      <w:szCs w:val="21"/>
                      <w:highlight w:val="none"/>
                      <w:lang w:val="en-US" w:eastAsia="zh-CN" w:bidi="ar-SA"/>
                    </w:rPr>
                    <w:t>全</w:t>
                  </w:r>
                  <w:r>
                    <w:rPr>
                      <w:rFonts w:hint="eastAsia"/>
                      <w:color w:val="auto"/>
                      <w:sz w:val="21"/>
                      <w:szCs w:val="21"/>
                      <w:highlight w:val="none"/>
                      <w:lang w:val="en-US" w:eastAsia="zh-CN"/>
                    </w:rPr>
                    <w:t>封闭</w:t>
                  </w:r>
                  <w:r>
                    <w:rPr>
                      <w:color w:val="auto"/>
                      <w:sz w:val="21"/>
                      <w:szCs w:val="21"/>
                      <w:highlight w:val="none"/>
                      <w:lang w:val="en-US" w:eastAsia="zh-CN"/>
                    </w:rPr>
                    <w:t>。</w:t>
                  </w:r>
                </w:p>
              </w:tc>
              <w:tc>
                <w:tcPr>
                  <w:tcW w:w="613" w:type="pct"/>
                  <w:vAlign w:val="center"/>
                </w:tcPr>
                <w:p w14:paraId="45D31E1B">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2AE57B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0D104A10">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55245FD7">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灰渣</w:t>
                  </w:r>
                  <w:r>
                    <w:rPr>
                      <w:rFonts w:hint="eastAsia" w:ascii="Times New Roman" w:hAnsi="Times New Roman" w:eastAsia="宋体" w:cs="Times New Roman"/>
                      <w:color w:val="auto"/>
                      <w:kern w:val="2"/>
                      <w:sz w:val="21"/>
                      <w:szCs w:val="21"/>
                      <w:highlight w:val="none"/>
                      <w:lang w:val="en-US" w:eastAsia="zh-CN" w:bidi="ar-SA"/>
                    </w:rPr>
                    <w:t>库</w:t>
                  </w:r>
                </w:p>
              </w:tc>
              <w:tc>
                <w:tcPr>
                  <w:tcW w:w="3132" w:type="pct"/>
                  <w:vAlign w:val="center"/>
                </w:tcPr>
                <w:p w14:paraId="1B5EC007">
                  <w:pPr>
                    <w:pStyle w:val="49"/>
                    <w:bidi w:val="0"/>
                    <w:rPr>
                      <w:rFonts w:hint="eastAsia"/>
                      <w:color w:val="auto"/>
                      <w:sz w:val="21"/>
                      <w:szCs w:val="21"/>
                      <w:highlight w:val="none"/>
                      <w:lang w:val="en-US" w:eastAsia="zh-CN"/>
                    </w:rPr>
                  </w:pPr>
                  <w:r>
                    <w:rPr>
                      <w:rFonts w:hint="eastAsia"/>
                      <w:color w:val="auto"/>
                      <w:sz w:val="21"/>
                      <w:szCs w:val="21"/>
                      <w:highlight w:val="none"/>
                      <w:lang w:val="en-US" w:eastAsia="zh-CN"/>
                    </w:rPr>
                    <w:t>1座，</w:t>
                  </w:r>
                  <w:r>
                    <w:rPr>
                      <w:rFonts w:hint="default"/>
                      <w:color w:val="auto"/>
                      <w:sz w:val="21"/>
                      <w:szCs w:val="21"/>
                      <w:highlight w:val="none"/>
                      <w:lang w:val="en-US" w:eastAsia="zh-CN"/>
                    </w:rPr>
                    <w:t>位于</w:t>
                  </w:r>
                  <w:r>
                    <w:rPr>
                      <w:rFonts w:hint="eastAsia"/>
                      <w:color w:val="auto"/>
                      <w:sz w:val="21"/>
                      <w:szCs w:val="21"/>
                      <w:highlight w:val="none"/>
                      <w:lang w:val="en-US" w:eastAsia="zh-CN"/>
                    </w:rPr>
                    <w:t>热风炉房内</w:t>
                  </w:r>
                  <w:r>
                    <w:rPr>
                      <w:rFonts w:hint="default"/>
                      <w:color w:val="auto"/>
                      <w:sz w:val="21"/>
                      <w:szCs w:val="21"/>
                      <w:highlight w:val="none"/>
                      <w:lang w:val="en-US" w:eastAsia="zh-CN"/>
                    </w:rPr>
                    <w:t>，建筑面积</w:t>
                  </w:r>
                  <w:r>
                    <w:rPr>
                      <w:rFonts w:hint="eastAsia"/>
                      <w:color w:val="auto"/>
                      <w:sz w:val="21"/>
                      <w:szCs w:val="21"/>
                      <w:highlight w:val="none"/>
                      <w:lang w:val="en-US" w:eastAsia="zh-CN"/>
                    </w:rPr>
                    <w:t>2</w:t>
                  </w:r>
                  <w:r>
                    <w:rPr>
                      <w:rFonts w:hint="default"/>
                      <w:color w:val="auto"/>
                      <w:sz w:val="21"/>
                      <w:szCs w:val="21"/>
                      <w:highlight w:val="none"/>
                      <w:lang w:val="en-US" w:eastAsia="zh-CN"/>
                    </w:rPr>
                    <w:t>0</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2</w:t>
                  </w:r>
                  <w:r>
                    <w:rPr>
                      <w:rFonts w:hint="default"/>
                      <w:color w:val="auto"/>
                      <w:sz w:val="21"/>
                      <w:szCs w:val="21"/>
                      <w:highlight w:val="none"/>
                      <w:lang w:val="en-US" w:eastAsia="zh-CN"/>
                    </w:rPr>
                    <w:t>，储存能力</w:t>
                  </w:r>
                  <w:r>
                    <w:rPr>
                      <w:rFonts w:hint="eastAsia"/>
                      <w:color w:val="auto"/>
                      <w:sz w:val="21"/>
                      <w:szCs w:val="21"/>
                      <w:highlight w:val="none"/>
                      <w:lang w:val="en-US" w:eastAsia="zh-CN"/>
                    </w:rPr>
                    <w:t>50</w:t>
                  </w:r>
                  <w:r>
                    <w:rPr>
                      <w:rFonts w:hint="default"/>
                      <w:color w:val="auto"/>
                      <w:sz w:val="21"/>
                      <w:szCs w:val="21"/>
                      <w:highlight w:val="none"/>
                      <w:lang w:val="en-US" w:eastAsia="zh-CN"/>
                    </w:rPr>
                    <w:t>t</w:t>
                  </w:r>
                  <w:r>
                    <w:rPr>
                      <w:rFonts w:hint="eastAsia"/>
                      <w:color w:val="auto"/>
                      <w:sz w:val="21"/>
                      <w:szCs w:val="21"/>
                      <w:highlight w:val="none"/>
                      <w:lang w:val="en-US" w:eastAsia="zh-CN"/>
                    </w:rPr>
                    <w:t>，转运周期为15d。</w:t>
                  </w:r>
                </w:p>
                <w:p w14:paraId="217C36E4">
                  <w:pPr>
                    <w:pStyle w:val="49"/>
                    <w:bidi w:val="0"/>
                    <w:rPr>
                      <w:rFonts w:hint="default"/>
                      <w:color w:val="auto"/>
                      <w:sz w:val="21"/>
                      <w:szCs w:val="21"/>
                      <w:highlight w:val="none"/>
                      <w:lang w:val="en-US" w:eastAsia="zh-CN"/>
                    </w:rPr>
                  </w:pPr>
                  <w:r>
                    <w:rPr>
                      <w:rFonts w:hint="default"/>
                      <w:color w:val="auto"/>
                      <w:sz w:val="21"/>
                      <w:szCs w:val="21"/>
                      <w:highlight w:val="none"/>
                      <w:lang w:val="en-US" w:eastAsia="zh-CN"/>
                    </w:rPr>
                    <w:t>热风炉出渣方式为干式出渣，项目不设置炉渣仓，暂存于</w:t>
                  </w:r>
                  <w:r>
                    <w:rPr>
                      <w:rFonts w:ascii="Times New Roman" w:hAnsi="Times New Roman" w:eastAsia="宋体" w:cs="Times New Roman"/>
                      <w:color w:val="auto"/>
                      <w:kern w:val="2"/>
                      <w:sz w:val="21"/>
                      <w:szCs w:val="21"/>
                      <w:highlight w:val="none"/>
                      <w:lang w:val="en-US" w:eastAsia="zh-CN" w:bidi="ar-SA"/>
                    </w:rPr>
                    <w:t>灰渣</w:t>
                  </w:r>
                  <w:r>
                    <w:rPr>
                      <w:rFonts w:hint="eastAsia" w:ascii="Times New Roman" w:hAnsi="Times New Roman" w:eastAsia="宋体" w:cs="Times New Roman"/>
                      <w:color w:val="auto"/>
                      <w:kern w:val="2"/>
                      <w:sz w:val="21"/>
                      <w:szCs w:val="21"/>
                      <w:highlight w:val="none"/>
                      <w:lang w:val="en-US" w:eastAsia="zh-CN" w:bidi="ar-SA"/>
                    </w:rPr>
                    <w:t>库</w:t>
                  </w:r>
                  <w:r>
                    <w:rPr>
                      <w:rFonts w:hint="default"/>
                      <w:color w:val="auto"/>
                      <w:sz w:val="21"/>
                      <w:szCs w:val="21"/>
                      <w:highlight w:val="none"/>
                      <w:lang w:val="en-US" w:eastAsia="zh-CN"/>
                    </w:rPr>
                    <w:t>内，</w:t>
                  </w:r>
                  <w:r>
                    <w:rPr>
                      <w:rFonts w:ascii="Times New Roman" w:hAnsi="Times New Roman" w:eastAsia="宋体" w:cs="Times New Roman"/>
                      <w:color w:val="auto"/>
                      <w:kern w:val="2"/>
                      <w:sz w:val="21"/>
                      <w:szCs w:val="21"/>
                      <w:highlight w:val="none"/>
                      <w:lang w:val="en-US" w:eastAsia="zh-CN" w:bidi="ar-SA"/>
                    </w:rPr>
                    <w:t>灰渣</w:t>
                  </w:r>
                  <w:r>
                    <w:rPr>
                      <w:rFonts w:hint="eastAsia" w:ascii="Times New Roman" w:hAnsi="Times New Roman" w:eastAsia="宋体" w:cs="Times New Roman"/>
                      <w:color w:val="auto"/>
                      <w:kern w:val="2"/>
                      <w:sz w:val="21"/>
                      <w:szCs w:val="21"/>
                      <w:highlight w:val="none"/>
                      <w:lang w:val="en-US" w:eastAsia="zh-CN" w:bidi="ar-SA"/>
                    </w:rPr>
                    <w:t>库</w:t>
                  </w:r>
                  <w:r>
                    <w:rPr>
                      <w:rFonts w:hint="eastAsia" w:cs="Times New Roman"/>
                      <w:color w:val="auto"/>
                      <w:kern w:val="2"/>
                      <w:sz w:val="21"/>
                      <w:szCs w:val="21"/>
                      <w:highlight w:val="none"/>
                      <w:lang w:val="en-US" w:eastAsia="zh-CN" w:bidi="ar-SA"/>
                    </w:rPr>
                    <w:t>全</w:t>
                  </w:r>
                  <w:r>
                    <w:rPr>
                      <w:rFonts w:hint="default"/>
                      <w:color w:val="auto"/>
                      <w:sz w:val="21"/>
                      <w:szCs w:val="21"/>
                      <w:highlight w:val="none"/>
                      <w:lang w:val="en-US" w:eastAsia="zh-CN"/>
                    </w:rPr>
                    <w:t>封闭。灰渣定期外售综合利用。</w:t>
                  </w:r>
                </w:p>
              </w:tc>
              <w:tc>
                <w:tcPr>
                  <w:tcW w:w="613" w:type="pct"/>
                  <w:vAlign w:val="center"/>
                </w:tcPr>
                <w:p w14:paraId="67C73BF6">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5EE1B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46D62747">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1B711437">
                  <w:pPr>
                    <w:keepNext w:val="0"/>
                    <w:keepLines w:val="0"/>
                    <w:pageBreakBefore w:val="0"/>
                    <w:widowControl w:val="0"/>
                    <w:kinsoku/>
                    <w:wordWrap/>
                    <w:overflowPunct/>
                    <w:topLinePunct/>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一般固废暂存间</w:t>
                  </w:r>
                </w:p>
              </w:tc>
              <w:tc>
                <w:tcPr>
                  <w:tcW w:w="3132" w:type="pct"/>
                  <w:vAlign w:val="center"/>
                </w:tcPr>
                <w:p w14:paraId="01E64DF0">
                  <w:pPr>
                    <w:pStyle w:val="49"/>
                    <w:bidi w:val="0"/>
                    <w:rPr>
                      <w:rFonts w:hint="default"/>
                      <w:color w:val="auto"/>
                      <w:sz w:val="21"/>
                      <w:szCs w:val="21"/>
                      <w:highlight w:val="none"/>
                      <w:lang w:val="en-US" w:eastAsia="zh-CN"/>
                    </w:rPr>
                  </w:pPr>
                  <w:r>
                    <w:rPr>
                      <w:rFonts w:hint="eastAsia"/>
                      <w:color w:val="auto"/>
                      <w:sz w:val="21"/>
                      <w:szCs w:val="21"/>
                      <w:highlight w:val="none"/>
                      <w:lang w:val="en-US" w:eastAsia="zh-CN"/>
                    </w:rPr>
                    <w:t>1座，</w:t>
                  </w:r>
                  <w:r>
                    <w:rPr>
                      <w:rFonts w:hint="default"/>
                      <w:color w:val="auto"/>
                      <w:sz w:val="21"/>
                      <w:szCs w:val="21"/>
                      <w:highlight w:val="none"/>
                      <w:lang w:val="en-US" w:eastAsia="zh-CN"/>
                    </w:rPr>
                    <w:t>建筑</w:t>
                  </w:r>
                  <w:r>
                    <w:rPr>
                      <w:rFonts w:hint="eastAsia"/>
                      <w:color w:val="auto"/>
                      <w:sz w:val="21"/>
                      <w:szCs w:val="21"/>
                      <w:highlight w:val="none"/>
                      <w:lang w:val="en-US" w:eastAsia="zh-CN"/>
                    </w:rPr>
                    <w:t>面积10m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，储存能力10t。用于贮存本项目产生的一般固体废物（杂质与</w:t>
                  </w:r>
                  <w:r>
                    <w:rPr>
                      <w:rFonts w:hint="eastAsia"/>
                      <w:color w:val="auto"/>
                      <w:highlight w:val="none"/>
                      <w:lang w:eastAsia="zh-CN"/>
                    </w:rPr>
                    <w:t>装卸、输送、筛分、</w:t>
                  </w:r>
                  <w:r>
                    <w:rPr>
                      <w:color w:val="auto"/>
                      <w:highlight w:val="none"/>
                    </w:rPr>
                    <w:t>烘干塔</w:t>
                  </w:r>
                  <w:r>
                    <w:rPr>
                      <w:rFonts w:hint="eastAsia"/>
                      <w:color w:val="auto"/>
                      <w:highlight w:val="none"/>
                      <w:lang w:val="en-US" w:eastAsia="zh-CN"/>
                    </w:rPr>
                    <w:t>收集</w:t>
                  </w:r>
                  <w:r>
                    <w:rPr>
                      <w:color w:val="auto"/>
                      <w:highlight w:val="none"/>
                    </w:rPr>
                    <w:t>粉尘</w:t>
                  </w:r>
                  <w:r>
                    <w:rPr>
                      <w:rFonts w:hint="eastAsia"/>
                      <w:color w:val="auto"/>
                      <w:sz w:val="21"/>
                      <w:szCs w:val="21"/>
                      <w:highlight w:val="none"/>
                      <w:lang w:val="en-US" w:eastAsia="zh-CN"/>
                    </w:rPr>
                    <w:t>等），定期外售，</w:t>
                  </w:r>
                  <w:r>
                    <w:rPr>
                      <w:rFonts w:hint="eastAsia" w:ascii="Times New Roman" w:hAnsi="Times New Roman" w:eastAsia="宋体" w:cs="Times New Roman"/>
                      <w:color w:val="auto"/>
                      <w:kern w:val="2"/>
                      <w:sz w:val="21"/>
                      <w:szCs w:val="21"/>
                      <w:highlight w:val="none"/>
                      <w:lang w:val="en-US" w:eastAsia="zh-CN" w:bidi="ar-SA"/>
                    </w:rPr>
                    <w:t>一般固废暂存间</w:t>
                  </w:r>
                  <w:r>
                    <w:rPr>
                      <w:rFonts w:hint="eastAsia" w:cs="Times New Roman"/>
                      <w:color w:val="auto"/>
                      <w:kern w:val="2"/>
                      <w:sz w:val="21"/>
                      <w:szCs w:val="21"/>
                      <w:highlight w:val="none"/>
                      <w:lang w:val="en-US" w:eastAsia="zh-CN" w:bidi="ar-SA"/>
                    </w:rPr>
                    <w:t>全</w:t>
                  </w:r>
                  <w:r>
                    <w:rPr>
                      <w:rFonts w:hint="default"/>
                      <w:color w:val="auto"/>
                      <w:sz w:val="21"/>
                      <w:szCs w:val="21"/>
                      <w:highlight w:val="none"/>
                      <w:lang w:val="en-US" w:eastAsia="zh-CN"/>
                    </w:rPr>
                    <w:t>封闭</w:t>
                  </w:r>
                  <w:r>
                    <w:rPr>
                      <w:rFonts w:hint="eastAsia"/>
                      <w:color w:val="auto"/>
                      <w:sz w:val="21"/>
                      <w:szCs w:val="21"/>
                      <w:highlight w:val="none"/>
                      <w:lang w:val="en-US" w:eastAsia="zh-CN"/>
                    </w:rPr>
                    <w:t>。</w:t>
                  </w:r>
                </w:p>
              </w:tc>
              <w:tc>
                <w:tcPr>
                  <w:tcW w:w="613" w:type="pct"/>
                  <w:vAlign w:val="center"/>
                </w:tcPr>
                <w:p w14:paraId="14F46004">
                  <w:pPr>
                    <w:pStyle w:val="60"/>
                    <w:keepNext w:val="0"/>
                    <w:keepLines w:val="0"/>
                    <w:pageBreakBefore w:val="0"/>
                    <w:widowControl w:val="0"/>
                    <w:kinsoku/>
                    <w:overflow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53BD9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restart"/>
                  <w:vAlign w:val="center"/>
                </w:tcPr>
                <w:p w14:paraId="6050CC13">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公用工程</w:t>
                  </w:r>
                </w:p>
              </w:tc>
              <w:tc>
                <w:tcPr>
                  <w:tcW w:w="792" w:type="pct"/>
                  <w:vAlign w:val="center"/>
                </w:tcPr>
                <w:p w14:paraId="18EDF012">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供水</w:t>
                  </w:r>
                </w:p>
              </w:tc>
              <w:tc>
                <w:tcPr>
                  <w:tcW w:w="3132" w:type="pct"/>
                  <w:vAlign w:val="center"/>
                </w:tcPr>
                <w:p w14:paraId="119E1FF6">
                  <w:pPr>
                    <w:pStyle w:val="49"/>
                    <w:bidi w:val="0"/>
                    <w:rPr>
                      <w:color w:val="auto"/>
                      <w:sz w:val="21"/>
                      <w:szCs w:val="21"/>
                      <w:highlight w:val="none"/>
                      <w:lang w:val="en-US" w:eastAsia="zh-CN"/>
                    </w:rPr>
                  </w:pPr>
                  <w:r>
                    <w:rPr>
                      <w:color w:val="auto"/>
                      <w:sz w:val="21"/>
                      <w:szCs w:val="21"/>
                      <w:highlight w:val="none"/>
                      <w:lang w:val="en-US" w:eastAsia="zh-CN"/>
                    </w:rPr>
                    <w:t>项目无生产用水，</w:t>
                  </w:r>
                  <w:r>
                    <w:rPr>
                      <w:rFonts w:hint="eastAsia"/>
                      <w:color w:val="auto"/>
                      <w:sz w:val="21"/>
                      <w:szCs w:val="21"/>
                      <w:highlight w:val="none"/>
                      <w:lang w:val="en-US" w:eastAsia="zh-CN"/>
                    </w:rPr>
                    <w:t>生活用水外购桶装水。</w:t>
                  </w:r>
                </w:p>
              </w:tc>
              <w:tc>
                <w:tcPr>
                  <w:tcW w:w="613" w:type="pct"/>
                  <w:vAlign w:val="center"/>
                </w:tcPr>
                <w:p w14:paraId="0CEDA20B">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依托</w:t>
                  </w:r>
                </w:p>
              </w:tc>
            </w:tr>
            <w:tr w14:paraId="2CB70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4A500C21">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20EA929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排水</w:t>
                  </w:r>
                </w:p>
              </w:tc>
              <w:tc>
                <w:tcPr>
                  <w:tcW w:w="3132" w:type="pct"/>
                  <w:vAlign w:val="center"/>
                </w:tcPr>
                <w:p w14:paraId="1A0A6CAD">
                  <w:pPr>
                    <w:pStyle w:val="49"/>
                    <w:bidi w:val="0"/>
                    <w:rPr>
                      <w:highlight w:val="none"/>
                      <w:lang w:val="en-US" w:eastAsia="zh-CN"/>
                    </w:rPr>
                  </w:pPr>
                  <w:r>
                    <w:rPr>
                      <w:color w:val="auto"/>
                      <w:sz w:val="21"/>
                      <w:szCs w:val="21"/>
                      <w:highlight w:val="none"/>
                      <w:lang w:val="en-US" w:eastAsia="zh-CN"/>
                    </w:rPr>
                    <w:t>无生产废水，员工生活污水排入防渗旱厕，定期清掏外运堆肥</w:t>
                  </w:r>
                  <w:r>
                    <w:rPr>
                      <w:rFonts w:hint="eastAsia"/>
                      <w:color w:val="auto"/>
                      <w:sz w:val="21"/>
                      <w:szCs w:val="21"/>
                      <w:highlight w:val="none"/>
                      <w:lang w:val="en-US" w:eastAsia="zh-CN"/>
                    </w:rPr>
                    <w:t>。</w:t>
                  </w:r>
                </w:p>
              </w:tc>
              <w:tc>
                <w:tcPr>
                  <w:tcW w:w="613" w:type="pct"/>
                  <w:vAlign w:val="center"/>
                </w:tcPr>
                <w:p w14:paraId="320886DA">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新建</w:t>
                  </w:r>
                </w:p>
              </w:tc>
            </w:tr>
            <w:tr w14:paraId="5AE2D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6EDC1A8C">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0F5EF997">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供暖</w:t>
                  </w:r>
                </w:p>
              </w:tc>
              <w:tc>
                <w:tcPr>
                  <w:tcW w:w="3132" w:type="pct"/>
                  <w:vAlign w:val="center"/>
                </w:tcPr>
                <w:p w14:paraId="1F6A5F35">
                  <w:pPr>
                    <w:pStyle w:val="49"/>
                    <w:bidi w:val="0"/>
                    <w:rPr>
                      <w:color w:val="auto"/>
                      <w:szCs w:val="21"/>
                      <w:highlight w:val="none"/>
                      <w:lang w:val="en-US" w:eastAsia="zh-CN"/>
                    </w:rPr>
                  </w:pPr>
                  <w:r>
                    <w:rPr>
                      <w:rFonts w:hint="eastAsia"/>
                      <w:highlight w:val="none"/>
                      <w:lang w:val="en-US" w:eastAsia="zh-CN"/>
                    </w:rPr>
                    <w:t>综合室冬季供暖采用电暖气取暖</w:t>
                  </w:r>
                  <w:r>
                    <w:rPr>
                      <w:highlight w:val="none"/>
                      <w:lang w:val="en-US" w:eastAsia="zh-CN"/>
                    </w:rPr>
                    <w:t>，厂房冬季无需供暖</w:t>
                  </w:r>
                  <w:r>
                    <w:rPr>
                      <w:rFonts w:hint="eastAsia"/>
                      <w:highlight w:val="none"/>
                      <w:lang w:val="en-US" w:eastAsia="zh-CN"/>
                    </w:rPr>
                    <w:t>。</w:t>
                  </w:r>
                </w:p>
              </w:tc>
              <w:tc>
                <w:tcPr>
                  <w:tcW w:w="613" w:type="pct"/>
                  <w:vAlign w:val="center"/>
                </w:tcPr>
                <w:p w14:paraId="438987FD">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新建</w:t>
                  </w:r>
                </w:p>
              </w:tc>
            </w:tr>
            <w:tr w14:paraId="1185D5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0186CC43">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16186D66">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供电</w:t>
                  </w:r>
                </w:p>
              </w:tc>
              <w:tc>
                <w:tcPr>
                  <w:tcW w:w="3132" w:type="pct"/>
                  <w:vAlign w:val="center"/>
                </w:tcPr>
                <w:p w14:paraId="06DEF6AD">
                  <w:pPr>
                    <w:pStyle w:val="49"/>
                    <w:bidi w:val="0"/>
                    <w:rPr>
                      <w:color w:val="auto"/>
                      <w:sz w:val="21"/>
                      <w:szCs w:val="21"/>
                      <w:highlight w:val="none"/>
                      <w:lang w:val="en-US" w:eastAsia="zh-CN"/>
                    </w:rPr>
                  </w:pPr>
                  <w:r>
                    <w:rPr>
                      <w:rFonts w:hint="eastAsia" w:cs="Times New Roman"/>
                      <w:color w:val="auto"/>
                      <w:szCs w:val="21"/>
                      <w:highlight w:val="none"/>
                      <w:lang w:val="en-US" w:eastAsia="zh-CN"/>
                    </w:rPr>
                    <w:t>由市政电网提供。</w:t>
                  </w:r>
                </w:p>
              </w:tc>
              <w:tc>
                <w:tcPr>
                  <w:tcW w:w="613" w:type="pct"/>
                  <w:vAlign w:val="center"/>
                </w:tcPr>
                <w:p w14:paraId="5671919C">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依托</w:t>
                  </w:r>
                </w:p>
              </w:tc>
            </w:tr>
            <w:tr w14:paraId="0EA2A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restart"/>
                  <w:vAlign w:val="center"/>
                </w:tcPr>
                <w:p w14:paraId="790DB081">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环保工程</w:t>
                  </w:r>
                </w:p>
              </w:tc>
              <w:tc>
                <w:tcPr>
                  <w:tcW w:w="792" w:type="pct"/>
                  <w:shd w:val="clear" w:color="auto" w:fill="auto"/>
                  <w:vAlign w:val="center"/>
                </w:tcPr>
                <w:p w14:paraId="3493E240">
                  <w:pPr>
                    <w:keepNext w:val="0"/>
                    <w:keepLines w:val="0"/>
                    <w:pageBreakBefore w:val="0"/>
                    <w:widowControl w:val="0"/>
                    <w:kinsoku/>
                    <w:wordWrap/>
                    <w:overflowPunct/>
                    <w:topLinePunct/>
                    <w:autoSpaceDE/>
                    <w:autoSpaceDN/>
                    <w:bidi w:val="0"/>
                    <w:adjustRightInd/>
                    <w:snapToGrid/>
                    <w:spacing w:line="264"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废水防治措施</w:t>
                  </w:r>
                </w:p>
              </w:tc>
              <w:tc>
                <w:tcPr>
                  <w:tcW w:w="3132" w:type="pct"/>
                  <w:shd w:val="clear" w:color="auto" w:fill="auto"/>
                  <w:vAlign w:val="center"/>
                </w:tcPr>
                <w:p w14:paraId="7EC09A06">
                  <w:pPr>
                    <w:pStyle w:val="49"/>
                    <w:bidi w:val="0"/>
                    <w:ind w:firstLine="420" w:firstLineChars="200"/>
                    <w:rPr>
                      <w:rFonts w:hint="eastAsia"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rPr>
                    <w:t>无生产废水产生，员工生活污水排入防渗旱厕定期清掏外运堆肥。</w:t>
                  </w:r>
                </w:p>
              </w:tc>
              <w:tc>
                <w:tcPr>
                  <w:tcW w:w="613" w:type="pct"/>
                  <w:shd w:val="clear" w:color="auto" w:fill="auto"/>
                  <w:vAlign w:val="center"/>
                </w:tcPr>
                <w:p w14:paraId="78E35518">
                  <w:pPr>
                    <w:keepNext w:val="0"/>
                    <w:keepLines w:val="0"/>
                    <w:pageBreakBefore w:val="0"/>
                    <w:widowControl w:val="0"/>
                    <w:kinsoku/>
                    <w:wordWrap/>
                    <w:overflowPunct/>
                    <w:topLinePunct/>
                    <w:autoSpaceDE/>
                    <w:autoSpaceDN/>
                    <w:bidi w:val="0"/>
                    <w:adjustRightInd/>
                    <w:snapToGrid/>
                    <w:spacing w:line="264"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新建</w:t>
                  </w:r>
                </w:p>
              </w:tc>
            </w:tr>
            <w:tr w14:paraId="7A043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6A8ED0F8">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39EC2C85">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废气防治措施</w:t>
                  </w:r>
                </w:p>
              </w:tc>
              <w:tc>
                <w:tcPr>
                  <w:tcW w:w="3132" w:type="pct"/>
                  <w:vAlign w:val="center"/>
                </w:tcPr>
                <w:p w14:paraId="08266715">
                  <w:pPr>
                    <w:pStyle w:val="49"/>
                    <w:bidi w:val="0"/>
                    <w:rPr>
                      <w:color w:val="auto"/>
                      <w:highlight w:val="none"/>
                    </w:rPr>
                  </w:pPr>
                  <w:r>
                    <w:rPr>
                      <w:rFonts w:hint="eastAsia"/>
                      <w:color w:val="auto"/>
                      <w:sz w:val="21"/>
                      <w:szCs w:val="21"/>
                      <w:highlight w:val="none"/>
                      <w:lang w:val="en-US" w:eastAsia="zh-CN"/>
                    </w:rPr>
                    <w:t>本项目</w:t>
                  </w:r>
                  <w:r>
                    <w:rPr>
                      <w:color w:val="auto"/>
                      <w:sz w:val="21"/>
                      <w:szCs w:val="21"/>
                      <w:highlight w:val="none"/>
                      <w:lang w:val="en-US" w:eastAsia="zh-CN"/>
                    </w:rPr>
                    <w:t>热风炉</w:t>
                  </w:r>
                  <w:r>
                    <w:rPr>
                      <w:rFonts w:hint="eastAsia"/>
                      <w:color w:val="auto"/>
                      <w:sz w:val="21"/>
                      <w:szCs w:val="21"/>
                      <w:highlight w:val="none"/>
                      <w:lang w:val="en-US" w:eastAsia="zh-CN"/>
                    </w:rPr>
                    <w:t>废</w:t>
                  </w:r>
                  <w:r>
                    <w:rPr>
                      <w:color w:val="auto"/>
                      <w:sz w:val="21"/>
                      <w:szCs w:val="21"/>
                      <w:highlight w:val="none"/>
                      <w:lang w:val="en-US" w:eastAsia="zh-CN"/>
                    </w:rPr>
                    <w:t>气经布袋除尘器</w:t>
                  </w:r>
                  <w:r>
                    <w:rPr>
                      <w:rFonts w:hint="eastAsia"/>
                      <w:color w:val="auto"/>
                      <w:sz w:val="21"/>
                      <w:szCs w:val="21"/>
                      <w:highlight w:val="none"/>
                      <w:lang w:val="en-US" w:eastAsia="zh-CN"/>
                    </w:rPr>
                    <w:t>（除尘效率99%）</w:t>
                  </w:r>
                  <w:r>
                    <w:rPr>
                      <w:color w:val="auto"/>
                      <w:sz w:val="21"/>
                      <w:szCs w:val="21"/>
                      <w:highlight w:val="none"/>
                      <w:lang w:val="en-US" w:eastAsia="zh-CN"/>
                    </w:rPr>
                    <w:t>处理后由15m高烟囱</w:t>
                  </w:r>
                  <w:r>
                    <w:rPr>
                      <w:rFonts w:hint="eastAsia"/>
                      <w:color w:val="auto"/>
                      <w:sz w:val="21"/>
                      <w:szCs w:val="21"/>
                      <w:highlight w:val="none"/>
                      <w:lang w:val="en-US" w:eastAsia="zh-CN"/>
                    </w:rPr>
                    <w:t>（DA001）</w:t>
                  </w:r>
                  <w:r>
                    <w:rPr>
                      <w:color w:val="auto"/>
                      <w:sz w:val="21"/>
                      <w:szCs w:val="21"/>
                      <w:highlight w:val="none"/>
                      <w:lang w:val="en-US" w:eastAsia="zh-CN"/>
                    </w:rPr>
                    <w:t>排放</w:t>
                  </w:r>
                  <w:r>
                    <w:rPr>
                      <w:rFonts w:hint="eastAsia"/>
                      <w:color w:val="auto"/>
                      <w:sz w:val="21"/>
                      <w:szCs w:val="21"/>
                      <w:highlight w:val="none"/>
                      <w:lang w:val="en-US" w:eastAsia="zh-CN"/>
                    </w:rPr>
                    <w:t>。</w:t>
                  </w:r>
                  <w:r>
                    <w:rPr>
                      <w:color w:val="auto"/>
                      <w:sz w:val="21"/>
                      <w:szCs w:val="21"/>
                      <w:highlight w:val="none"/>
                    </w:rPr>
                    <w:t>本项目运营期热风炉烟气排放</w:t>
                  </w:r>
                  <w:r>
                    <w:rPr>
                      <w:rFonts w:hint="eastAsia"/>
                      <w:color w:val="auto"/>
                      <w:sz w:val="21"/>
                      <w:szCs w:val="21"/>
                      <w:highlight w:val="none"/>
                      <w:lang w:val="en-US" w:eastAsia="zh-CN"/>
                    </w:rPr>
                    <w:t>满足《工业炉窑大气污染物排放标准》（GB9078-1996）表2、表4中二级标准限值要求</w:t>
                  </w:r>
                  <w:r>
                    <w:rPr>
                      <w:color w:val="auto"/>
                      <w:sz w:val="21"/>
                      <w:szCs w:val="21"/>
                      <w:highlight w:val="none"/>
                    </w:rPr>
                    <w:t>。</w:t>
                  </w:r>
                  <w:r>
                    <w:rPr>
                      <w:rFonts w:hint="eastAsia"/>
                      <w:color w:val="auto"/>
                      <w:highlight w:val="none"/>
                      <w:lang w:val="en-US" w:eastAsia="zh-CN"/>
                    </w:rPr>
                    <w:t>灰渣采取密封袋收集，贮存在封闭式灰渣库内，灰渣转运过程中采取洒水降尘措施，</w:t>
                  </w:r>
                  <w:r>
                    <w:rPr>
                      <w:rFonts w:hint="eastAsia"/>
                      <w:color w:val="auto"/>
                      <w:highlight w:val="none"/>
                    </w:rPr>
                    <w:t>通过以上治理措施使</w:t>
                  </w:r>
                  <w:r>
                    <w:rPr>
                      <w:color w:val="auto"/>
                      <w:highlight w:val="none"/>
                    </w:rPr>
                    <w:t>工业炉窑周边颗粒物无组织排放浓度满足《工业炉窑大气污染物排放标准》（GB9078-1996）表3</w:t>
                  </w:r>
                  <w:r>
                    <w:rPr>
                      <w:rFonts w:hint="eastAsia"/>
                      <w:color w:val="auto"/>
                      <w:highlight w:val="none"/>
                      <w:lang w:val="en-US" w:eastAsia="zh-CN"/>
                    </w:rPr>
                    <w:t>要求</w:t>
                  </w:r>
                  <w:r>
                    <w:rPr>
                      <w:rFonts w:hint="eastAsia"/>
                      <w:color w:val="auto"/>
                      <w:highlight w:val="none"/>
                    </w:rPr>
                    <w:t>。</w:t>
                  </w:r>
                </w:p>
                <w:p w14:paraId="7C9B1B1A">
                  <w:pPr>
                    <w:pStyle w:val="49"/>
                    <w:bidi w:val="0"/>
                    <w:rPr>
                      <w:rFonts w:hint="eastAsia" w:eastAsia="宋体"/>
                      <w:color w:val="auto"/>
                      <w:sz w:val="21"/>
                      <w:szCs w:val="21"/>
                      <w:highlight w:val="none"/>
                      <w:lang w:val="en-US" w:eastAsia="zh-CN"/>
                    </w:rPr>
                  </w:pPr>
                  <w:r>
                    <w:rPr>
                      <w:rFonts w:hint="eastAsia"/>
                      <w:highlight w:val="none"/>
                      <w:lang w:val="en-US" w:eastAsia="zh-CN"/>
                    </w:rPr>
                    <w:t>本项目由苫盖货车运输入仓库</w:t>
                  </w:r>
                  <w:r>
                    <w:rPr>
                      <w:rFonts w:hint="eastAsia"/>
                      <w:color w:val="auto"/>
                      <w:highlight w:val="none"/>
                      <w:lang w:val="en-US" w:eastAsia="zh-CN"/>
                    </w:rPr>
                    <w:t>装卸</w:t>
                  </w:r>
                  <w:r>
                    <w:rPr>
                      <w:rFonts w:hint="eastAsia"/>
                      <w:highlight w:val="none"/>
                      <w:lang w:eastAsia="zh-CN"/>
                    </w:rPr>
                    <w:t>，</w:t>
                  </w:r>
                  <w:r>
                    <w:rPr>
                      <w:rFonts w:hint="eastAsia"/>
                      <w:color w:val="auto"/>
                      <w:highlight w:val="none"/>
                      <w:lang w:val="en-US" w:eastAsia="zh-CN"/>
                    </w:rPr>
                    <w:t>装卸过程中采取车间封闭+减小装卸高度、</w:t>
                  </w:r>
                  <w:r>
                    <w:rPr>
                      <w:color w:val="auto"/>
                      <w:highlight w:val="none"/>
                    </w:rPr>
                    <w:t>输送过程采用封闭输送带进行输送</w:t>
                  </w:r>
                  <w:r>
                    <w:rPr>
                      <w:rFonts w:hint="eastAsia"/>
                      <w:color w:val="auto"/>
                      <w:highlight w:val="none"/>
                      <w:lang w:val="en-US" w:eastAsia="zh-CN"/>
                    </w:rPr>
                    <w:t>、清选工艺采用封闭式清理筛、烘干塔塔体两侧排气孔设置折流挡板</w:t>
                  </w:r>
                  <w:r>
                    <w:rPr>
                      <w:rFonts w:hint="eastAsia"/>
                      <w:color w:val="auto"/>
                      <w:highlight w:val="none"/>
                      <w:lang w:eastAsia="zh-CN"/>
                    </w:rPr>
                    <w:t>，</w:t>
                  </w:r>
                  <w:r>
                    <w:rPr>
                      <w:rFonts w:hint="eastAsia"/>
                      <w:color w:val="auto"/>
                      <w:highlight w:val="none"/>
                    </w:rPr>
                    <w:t>通过以上治理措施使</w:t>
                  </w:r>
                  <w:r>
                    <w:rPr>
                      <w:color w:val="auto"/>
                      <w:highlight w:val="none"/>
                    </w:rPr>
                    <w:t>厂界颗粒物排放浓度符合《大气污染物综合排放标准》（GB16297-1996）表2无组织排放浓度限值要求</w:t>
                  </w:r>
                  <w:r>
                    <w:rPr>
                      <w:rFonts w:hint="eastAsia"/>
                      <w:color w:val="auto"/>
                      <w:highlight w:val="none"/>
                      <w:lang w:eastAsia="zh-CN"/>
                    </w:rPr>
                    <w:t>。</w:t>
                  </w:r>
                </w:p>
              </w:tc>
              <w:tc>
                <w:tcPr>
                  <w:tcW w:w="613" w:type="pct"/>
                  <w:vAlign w:val="center"/>
                </w:tcPr>
                <w:p w14:paraId="685BA40C">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77536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38873BC2">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5224FEDC">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噪声防治措施</w:t>
                  </w:r>
                </w:p>
              </w:tc>
              <w:tc>
                <w:tcPr>
                  <w:tcW w:w="3132" w:type="pct"/>
                  <w:vAlign w:val="center"/>
                </w:tcPr>
                <w:p w14:paraId="31A7CFC3">
                  <w:pPr>
                    <w:pStyle w:val="49"/>
                    <w:bidi w:val="0"/>
                    <w:rPr>
                      <w:color w:val="auto"/>
                      <w:sz w:val="21"/>
                      <w:szCs w:val="21"/>
                      <w:highlight w:val="none"/>
                      <w:lang w:val="en-US" w:eastAsia="zh-CN"/>
                    </w:rPr>
                  </w:pPr>
                  <w:r>
                    <w:rPr>
                      <w:color w:val="auto"/>
                      <w:sz w:val="21"/>
                      <w:szCs w:val="21"/>
                      <w:highlight w:val="none"/>
                      <w:lang w:val="en-US" w:eastAsia="zh-CN"/>
                    </w:rPr>
                    <w:t>选用低噪声设备，</w:t>
                  </w:r>
                  <w:r>
                    <w:rPr>
                      <w:rFonts w:hint="eastAsia"/>
                      <w:color w:val="auto"/>
                      <w:sz w:val="21"/>
                      <w:szCs w:val="21"/>
                      <w:highlight w:val="none"/>
                      <w:lang w:val="en-US" w:eastAsia="zh-CN"/>
                    </w:rPr>
                    <w:t>烘干塔体及风机加装隔声、减振措施</w:t>
                  </w:r>
                  <w:r>
                    <w:rPr>
                      <w:color w:val="auto"/>
                      <w:sz w:val="21"/>
                      <w:szCs w:val="21"/>
                      <w:highlight w:val="none"/>
                      <w:lang w:val="en-US" w:eastAsia="zh-CN"/>
                    </w:rPr>
                    <w:t>，</w:t>
                  </w:r>
                  <w:r>
                    <w:rPr>
                      <w:rFonts w:hint="eastAsia"/>
                      <w:color w:val="auto"/>
                      <w:sz w:val="21"/>
                      <w:szCs w:val="21"/>
                      <w:highlight w:val="none"/>
                      <w:lang w:val="en-US" w:eastAsia="zh-CN"/>
                    </w:rPr>
                    <w:t>库房、热风炉房</w:t>
                  </w:r>
                  <w:r>
                    <w:rPr>
                      <w:color w:val="auto"/>
                      <w:sz w:val="21"/>
                      <w:szCs w:val="21"/>
                      <w:highlight w:val="none"/>
                      <w:lang w:val="en-US" w:eastAsia="zh-CN"/>
                    </w:rPr>
                    <w:t>密闭等措施。</w:t>
                  </w:r>
                </w:p>
                <w:p w14:paraId="0A7D578D">
                  <w:pPr>
                    <w:pStyle w:val="49"/>
                    <w:bidi w:val="0"/>
                    <w:rPr>
                      <w:color w:val="auto"/>
                      <w:szCs w:val="21"/>
                      <w:highlight w:val="none"/>
                      <w:lang w:val="en-US" w:eastAsia="zh-CN"/>
                    </w:rPr>
                  </w:pPr>
                  <w:r>
                    <w:rPr>
                      <w:rFonts w:hint="default"/>
                      <w:highlight w:val="none"/>
                    </w:rPr>
                    <w:t>本项目厂界噪声</w:t>
                  </w:r>
                  <w:r>
                    <w:rPr>
                      <w:rFonts w:hint="eastAsia"/>
                      <w:highlight w:val="none"/>
                      <w:lang w:val="en-US" w:eastAsia="zh-CN"/>
                    </w:rPr>
                    <w:t>可以</w:t>
                  </w:r>
                  <w:r>
                    <w:rPr>
                      <w:rFonts w:hint="default"/>
                      <w:highlight w:val="none"/>
                    </w:rPr>
                    <w:t>满足《工业企业厂界环境噪声排放标准》（GB12348-2008）</w:t>
                  </w:r>
                  <w:r>
                    <w:rPr>
                      <w:rFonts w:hint="eastAsia"/>
                      <w:highlight w:val="none"/>
                      <w:lang w:eastAsia="zh-CN"/>
                    </w:rPr>
                    <w:t>表1中2类</w:t>
                  </w:r>
                  <w:r>
                    <w:rPr>
                      <w:rFonts w:hint="default"/>
                      <w:highlight w:val="none"/>
                    </w:rPr>
                    <w:t>标准要求</w:t>
                  </w:r>
                  <w:r>
                    <w:rPr>
                      <w:rFonts w:hint="eastAsia"/>
                      <w:highlight w:val="none"/>
                      <w:lang w:val="en-US" w:eastAsia="zh-CN"/>
                    </w:rPr>
                    <w:t>。</w:t>
                  </w:r>
                </w:p>
              </w:tc>
              <w:tc>
                <w:tcPr>
                  <w:tcW w:w="613" w:type="pct"/>
                  <w:vAlign w:val="center"/>
                </w:tcPr>
                <w:p w14:paraId="05F333A1">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60F98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5E2A8C26">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15040C5C">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固体废物防治措施</w:t>
                  </w:r>
                </w:p>
              </w:tc>
              <w:tc>
                <w:tcPr>
                  <w:tcW w:w="3132" w:type="pct"/>
                  <w:vAlign w:val="center"/>
                </w:tcPr>
                <w:p w14:paraId="47A5FABF">
                  <w:pPr>
                    <w:pStyle w:val="49"/>
                    <w:bidi w:val="0"/>
                    <w:rPr>
                      <w:rFonts w:hint="eastAsia"/>
                      <w:color w:val="auto"/>
                      <w:highlight w:val="none"/>
                      <w:lang w:eastAsia="zh-CN"/>
                    </w:rPr>
                  </w:pPr>
                  <w:r>
                    <w:rPr>
                      <w:color w:val="auto"/>
                      <w:highlight w:val="none"/>
                    </w:rPr>
                    <w:t>生活垃圾集中收集，</w:t>
                  </w:r>
                  <w:r>
                    <w:rPr>
                      <w:rFonts w:hint="eastAsia"/>
                      <w:color w:val="auto"/>
                      <w:highlight w:val="none"/>
                    </w:rPr>
                    <w:t>由市政环卫部门统一处理</w:t>
                  </w:r>
                  <w:r>
                    <w:rPr>
                      <w:rFonts w:hint="eastAsia"/>
                      <w:color w:val="auto"/>
                      <w:highlight w:val="none"/>
                      <w:lang w:eastAsia="zh-CN"/>
                    </w:rPr>
                    <w:t>；</w:t>
                  </w:r>
                </w:p>
                <w:p w14:paraId="4C14214C">
                  <w:pPr>
                    <w:pStyle w:val="49"/>
                    <w:bidi w:val="0"/>
                    <w:rPr>
                      <w:rFonts w:hint="eastAsia"/>
                      <w:highlight w:val="none"/>
                      <w:lang w:val="en-US" w:eastAsia="zh-CN"/>
                    </w:rPr>
                  </w:pPr>
                  <w:r>
                    <w:rPr>
                      <w:rFonts w:hint="eastAsia"/>
                      <w:color w:val="auto"/>
                      <w:highlight w:val="none"/>
                    </w:rPr>
                    <w:t>杂质中主要为不合格原粮，少部分为石子、泥沙等废物，分别收集，暂存于</w:t>
                  </w:r>
                  <w:r>
                    <w:rPr>
                      <w:rFonts w:hint="eastAsia"/>
                      <w:color w:val="auto"/>
                      <w:highlight w:val="none"/>
                      <w:lang w:val="en-US" w:eastAsia="zh-CN"/>
                    </w:rPr>
                    <w:t>一般固废暂存间</w:t>
                  </w:r>
                  <w:r>
                    <w:rPr>
                      <w:rFonts w:hint="eastAsia"/>
                      <w:color w:val="auto"/>
                      <w:highlight w:val="none"/>
                    </w:rPr>
                    <w:t>内，</w:t>
                  </w:r>
                  <w:r>
                    <w:rPr>
                      <w:rFonts w:hint="eastAsia"/>
                      <w:color w:val="auto"/>
                      <w:highlight w:val="none"/>
                      <w:lang w:eastAsia="zh-CN"/>
                    </w:rPr>
                    <w:t>不合格原粮</w:t>
                  </w:r>
                  <w:r>
                    <w:rPr>
                      <w:rFonts w:hint="eastAsia"/>
                      <w:color w:val="auto"/>
                      <w:highlight w:val="none"/>
                      <w:lang w:val="en-US" w:eastAsia="zh-CN"/>
                    </w:rPr>
                    <w:t>与</w:t>
                  </w:r>
                  <w:r>
                    <w:rPr>
                      <w:rFonts w:hint="eastAsia"/>
                      <w:color w:val="auto"/>
                      <w:highlight w:val="none"/>
                      <w:lang w:eastAsia="zh-CN"/>
                    </w:rPr>
                    <w:t>装卸、输送、筛分、</w:t>
                  </w:r>
                  <w:r>
                    <w:rPr>
                      <w:color w:val="auto"/>
                      <w:highlight w:val="none"/>
                    </w:rPr>
                    <w:t>烘干塔</w:t>
                  </w:r>
                  <w:r>
                    <w:rPr>
                      <w:rFonts w:hint="eastAsia"/>
                      <w:color w:val="auto"/>
                      <w:highlight w:val="none"/>
                      <w:lang w:val="en-US" w:eastAsia="zh-CN"/>
                    </w:rPr>
                    <w:t>收集</w:t>
                  </w:r>
                  <w:r>
                    <w:rPr>
                      <w:color w:val="auto"/>
                      <w:highlight w:val="none"/>
                    </w:rPr>
                    <w:t>粉尘</w:t>
                  </w:r>
                  <w:r>
                    <w:rPr>
                      <w:rFonts w:hint="eastAsia"/>
                      <w:color w:val="auto"/>
                      <w:highlight w:val="none"/>
                    </w:rPr>
                    <w:t>外售</w:t>
                  </w:r>
                  <w:r>
                    <w:rPr>
                      <w:rFonts w:hint="eastAsia"/>
                      <w:color w:val="auto"/>
                      <w:highlight w:val="none"/>
                      <w:lang w:val="en-US" w:eastAsia="zh-CN"/>
                    </w:rPr>
                    <w:t>饲料加工企业作为原料使用</w:t>
                  </w:r>
                  <w:r>
                    <w:rPr>
                      <w:rFonts w:hint="eastAsia"/>
                      <w:color w:val="auto"/>
                      <w:highlight w:val="none"/>
                    </w:rPr>
                    <w:t>，石子、泥沙等废物</w:t>
                  </w:r>
                  <w:r>
                    <w:rPr>
                      <w:rFonts w:hint="eastAsia"/>
                      <w:color w:val="auto"/>
                      <w:highlight w:val="none"/>
                      <w:lang w:val="en-US" w:eastAsia="zh-CN"/>
                    </w:rPr>
                    <w:t>外售建材公司作为原料使用；热风炉灰渣</w:t>
                  </w:r>
                  <w:r>
                    <w:rPr>
                      <w:color w:val="auto"/>
                      <w:highlight w:val="none"/>
                    </w:rPr>
                    <w:t>集中收集，</w:t>
                  </w:r>
                  <w:r>
                    <w:rPr>
                      <w:rFonts w:hint="eastAsia"/>
                      <w:color w:val="auto"/>
                      <w:highlight w:val="none"/>
                    </w:rPr>
                    <w:t>外售</w:t>
                  </w:r>
                  <w:r>
                    <w:rPr>
                      <w:rFonts w:hint="eastAsia"/>
                      <w:color w:val="auto"/>
                      <w:highlight w:val="none"/>
                      <w:lang w:val="en-US" w:eastAsia="zh-CN"/>
                    </w:rPr>
                    <w:t>有机肥料企业作为原料使用</w:t>
                  </w:r>
                  <w:r>
                    <w:rPr>
                      <w:rFonts w:hint="eastAsia"/>
                      <w:color w:val="auto"/>
                      <w:highlight w:val="none"/>
                    </w:rPr>
                    <w:t>。</w:t>
                  </w:r>
                  <w:r>
                    <w:rPr>
                      <w:rFonts w:hint="eastAsia"/>
                      <w:color w:val="auto"/>
                      <w:highlight w:val="none"/>
                      <w:lang w:eastAsia="zh-CN"/>
                    </w:rPr>
                    <w:t>布袋除尘器</w:t>
                  </w:r>
                  <w:r>
                    <w:rPr>
                      <w:rFonts w:hint="eastAsia"/>
                      <w:color w:val="auto"/>
                      <w:highlight w:val="none"/>
                      <w:lang w:val="en-US" w:eastAsia="zh-CN"/>
                    </w:rPr>
                    <w:t>产生的废布袋一般每两年更换一次，废布袋由厂家更换回收处理，厂内不暂存。</w:t>
                  </w:r>
                </w:p>
              </w:tc>
              <w:tc>
                <w:tcPr>
                  <w:tcW w:w="613" w:type="pct"/>
                  <w:vAlign w:val="center"/>
                </w:tcPr>
                <w:p w14:paraId="1DF2FCA8">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039F3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vMerge w:val="continue"/>
                  <w:vAlign w:val="center"/>
                </w:tcPr>
                <w:p w14:paraId="38D40FD7">
                  <w:pPr>
                    <w:keepNext w:val="0"/>
                    <w:keepLines w:val="0"/>
                    <w:pageBreakBefore w:val="0"/>
                    <w:widowControl w:val="0"/>
                    <w:kinsoku/>
                    <w:wordWrap/>
                    <w:overflowPunct/>
                    <w:topLinePunct/>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p>
              </w:tc>
              <w:tc>
                <w:tcPr>
                  <w:tcW w:w="792" w:type="pct"/>
                  <w:vAlign w:val="center"/>
                </w:tcPr>
                <w:p w14:paraId="226A1998">
                  <w:pPr>
                    <w:pStyle w:val="60"/>
                    <w:bidi w:val="0"/>
                    <w:rPr>
                      <w:color w:val="auto"/>
                      <w:sz w:val="21"/>
                      <w:szCs w:val="21"/>
                      <w:highlight w:val="none"/>
                      <w:lang w:val="en-US" w:eastAsia="zh-CN"/>
                    </w:rPr>
                  </w:pPr>
                  <w:r>
                    <w:rPr>
                      <w:rFonts w:hint="default"/>
                      <w:color w:val="auto"/>
                      <w:sz w:val="21"/>
                      <w:szCs w:val="21"/>
                      <w:highlight w:val="none"/>
                      <w:lang w:val="en-US" w:eastAsia="zh-CN"/>
                    </w:rPr>
                    <w:t>地下水污染防治措施</w:t>
                  </w:r>
                </w:p>
              </w:tc>
              <w:tc>
                <w:tcPr>
                  <w:tcW w:w="3132" w:type="pct"/>
                  <w:vAlign w:val="center"/>
                </w:tcPr>
                <w:p w14:paraId="3585AFAD">
                  <w:pPr>
                    <w:pStyle w:val="49"/>
                    <w:topLinePunct/>
                    <w:ind w:firstLine="420" w:firstLineChars="200"/>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防渗旱厕采取</w:t>
                  </w:r>
                  <w:r>
                    <w:rPr>
                      <w:rFonts w:hint="default" w:ascii="Times New Roman" w:hAnsi="Times New Roman" w:cs="Times New Roman"/>
                      <w:color w:val="auto"/>
                      <w:sz w:val="21"/>
                      <w:szCs w:val="21"/>
                      <w:highlight w:val="none"/>
                    </w:rPr>
                    <w:t>一般防渗</w:t>
                  </w:r>
                  <w:r>
                    <w:rPr>
                      <w:rFonts w:hint="default" w:ascii="Times New Roman" w:hAnsi="Times New Roman" w:cs="Times New Roman"/>
                      <w:color w:val="auto"/>
                      <w:sz w:val="21"/>
                      <w:szCs w:val="21"/>
                      <w:highlight w:val="none"/>
                      <w:lang w:val="en-US" w:eastAsia="zh-CN"/>
                    </w:rPr>
                    <w:t>处理</w:t>
                  </w:r>
                  <w:r>
                    <w:rPr>
                      <w:rFonts w:hint="default" w:ascii="Times New Roman" w:hAnsi="Times New Roman" w:cs="Times New Roman"/>
                      <w:color w:val="auto"/>
                      <w:sz w:val="21"/>
                      <w:szCs w:val="21"/>
                      <w:highlight w:val="none"/>
                    </w:rPr>
                    <w:t>，防渗技术要求满足等效黏土防渗层厚度Mb≥1.5m，渗透系数K≤1×10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r>
                    <w:rPr>
                      <w:rFonts w:hint="default" w:ascii="Times New Roman" w:hAnsi="Times New Roman" w:cs="Times New Roman"/>
                      <w:color w:val="auto"/>
                      <w:sz w:val="21"/>
                      <w:szCs w:val="21"/>
                      <w:highlight w:val="none"/>
                      <w:lang w:eastAsia="zh-CN"/>
                    </w:rPr>
                    <w:t>。</w:t>
                  </w:r>
                </w:p>
                <w:p w14:paraId="7CF52170">
                  <w:pPr>
                    <w:pStyle w:val="49"/>
                    <w:topLinePunct/>
                    <w:ind w:firstLine="420" w:firstLineChars="200"/>
                    <w:textAlignment w:val="center"/>
                    <w:rPr>
                      <w:rFonts w:hint="eastAsia" w:eastAsia="宋体"/>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其他区域</w:t>
                  </w:r>
                  <w:r>
                    <w:rPr>
                      <w:rFonts w:hint="default" w:ascii="Times New Roman" w:hAnsi="Times New Roman" w:cs="Times New Roman"/>
                      <w:color w:val="auto"/>
                      <w:sz w:val="21"/>
                      <w:szCs w:val="21"/>
                      <w:highlight w:val="none"/>
                      <w:lang w:val="en-US" w:eastAsia="zh-CN"/>
                    </w:rPr>
                    <w:t>地面均进行简单防渗处理，进行一般</w:t>
                  </w:r>
                  <w:r>
                    <w:rPr>
                      <w:rFonts w:hint="default" w:ascii="Times New Roman" w:hAnsi="Times New Roman" w:cs="Times New Roman"/>
                      <w:color w:val="auto"/>
                      <w:sz w:val="21"/>
                      <w:szCs w:val="21"/>
                      <w:highlight w:val="none"/>
                    </w:rPr>
                    <w:t>地面水泥硬化</w:t>
                  </w:r>
                  <w:r>
                    <w:rPr>
                      <w:rFonts w:hint="eastAsia" w:ascii="Times New Roman" w:hAnsi="Times New Roman" w:cs="Times New Roman"/>
                      <w:color w:val="auto"/>
                      <w:sz w:val="21"/>
                      <w:szCs w:val="21"/>
                      <w:highlight w:val="none"/>
                      <w:lang w:eastAsia="zh-CN"/>
                    </w:rPr>
                    <w:t>。</w:t>
                  </w:r>
                </w:p>
              </w:tc>
              <w:tc>
                <w:tcPr>
                  <w:tcW w:w="613" w:type="pct"/>
                  <w:vAlign w:val="center"/>
                </w:tcPr>
                <w:p w14:paraId="48D38627">
                  <w:pPr>
                    <w:pStyle w:val="60"/>
                    <w:keepNext w:val="0"/>
                    <w:keepLines w:val="0"/>
                    <w:pageBreakBefore w:val="0"/>
                    <w:widowControl w:val="0"/>
                    <w:kinsoku/>
                    <w:overflowPunct/>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bookmarkEnd w:id="6"/>
          </w:tbl>
          <w:p w14:paraId="1C4BDA9E">
            <w:pPr>
              <w:pStyle w:val="52"/>
              <w:spacing w:before="120"/>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2.</w:t>
            </w:r>
            <w:r>
              <w:rPr>
                <w:rFonts w:hint="default" w:ascii="Times New Roman" w:hAnsi="Times New Roman" w:cs="Times New Roman"/>
                <w:b/>
                <w:bCs/>
                <w:color w:val="auto"/>
                <w:highlight w:val="none"/>
              </w:rPr>
              <w:t>主要设备</w:t>
            </w:r>
          </w:p>
          <w:p w14:paraId="3805A09E">
            <w:pPr>
              <w:pStyle w:val="46"/>
              <w:bidi w:val="0"/>
              <w:rPr>
                <w:rFonts w:hint="default"/>
                <w:color w:val="auto"/>
                <w:highlight w:val="none"/>
              </w:rPr>
            </w:pPr>
            <w:r>
              <w:rPr>
                <w:rFonts w:hint="default"/>
                <w:color w:val="auto"/>
                <w:highlight w:val="none"/>
              </w:rPr>
              <w:t>主要设备见下表。</w:t>
            </w:r>
          </w:p>
          <w:p w14:paraId="74A11D1C">
            <w:pPr>
              <w:pStyle w:val="50"/>
              <w:bidi w:val="0"/>
              <w:rPr>
                <w:rFonts w:hint="default"/>
                <w:color w:val="auto"/>
                <w:highlight w:val="none"/>
                <w:lang w:val="en-US" w:eastAsia="zh-CN"/>
              </w:rPr>
            </w:pPr>
            <w:r>
              <w:rPr>
                <w:rFonts w:hint="default"/>
                <w:color w:val="auto"/>
                <w:highlight w:val="none"/>
              </w:rPr>
              <w:t>表2-2   设备一览表</w:t>
            </w:r>
          </w:p>
          <w:tbl>
            <w:tblPr>
              <w:tblStyle w:val="38"/>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4"/>
              <w:gridCol w:w="2753"/>
              <w:gridCol w:w="1505"/>
              <w:gridCol w:w="1813"/>
              <w:gridCol w:w="729"/>
            </w:tblGrid>
            <w:tr w14:paraId="38781C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74C1B712">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836" w:type="pct"/>
                  <w:noWrap w:val="0"/>
                  <w:vAlign w:val="center"/>
                </w:tcPr>
                <w:p w14:paraId="70AC9D5C">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1004" w:type="pct"/>
                  <w:noWrap w:val="0"/>
                  <w:vAlign w:val="center"/>
                </w:tcPr>
                <w:p w14:paraId="715A964E">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计量单位</w:t>
                  </w:r>
                </w:p>
              </w:tc>
              <w:tc>
                <w:tcPr>
                  <w:tcW w:w="1209" w:type="pct"/>
                  <w:noWrap w:val="0"/>
                  <w:vAlign w:val="center"/>
                </w:tcPr>
                <w:p w14:paraId="7994BC74">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型号</w:t>
                  </w:r>
                </w:p>
              </w:tc>
              <w:tc>
                <w:tcPr>
                  <w:tcW w:w="486" w:type="pct"/>
                  <w:noWrap w:val="0"/>
                  <w:vAlign w:val="center"/>
                </w:tcPr>
                <w:p w14:paraId="65F206C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r>
            <w:tr w14:paraId="045FC1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0ADFD66E">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836" w:type="pct"/>
                  <w:noWrap w:val="0"/>
                  <w:vAlign w:val="center"/>
                </w:tcPr>
                <w:p w14:paraId="3EA410B5">
                  <w:pPr>
                    <w:pStyle w:val="60"/>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烘干塔</w:t>
                  </w:r>
                </w:p>
              </w:tc>
              <w:tc>
                <w:tcPr>
                  <w:tcW w:w="1004" w:type="pct"/>
                  <w:noWrap w:val="0"/>
                  <w:vAlign w:val="center"/>
                </w:tcPr>
                <w:p w14:paraId="354FAD1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209" w:type="pct"/>
                  <w:noWrap w:val="0"/>
                  <w:vAlign w:val="center"/>
                </w:tcPr>
                <w:p w14:paraId="0C9F6221">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HGJ-</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00T</w:t>
                  </w:r>
                </w:p>
              </w:tc>
              <w:tc>
                <w:tcPr>
                  <w:tcW w:w="486" w:type="pct"/>
                  <w:noWrap w:val="0"/>
                  <w:vAlign w:val="center"/>
                </w:tcPr>
                <w:p w14:paraId="27202CE6">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r>
            <w:tr w14:paraId="78F613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0B7DACC4">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p>
              </w:tc>
              <w:tc>
                <w:tcPr>
                  <w:tcW w:w="1836" w:type="pct"/>
                  <w:shd w:val="clear" w:color="auto" w:fill="auto"/>
                  <w:noWrap w:val="0"/>
                  <w:vAlign w:val="center"/>
                </w:tcPr>
                <w:p w14:paraId="08AB4450">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燃生物质热风炉</w:t>
                  </w:r>
                </w:p>
              </w:tc>
              <w:tc>
                <w:tcPr>
                  <w:tcW w:w="1004" w:type="pct"/>
                  <w:shd w:val="clear" w:color="auto" w:fill="auto"/>
                  <w:noWrap w:val="0"/>
                  <w:vAlign w:val="center"/>
                </w:tcPr>
                <w:p w14:paraId="1DF8643D">
                  <w:pPr>
                    <w:pStyle w:val="60"/>
                    <w:bidi w:val="0"/>
                    <w:rPr>
                      <w:rFonts w:hint="default"/>
                      <w:color w:val="auto"/>
                      <w:highlight w:val="none"/>
                      <w:lang w:val="en-US" w:eastAsia="zh-CN"/>
                    </w:rPr>
                  </w:pPr>
                  <w:r>
                    <w:rPr>
                      <w:rFonts w:hint="default"/>
                      <w:color w:val="auto"/>
                      <w:highlight w:val="none"/>
                    </w:rPr>
                    <w:t>台</w:t>
                  </w:r>
                </w:p>
              </w:tc>
              <w:tc>
                <w:tcPr>
                  <w:tcW w:w="1209" w:type="pct"/>
                  <w:shd w:val="clear" w:color="auto" w:fill="auto"/>
                  <w:noWrap w:val="0"/>
                  <w:vAlign w:val="center"/>
                </w:tcPr>
                <w:p w14:paraId="0659093D">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720万Kcal/h</w:t>
                  </w:r>
                </w:p>
              </w:tc>
              <w:tc>
                <w:tcPr>
                  <w:tcW w:w="486" w:type="pct"/>
                  <w:shd w:val="clear" w:color="auto" w:fill="auto"/>
                  <w:noWrap w:val="0"/>
                  <w:vAlign w:val="center"/>
                </w:tcPr>
                <w:p w14:paraId="1CAEB651">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1</w:t>
                  </w:r>
                </w:p>
              </w:tc>
            </w:tr>
            <w:tr w14:paraId="4E43A0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shd w:val="clear" w:color="auto" w:fill="auto"/>
                  <w:noWrap w:val="0"/>
                  <w:vAlign w:val="center"/>
                </w:tcPr>
                <w:p w14:paraId="681D19C9">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836" w:type="pct"/>
                  <w:noWrap w:val="0"/>
                  <w:vAlign w:val="center"/>
                </w:tcPr>
                <w:p w14:paraId="1D87CE82">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引风机</w:t>
                  </w:r>
                </w:p>
              </w:tc>
              <w:tc>
                <w:tcPr>
                  <w:tcW w:w="1004" w:type="pct"/>
                  <w:noWrap w:val="0"/>
                  <w:vAlign w:val="center"/>
                </w:tcPr>
                <w:p w14:paraId="2DE0EE47">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台</w:t>
                  </w:r>
                </w:p>
              </w:tc>
              <w:tc>
                <w:tcPr>
                  <w:tcW w:w="1209" w:type="pct"/>
                  <w:noWrap w:val="0"/>
                  <w:vAlign w:val="center"/>
                </w:tcPr>
                <w:p w14:paraId="0680AB75">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486" w:type="pct"/>
                  <w:noWrap w:val="0"/>
                  <w:vAlign w:val="center"/>
                </w:tcPr>
                <w:p w14:paraId="32516041">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p>
              </w:tc>
            </w:tr>
            <w:tr w14:paraId="432D53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shd w:val="clear" w:color="auto" w:fill="auto"/>
                  <w:noWrap w:val="0"/>
                  <w:vAlign w:val="center"/>
                </w:tcPr>
                <w:p w14:paraId="088B3581">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836" w:type="pct"/>
                  <w:noWrap w:val="0"/>
                  <w:vAlign w:val="center"/>
                </w:tcPr>
                <w:p w14:paraId="6EEA631D">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鼓风机</w:t>
                  </w:r>
                </w:p>
              </w:tc>
              <w:tc>
                <w:tcPr>
                  <w:tcW w:w="1004" w:type="pct"/>
                  <w:noWrap w:val="0"/>
                  <w:vAlign w:val="center"/>
                </w:tcPr>
                <w:p w14:paraId="441FF32E">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台</w:t>
                  </w:r>
                </w:p>
              </w:tc>
              <w:tc>
                <w:tcPr>
                  <w:tcW w:w="1209" w:type="pct"/>
                  <w:noWrap w:val="0"/>
                  <w:vAlign w:val="center"/>
                </w:tcPr>
                <w:p w14:paraId="15FAA0E8">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486" w:type="pct"/>
                  <w:noWrap w:val="0"/>
                  <w:vAlign w:val="center"/>
                </w:tcPr>
                <w:p w14:paraId="63F21734">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p>
              </w:tc>
            </w:tr>
            <w:tr w14:paraId="1253AA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489B634F">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p>
              </w:tc>
              <w:tc>
                <w:tcPr>
                  <w:tcW w:w="1836" w:type="pct"/>
                  <w:noWrap w:val="0"/>
                  <w:vAlign w:val="center"/>
                </w:tcPr>
                <w:p w14:paraId="770BC8B4">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初清筛</w:t>
                  </w:r>
                </w:p>
              </w:tc>
              <w:tc>
                <w:tcPr>
                  <w:tcW w:w="1004" w:type="pct"/>
                  <w:noWrap w:val="0"/>
                  <w:vAlign w:val="center"/>
                </w:tcPr>
                <w:p w14:paraId="6A4DCF2D">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台</w:t>
                  </w:r>
                </w:p>
              </w:tc>
              <w:tc>
                <w:tcPr>
                  <w:tcW w:w="1209" w:type="pct"/>
                  <w:noWrap w:val="0"/>
                  <w:vAlign w:val="center"/>
                </w:tcPr>
                <w:p w14:paraId="1605580C">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GFBD</w:t>
                  </w:r>
                </w:p>
              </w:tc>
              <w:tc>
                <w:tcPr>
                  <w:tcW w:w="486" w:type="pct"/>
                  <w:noWrap w:val="0"/>
                  <w:vAlign w:val="center"/>
                </w:tcPr>
                <w:p w14:paraId="0155AD34">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p>
              </w:tc>
            </w:tr>
            <w:tr w14:paraId="2CCAEA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6D4BE2CD">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w:t>
                  </w:r>
                </w:p>
              </w:tc>
              <w:tc>
                <w:tcPr>
                  <w:tcW w:w="1836" w:type="pct"/>
                  <w:noWrap w:val="0"/>
                  <w:vAlign w:val="center"/>
                </w:tcPr>
                <w:p w14:paraId="746068CB">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输送机</w:t>
                  </w:r>
                </w:p>
              </w:tc>
              <w:tc>
                <w:tcPr>
                  <w:tcW w:w="1004" w:type="pct"/>
                  <w:noWrap w:val="0"/>
                  <w:vAlign w:val="center"/>
                </w:tcPr>
                <w:p w14:paraId="1E16F1F3">
                  <w:pPr>
                    <w:pStyle w:val="60"/>
                    <w:bidi w:val="0"/>
                    <w:rPr>
                      <w:rFonts w:hint="default" w:ascii="Times New Roman" w:hAnsi="Times New Roman" w:eastAsia="宋体" w:cs="Times New Roman"/>
                      <w:color w:val="auto"/>
                      <w:highlight w:val="none"/>
                      <w:lang w:val="en-US" w:eastAsia="zh-CN"/>
                    </w:rPr>
                  </w:pPr>
                  <w:r>
                    <w:rPr>
                      <w:rFonts w:hint="eastAsia"/>
                      <w:color w:val="auto"/>
                      <w:sz w:val="21"/>
                      <w:szCs w:val="21"/>
                      <w:highlight w:val="none"/>
                      <w:lang w:val="en-US" w:eastAsia="zh-CN"/>
                    </w:rPr>
                    <w:t>台</w:t>
                  </w:r>
                </w:p>
              </w:tc>
              <w:tc>
                <w:tcPr>
                  <w:tcW w:w="1209" w:type="pct"/>
                  <w:noWrap w:val="0"/>
                  <w:vAlign w:val="center"/>
                </w:tcPr>
                <w:p w14:paraId="5BA9F080">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r>
                    <w:rPr>
                      <w:rFonts w:hint="default" w:ascii="Times New Roman" w:hAnsi="Times New Roman" w:cs="Times New Roman"/>
                      <w:color w:val="auto"/>
                      <w:highlight w:val="none"/>
                      <w:lang w:val="en-US" w:eastAsia="zh-CN"/>
                    </w:rPr>
                    <w:t>t/h</w:t>
                  </w:r>
                </w:p>
              </w:tc>
              <w:tc>
                <w:tcPr>
                  <w:tcW w:w="486" w:type="pct"/>
                  <w:noWrap w:val="0"/>
                  <w:vAlign w:val="center"/>
                </w:tcPr>
                <w:p w14:paraId="7796405D">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w:t>
                  </w:r>
                </w:p>
              </w:tc>
            </w:tr>
            <w:tr w14:paraId="0BE3E6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305EFDE5">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w:t>
                  </w:r>
                </w:p>
              </w:tc>
              <w:tc>
                <w:tcPr>
                  <w:tcW w:w="1836" w:type="pct"/>
                  <w:noWrap w:val="0"/>
                  <w:vAlign w:val="center"/>
                </w:tcPr>
                <w:p w14:paraId="41019549">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提升机</w:t>
                  </w:r>
                </w:p>
              </w:tc>
              <w:tc>
                <w:tcPr>
                  <w:tcW w:w="1004" w:type="pct"/>
                  <w:noWrap w:val="0"/>
                  <w:vAlign w:val="center"/>
                </w:tcPr>
                <w:p w14:paraId="77E75625">
                  <w:pPr>
                    <w:pStyle w:val="60"/>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台</w:t>
                  </w:r>
                </w:p>
              </w:tc>
              <w:tc>
                <w:tcPr>
                  <w:tcW w:w="1209" w:type="pct"/>
                  <w:noWrap w:val="0"/>
                  <w:vAlign w:val="center"/>
                </w:tcPr>
                <w:p w14:paraId="3944AB0C">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65t</w:t>
                  </w:r>
                  <w:r>
                    <w:rPr>
                      <w:rFonts w:hint="default" w:ascii="Times New Roman" w:hAnsi="Times New Roman" w:cs="Times New Roman"/>
                      <w:color w:val="auto"/>
                      <w:highlight w:val="none"/>
                      <w:lang w:val="en-US" w:eastAsia="zh-CN"/>
                    </w:rPr>
                    <w:t>/h</w:t>
                  </w:r>
                </w:p>
              </w:tc>
              <w:tc>
                <w:tcPr>
                  <w:tcW w:w="486" w:type="pct"/>
                  <w:noWrap w:val="0"/>
                  <w:vAlign w:val="center"/>
                </w:tcPr>
                <w:p w14:paraId="4576BA8D">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w:t>
                  </w:r>
                </w:p>
              </w:tc>
            </w:tr>
            <w:tr w14:paraId="5E1C8D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3" w:type="pct"/>
                  <w:noWrap w:val="0"/>
                  <w:vAlign w:val="center"/>
                </w:tcPr>
                <w:p w14:paraId="220F8665">
                  <w:pPr>
                    <w:pStyle w:val="60"/>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8</w:t>
                  </w:r>
                </w:p>
              </w:tc>
              <w:tc>
                <w:tcPr>
                  <w:tcW w:w="1836" w:type="pct"/>
                  <w:shd w:val="clear" w:color="auto" w:fill="auto"/>
                  <w:noWrap w:val="0"/>
                  <w:vAlign w:val="center"/>
                </w:tcPr>
                <w:p w14:paraId="771151A8">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color w:val="auto"/>
                      <w:highlight w:val="none"/>
                      <w:lang w:val="en-US" w:eastAsia="zh-CN"/>
                    </w:rPr>
                    <w:t>布袋除尘器</w:t>
                  </w:r>
                  <w:r>
                    <w:rPr>
                      <w:rFonts w:hint="eastAsia"/>
                      <w:color w:val="auto"/>
                      <w:highlight w:val="none"/>
                      <w:lang w:val="en-US" w:eastAsia="zh-CN"/>
                    </w:rPr>
                    <w:t>（热风炉）</w:t>
                  </w:r>
                </w:p>
              </w:tc>
              <w:tc>
                <w:tcPr>
                  <w:tcW w:w="1004" w:type="pct"/>
                  <w:shd w:val="clear" w:color="auto" w:fill="auto"/>
                  <w:noWrap w:val="0"/>
                  <w:vAlign w:val="center"/>
                </w:tcPr>
                <w:p w14:paraId="27CFF320">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套</w:t>
                  </w:r>
                </w:p>
              </w:tc>
              <w:tc>
                <w:tcPr>
                  <w:tcW w:w="1209" w:type="pct"/>
                  <w:shd w:val="clear" w:color="auto" w:fill="auto"/>
                  <w:noWrap w:val="0"/>
                  <w:vAlign w:val="center"/>
                </w:tcPr>
                <w:p w14:paraId="7CECE69A">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w:t>
                  </w:r>
                </w:p>
              </w:tc>
              <w:tc>
                <w:tcPr>
                  <w:tcW w:w="486" w:type="pct"/>
                  <w:noWrap w:val="0"/>
                  <w:vAlign w:val="center"/>
                </w:tcPr>
                <w:p w14:paraId="0B4FBCC8">
                  <w:pPr>
                    <w:pStyle w:val="60"/>
                    <w:bidi w:val="0"/>
                    <w:rPr>
                      <w:rFonts w:hint="default" w:ascii="Times New Roman" w:hAnsi="Times New Roman" w:eastAsia="宋体" w:cs="Times New Roman"/>
                      <w:color w:val="auto"/>
                      <w:highlight w:val="none"/>
                      <w:lang w:val="en-US" w:eastAsia="zh-CN"/>
                    </w:rPr>
                  </w:pPr>
                  <w:r>
                    <w:rPr>
                      <w:rFonts w:hint="eastAsia"/>
                      <w:color w:val="auto"/>
                      <w:highlight w:val="none"/>
                      <w:lang w:val="en-US" w:eastAsia="zh-CN"/>
                    </w:rPr>
                    <w:t>1</w:t>
                  </w:r>
                </w:p>
              </w:tc>
            </w:tr>
          </w:tbl>
          <w:p w14:paraId="5AC77E0F">
            <w:pPr>
              <w:pStyle w:val="52"/>
              <w:spacing w:before="120"/>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3.</w:t>
            </w:r>
            <w:r>
              <w:rPr>
                <w:rFonts w:hint="default" w:ascii="Times New Roman" w:hAnsi="Times New Roman" w:cs="Times New Roman"/>
                <w:b/>
                <w:bCs/>
                <w:color w:val="auto"/>
                <w:highlight w:val="none"/>
              </w:rPr>
              <w:t>主要产品方案与原辅材料</w:t>
            </w:r>
          </w:p>
          <w:p w14:paraId="4373DDC0">
            <w:pPr>
              <w:pStyle w:val="46"/>
              <w:bidi w:val="0"/>
              <w:rPr>
                <w:color w:val="auto"/>
                <w:highlight w:val="none"/>
                <w:lang w:val="en-US" w:eastAsia="zh-CN"/>
              </w:rPr>
            </w:pPr>
            <w:r>
              <w:rPr>
                <w:color w:val="auto"/>
                <w:highlight w:val="none"/>
                <w:lang w:val="en-US" w:eastAsia="zh-CN"/>
              </w:rPr>
              <w:t>主要产品</w:t>
            </w:r>
            <w:r>
              <w:rPr>
                <w:rFonts w:hint="eastAsia"/>
                <w:color w:val="auto"/>
                <w:highlight w:val="none"/>
                <w:lang w:val="en-US" w:eastAsia="zh-CN"/>
              </w:rPr>
              <w:t>产量</w:t>
            </w:r>
            <w:r>
              <w:rPr>
                <w:color w:val="auto"/>
                <w:highlight w:val="none"/>
                <w:lang w:val="en-US" w:eastAsia="zh-CN"/>
              </w:rPr>
              <w:t>表见表2-</w:t>
            </w:r>
            <w:r>
              <w:rPr>
                <w:rFonts w:hint="eastAsia"/>
                <w:color w:val="auto"/>
                <w:highlight w:val="none"/>
                <w:lang w:val="en-US" w:eastAsia="zh-CN"/>
              </w:rPr>
              <w:t>3</w:t>
            </w:r>
            <w:r>
              <w:rPr>
                <w:color w:val="auto"/>
                <w:highlight w:val="none"/>
                <w:lang w:val="en-US" w:eastAsia="zh-CN"/>
              </w:rPr>
              <w:t>。物料平衡见表2-</w:t>
            </w:r>
            <w:r>
              <w:rPr>
                <w:rFonts w:hint="eastAsia"/>
                <w:color w:val="auto"/>
                <w:highlight w:val="none"/>
                <w:lang w:val="en-US" w:eastAsia="zh-CN"/>
              </w:rPr>
              <w:t>4</w:t>
            </w:r>
            <w:r>
              <w:rPr>
                <w:color w:val="auto"/>
                <w:highlight w:val="none"/>
                <w:lang w:val="en-US" w:eastAsia="zh-CN"/>
              </w:rPr>
              <w:t>。</w:t>
            </w:r>
          </w:p>
          <w:p w14:paraId="231753E7">
            <w:pPr>
              <w:keepNext w:val="0"/>
              <w:keepLines w:val="0"/>
              <w:pageBreakBefore w:val="0"/>
              <w:widowControl w:val="0"/>
              <w:kinsoku/>
              <w:wordWrap w:val="0"/>
              <w:overflowPunct/>
              <w:topLinePunct/>
              <w:bidi w:val="0"/>
              <w:adjustRightInd/>
              <w:snapToGrid/>
              <w:spacing w:after="0" w:line="240" w:lineRule="auto"/>
              <w:ind w:firstLine="0" w:firstLineChars="0"/>
              <w:jc w:val="center"/>
              <w:rPr>
                <w:rFonts w:hint="eastAsia" w:cs="Times New Roman"/>
                <w:b/>
                <w:color w:val="auto"/>
                <w:kern w:val="2"/>
                <w:sz w:val="24"/>
                <w:szCs w:val="24"/>
                <w:highlight w:val="none"/>
                <w:lang w:val="en-US" w:eastAsia="zh-CN" w:bidi="ar-SA"/>
              </w:rPr>
            </w:pPr>
            <w:r>
              <w:rPr>
                <w:rFonts w:ascii="Times New Roman" w:hAnsi="Times New Roman" w:eastAsia="宋体" w:cs="Times New Roman"/>
                <w:b/>
                <w:color w:val="auto"/>
                <w:kern w:val="2"/>
                <w:sz w:val="24"/>
                <w:szCs w:val="24"/>
                <w:highlight w:val="none"/>
                <w:lang w:val="en-US" w:eastAsia="zh-CN" w:bidi="ar-SA"/>
              </w:rPr>
              <w:t>表2-</w:t>
            </w:r>
            <w:r>
              <w:rPr>
                <w:rFonts w:hint="eastAsia" w:ascii="Times New Roman" w:hAnsi="Times New Roman" w:eastAsia="宋体" w:cs="Times New Roman"/>
                <w:b/>
                <w:color w:val="auto"/>
                <w:kern w:val="2"/>
                <w:sz w:val="24"/>
                <w:szCs w:val="24"/>
                <w:highlight w:val="none"/>
                <w:lang w:val="en-US" w:eastAsia="zh-CN" w:bidi="ar-SA"/>
              </w:rPr>
              <w:t>3</w:t>
            </w:r>
            <w:r>
              <w:rPr>
                <w:rFonts w:ascii="Times New Roman" w:hAnsi="Times New Roman" w:eastAsia="宋体" w:cs="Times New Roman"/>
                <w:b/>
                <w:color w:val="auto"/>
                <w:kern w:val="2"/>
                <w:sz w:val="24"/>
                <w:szCs w:val="24"/>
                <w:highlight w:val="none"/>
                <w:lang w:val="en-US" w:eastAsia="zh-CN" w:bidi="ar-SA"/>
              </w:rPr>
              <w:t xml:space="preserve">   烘干产品</w:t>
            </w:r>
            <w:r>
              <w:rPr>
                <w:rFonts w:hint="eastAsia" w:cs="Times New Roman"/>
                <w:b/>
                <w:color w:val="auto"/>
                <w:kern w:val="2"/>
                <w:sz w:val="24"/>
                <w:szCs w:val="24"/>
                <w:highlight w:val="none"/>
                <w:lang w:val="en-US" w:eastAsia="zh-CN" w:bidi="ar-SA"/>
              </w:rPr>
              <w:t>产量及原辅材料表</w:t>
            </w:r>
          </w:p>
          <w:tbl>
            <w:tblPr>
              <w:tblStyle w:val="38"/>
              <w:tblW w:w="498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3"/>
              <w:gridCol w:w="2947"/>
              <w:gridCol w:w="928"/>
              <w:gridCol w:w="1344"/>
              <w:gridCol w:w="1571"/>
            </w:tblGrid>
            <w:tr w14:paraId="51C6F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00" w:type="pct"/>
                  <w:gridSpan w:val="5"/>
                  <w:tcBorders>
                    <w:tl2br w:val="nil"/>
                    <w:tr2bl w:val="nil"/>
                  </w:tcBorders>
                  <w:vAlign w:val="center"/>
                </w:tcPr>
                <w:p w14:paraId="249E8F54">
                  <w:pPr>
                    <w:pStyle w:val="60"/>
                    <w:bidi w:val="0"/>
                    <w:rPr>
                      <w:color w:val="auto"/>
                      <w:sz w:val="21"/>
                      <w:szCs w:val="21"/>
                      <w:highlight w:val="none"/>
                    </w:rPr>
                  </w:pPr>
                  <w:r>
                    <w:rPr>
                      <w:color w:val="auto"/>
                      <w:sz w:val="21"/>
                      <w:szCs w:val="21"/>
                      <w:highlight w:val="none"/>
                      <w:lang w:val="en-US" w:eastAsia="zh-CN"/>
                    </w:rPr>
                    <w:t>产品方案</w:t>
                  </w:r>
                </w:p>
              </w:tc>
            </w:tr>
            <w:tr w14:paraId="65ECA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3" w:type="pct"/>
                  <w:tcBorders>
                    <w:tl2br w:val="nil"/>
                    <w:tr2bl w:val="nil"/>
                  </w:tcBorders>
                  <w:vAlign w:val="center"/>
                </w:tcPr>
                <w:p w14:paraId="0306676F">
                  <w:pPr>
                    <w:pStyle w:val="60"/>
                    <w:bidi w:val="0"/>
                    <w:rPr>
                      <w:color w:val="auto"/>
                      <w:sz w:val="21"/>
                      <w:szCs w:val="21"/>
                      <w:highlight w:val="none"/>
                    </w:rPr>
                  </w:pPr>
                  <w:r>
                    <w:rPr>
                      <w:color w:val="auto"/>
                      <w:sz w:val="21"/>
                      <w:szCs w:val="21"/>
                      <w:highlight w:val="none"/>
                    </w:rPr>
                    <w:t>序号</w:t>
                  </w:r>
                </w:p>
              </w:tc>
              <w:tc>
                <w:tcPr>
                  <w:tcW w:w="1969" w:type="pct"/>
                  <w:tcBorders>
                    <w:tl2br w:val="nil"/>
                    <w:tr2bl w:val="nil"/>
                  </w:tcBorders>
                  <w:vAlign w:val="center"/>
                </w:tcPr>
                <w:p w14:paraId="2A54F805">
                  <w:pPr>
                    <w:pStyle w:val="60"/>
                    <w:bidi w:val="0"/>
                    <w:rPr>
                      <w:color w:val="auto"/>
                      <w:sz w:val="21"/>
                      <w:szCs w:val="21"/>
                      <w:highlight w:val="none"/>
                    </w:rPr>
                  </w:pPr>
                  <w:r>
                    <w:rPr>
                      <w:color w:val="auto"/>
                      <w:sz w:val="21"/>
                      <w:szCs w:val="21"/>
                      <w:highlight w:val="none"/>
                    </w:rPr>
                    <w:t>产品名称</w:t>
                  </w:r>
                </w:p>
              </w:tc>
              <w:tc>
                <w:tcPr>
                  <w:tcW w:w="620" w:type="pct"/>
                  <w:tcBorders>
                    <w:tl2br w:val="nil"/>
                    <w:tr2bl w:val="nil"/>
                  </w:tcBorders>
                  <w:vAlign w:val="center"/>
                </w:tcPr>
                <w:p w14:paraId="74AB2DBD">
                  <w:pPr>
                    <w:pStyle w:val="60"/>
                    <w:bidi w:val="0"/>
                    <w:rPr>
                      <w:color w:val="auto"/>
                      <w:sz w:val="21"/>
                      <w:szCs w:val="21"/>
                      <w:highlight w:val="none"/>
                    </w:rPr>
                  </w:pPr>
                  <w:r>
                    <w:rPr>
                      <w:color w:val="auto"/>
                      <w:sz w:val="21"/>
                      <w:szCs w:val="21"/>
                      <w:highlight w:val="none"/>
                    </w:rPr>
                    <w:t>单位</w:t>
                  </w:r>
                </w:p>
              </w:tc>
              <w:tc>
                <w:tcPr>
                  <w:tcW w:w="898" w:type="pct"/>
                  <w:tcBorders>
                    <w:tl2br w:val="nil"/>
                    <w:tr2bl w:val="nil"/>
                  </w:tcBorders>
                  <w:vAlign w:val="center"/>
                </w:tcPr>
                <w:p w14:paraId="0C5F0506">
                  <w:pPr>
                    <w:pStyle w:val="60"/>
                    <w:bidi w:val="0"/>
                    <w:rPr>
                      <w:color w:val="auto"/>
                      <w:sz w:val="21"/>
                      <w:szCs w:val="21"/>
                      <w:highlight w:val="none"/>
                    </w:rPr>
                  </w:pPr>
                  <w:r>
                    <w:rPr>
                      <w:color w:val="auto"/>
                      <w:sz w:val="21"/>
                      <w:szCs w:val="21"/>
                      <w:highlight w:val="none"/>
                    </w:rPr>
                    <w:t>年产量</w:t>
                  </w:r>
                </w:p>
              </w:tc>
              <w:tc>
                <w:tcPr>
                  <w:tcW w:w="1049" w:type="pct"/>
                  <w:tcBorders>
                    <w:tl2br w:val="nil"/>
                    <w:tr2bl w:val="nil"/>
                  </w:tcBorders>
                  <w:vAlign w:val="center"/>
                </w:tcPr>
                <w:p w14:paraId="728234FF">
                  <w:pPr>
                    <w:pStyle w:val="60"/>
                    <w:bidi w:val="0"/>
                    <w:rPr>
                      <w:color w:val="auto"/>
                      <w:sz w:val="21"/>
                      <w:szCs w:val="21"/>
                      <w:highlight w:val="none"/>
                    </w:rPr>
                  </w:pPr>
                  <w:r>
                    <w:rPr>
                      <w:color w:val="auto"/>
                      <w:sz w:val="21"/>
                      <w:szCs w:val="21"/>
                      <w:highlight w:val="none"/>
                    </w:rPr>
                    <w:t>备注</w:t>
                  </w:r>
                </w:p>
              </w:tc>
            </w:tr>
            <w:tr w14:paraId="4C4680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3" w:type="pct"/>
                  <w:tcBorders>
                    <w:tl2br w:val="nil"/>
                    <w:tr2bl w:val="nil"/>
                  </w:tcBorders>
                  <w:shd w:val="clear" w:color="auto" w:fill="auto"/>
                  <w:vAlign w:val="center"/>
                </w:tcPr>
                <w:p w14:paraId="5F2A2ADE">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1</w:t>
                  </w:r>
                </w:p>
              </w:tc>
              <w:tc>
                <w:tcPr>
                  <w:tcW w:w="1969" w:type="pct"/>
                  <w:tcBorders>
                    <w:tl2br w:val="nil"/>
                    <w:tr2bl w:val="nil"/>
                  </w:tcBorders>
                  <w:shd w:val="clear" w:color="auto" w:fill="auto"/>
                  <w:vAlign w:val="center"/>
                </w:tcPr>
                <w:p w14:paraId="3550C28E">
                  <w:pPr>
                    <w:pStyle w:val="60"/>
                    <w:ind w:firstLine="0" w:firstLineChars="0"/>
                    <w:rPr>
                      <w:rFonts w:ascii="Times New Roman" w:hAnsi="Times New Roman" w:eastAsia="宋体" w:cs="宋体"/>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干玉米（平均含水率14%）</w:t>
                  </w:r>
                </w:p>
              </w:tc>
              <w:tc>
                <w:tcPr>
                  <w:tcW w:w="620" w:type="pct"/>
                  <w:tcBorders>
                    <w:tl2br w:val="nil"/>
                    <w:tr2bl w:val="nil"/>
                  </w:tcBorders>
                  <w:shd w:val="clear" w:color="auto" w:fill="auto"/>
                  <w:vAlign w:val="center"/>
                </w:tcPr>
                <w:p w14:paraId="2F465140">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t/a</w:t>
                  </w:r>
                </w:p>
              </w:tc>
              <w:tc>
                <w:tcPr>
                  <w:tcW w:w="898" w:type="pct"/>
                  <w:tcBorders>
                    <w:tl2br w:val="nil"/>
                    <w:tr2bl w:val="nil"/>
                  </w:tcBorders>
                  <w:shd w:val="clear" w:color="auto" w:fill="auto"/>
                  <w:vAlign w:val="center"/>
                </w:tcPr>
                <w:p w14:paraId="1678C118">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31346.80</w:t>
                  </w:r>
                </w:p>
              </w:tc>
              <w:tc>
                <w:tcPr>
                  <w:tcW w:w="1049" w:type="pct"/>
                  <w:tcBorders>
                    <w:tl2br w:val="nil"/>
                    <w:tr2bl w:val="nil"/>
                  </w:tcBorders>
                  <w:vAlign w:val="center"/>
                </w:tcPr>
                <w:p w14:paraId="0D98F97C">
                  <w:pPr>
                    <w:pStyle w:val="60"/>
                    <w:bidi w:val="0"/>
                    <w:rPr>
                      <w:color w:val="auto"/>
                      <w:sz w:val="21"/>
                      <w:szCs w:val="21"/>
                      <w:highlight w:val="none"/>
                    </w:rPr>
                  </w:pPr>
                  <w:r>
                    <w:rPr>
                      <w:rFonts w:hint="default" w:ascii="Times New Roman" w:hAnsi="Times New Roman" w:cs="Times New Roman"/>
                      <w:color w:val="auto"/>
                      <w:sz w:val="21"/>
                      <w:szCs w:val="21"/>
                      <w:highlight w:val="none"/>
                      <w:lang w:val="en-US" w:eastAsia="zh-CN"/>
                    </w:rPr>
                    <w:t>烘干后仓储、周转</w:t>
                  </w:r>
                </w:p>
              </w:tc>
            </w:tr>
            <w:tr w14:paraId="265EC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00" w:type="pct"/>
                  <w:gridSpan w:val="5"/>
                  <w:tcBorders>
                    <w:tl2br w:val="nil"/>
                    <w:tr2bl w:val="nil"/>
                  </w:tcBorders>
                  <w:vAlign w:val="center"/>
                </w:tcPr>
                <w:p w14:paraId="2ABD1951">
                  <w:pPr>
                    <w:pStyle w:val="60"/>
                    <w:bidi w:val="0"/>
                    <w:rPr>
                      <w:color w:val="auto"/>
                      <w:sz w:val="21"/>
                      <w:szCs w:val="21"/>
                      <w:highlight w:val="none"/>
                    </w:rPr>
                  </w:pPr>
                  <w:r>
                    <w:rPr>
                      <w:rFonts w:hint="eastAsia"/>
                      <w:color w:val="auto"/>
                      <w:sz w:val="21"/>
                      <w:szCs w:val="21"/>
                      <w:highlight w:val="none"/>
                      <w:lang w:val="en-US" w:eastAsia="zh-CN"/>
                    </w:rPr>
                    <w:t>原辅材料</w:t>
                  </w:r>
                </w:p>
              </w:tc>
            </w:tr>
            <w:tr w14:paraId="77503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3" w:type="pct"/>
                  <w:tcBorders>
                    <w:tl2br w:val="nil"/>
                    <w:tr2bl w:val="nil"/>
                  </w:tcBorders>
                  <w:vAlign w:val="center"/>
                </w:tcPr>
                <w:p w14:paraId="5B2B0E8F">
                  <w:pPr>
                    <w:pStyle w:val="60"/>
                    <w:bidi w:val="0"/>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c>
                <w:tcPr>
                  <w:tcW w:w="1969" w:type="pct"/>
                  <w:tcBorders>
                    <w:tl2br w:val="nil"/>
                    <w:tr2bl w:val="nil"/>
                  </w:tcBorders>
                  <w:vAlign w:val="center"/>
                </w:tcPr>
                <w:p w14:paraId="62F4738A">
                  <w:pPr>
                    <w:pStyle w:val="60"/>
                    <w:bidi w:val="0"/>
                    <w:ind w:firstLine="0" w:firstLineChars="0"/>
                    <w:rPr>
                      <w:color w:val="auto"/>
                      <w:sz w:val="21"/>
                      <w:szCs w:val="21"/>
                      <w:highlight w:val="none"/>
                    </w:rPr>
                  </w:pPr>
                  <w:r>
                    <w:rPr>
                      <w:rFonts w:hint="default" w:ascii="Times New Roman" w:hAnsi="Times New Roman" w:cs="Times New Roman"/>
                      <w:color w:val="auto"/>
                      <w:sz w:val="21"/>
                      <w:szCs w:val="21"/>
                      <w:highlight w:val="none"/>
                      <w:lang w:val="en-US" w:eastAsia="zh-CN"/>
                    </w:rPr>
                    <w:t>玉米</w:t>
                  </w:r>
                  <w:r>
                    <w:rPr>
                      <w:rFonts w:hint="eastAsia"/>
                      <w:color w:val="auto"/>
                      <w:sz w:val="21"/>
                      <w:szCs w:val="21"/>
                      <w:highlight w:val="none"/>
                      <w:lang w:val="en-US" w:eastAsia="zh-CN"/>
                    </w:rPr>
                    <w:t>原粮</w:t>
                  </w:r>
                  <w:r>
                    <w:rPr>
                      <w:rFonts w:hint="default" w:ascii="Times New Roman" w:hAnsi="Times New Roman" w:cs="Times New Roman"/>
                      <w:color w:val="auto"/>
                      <w:sz w:val="21"/>
                      <w:szCs w:val="21"/>
                      <w:highlight w:val="none"/>
                      <w:lang w:val="en-US" w:eastAsia="zh-CN"/>
                    </w:rPr>
                    <w:t>（平均含水率</w:t>
                  </w:r>
                  <w:r>
                    <w:rPr>
                      <w:rFonts w:hint="eastAsia" w:cs="Times New Roman"/>
                      <w:color w:val="auto"/>
                      <w:sz w:val="21"/>
                      <w:szCs w:val="21"/>
                      <w:highlight w:val="none"/>
                      <w:lang w:val="en-US" w:eastAsia="zh-CN"/>
                    </w:rPr>
                    <w:t>25%</w:t>
                  </w:r>
                  <w:r>
                    <w:rPr>
                      <w:rFonts w:hint="default" w:ascii="Times New Roman" w:hAnsi="Times New Roman" w:cs="Times New Roman"/>
                      <w:color w:val="auto"/>
                      <w:sz w:val="21"/>
                      <w:szCs w:val="21"/>
                      <w:highlight w:val="none"/>
                      <w:lang w:val="en-US" w:eastAsia="zh-CN"/>
                    </w:rPr>
                    <w:t>）</w:t>
                  </w:r>
                </w:p>
              </w:tc>
              <w:tc>
                <w:tcPr>
                  <w:tcW w:w="620" w:type="pct"/>
                  <w:tcBorders>
                    <w:tl2br w:val="nil"/>
                    <w:tr2bl w:val="nil"/>
                  </w:tcBorders>
                  <w:vAlign w:val="center"/>
                </w:tcPr>
                <w:p w14:paraId="3B1DBA5A">
                  <w:pPr>
                    <w:pStyle w:val="60"/>
                    <w:bidi w:val="0"/>
                    <w:ind w:firstLine="0" w:firstLineChars="0"/>
                    <w:rPr>
                      <w:rFonts w:hint="default" w:eastAsia="宋体"/>
                      <w:color w:val="auto"/>
                      <w:sz w:val="21"/>
                      <w:szCs w:val="21"/>
                      <w:highlight w:val="none"/>
                      <w:lang w:val="en-US" w:eastAsia="zh-CN"/>
                    </w:rPr>
                  </w:pPr>
                  <w:r>
                    <w:rPr>
                      <w:rFonts w:hint="eastAsia"/>
                      <w:color w:val="auto"/>
                      <w:sz w:val="21"/>
                      <w:szCs w:val="21"/>
                      <w:highlight w:val="none"/>
                      <w:lang w:val="en-US" w:eastAsia="zh-CN"/>
                    </w:rPr>
                    <w:t>t/a</w:t>
                  </w:r>
                </w:p>
              </w:tc>
              <w:tc>
                <w:tcPr>
                  <w:tcW w:w="898" w:type="pct"/>
                  <w:tcBorders>
                    <w:tl2br w:val="nil"/>
                    <w:tr2bl w:val="nil"/>
                  </w:tcBorders>
                  <w:vAlign w:val="center"/>
                </w:tcPr>
                <w:p w14:paraId="064B830F">
                  <w:pPr>
                    <w:pStyle w:val="60"/>
                    <w:bidi w:val="0"/>
                    <w:ind w:firstLine="0" w:firstLineChars="0"/>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36000</w:t>
                  </w:r>
                </w:p>
              </w:tc>
              <w:tc>
                <w:tcPr>
                  <w:tcW w:w="1049" w:type="pct"/>
                  <w:tcBorders>
                    <w:tl2br w:val="nil"/>
                    <w:tr2bl w:val="nil"/>
                  </w:tcBorders>
                  <w:vAlign w:val="center"/>
                </w:tcPr>
                <w:p w14:paraId="4C7BEA02">
                  <w:pPr>
                    <w:pStyle w:val="60"/>
                    <w:bidi w:val="0"/>
                    <w:ind w:firstLine="0" w:firstLineChars="0"/>
                    <w:rPr>
                      <w:rFonts w:hint="default" w:eastAsia="宋体"/>
                      <w:color w:val="auto"/>
                      <w:sz w:val="21"/>
                      <w:szCs w:val="21"/>
                      <w:highlight w:val="none"/>
                      <w:lang w:val="en-US" w:eastAsia="zh-CN"/>
                    </w:rPr>
                  </w:pPr>
                  <w:r>
                    <w:rPr>
                      <w:rFonts w:hint="eastAsia"/>
                      <w:color w:val="auto"/>
                      <w:sz w:val="21"/>
                      <w:szCs w:val="21"/>
                      <w:highlight w:val="none"/>
                      <w:lang w:val="en-US" w:eastAsia="zh-CN"/>
                    </w:rPr>
                    <w:t>外购</w:t>
                  </w:r>
                </w:p>
              </w:tc>
            </w:tr>
            <w:tr w14:paraId="54A2AB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63" w:type="pct"/>
                  <w:tcBorders>
                    <w:tl2br w:val="nil"/>
                    <w:tr2bl w:val="nil"/>
                  </w:tcBorders>
                  <w:shd w:val="clear" w:color="auto" w:fill="auto"/>
                  <w:vAlign w:val="center"/>
                </w:tcPr>
                <w:p w14:paraId="434EB9B4">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2</w:t>
                  </w:r>
                </w:p>
              </w:tc>
              <w:tc>
                <w:tcPr>
                  <w:tcW w:w="1969" w:type="pct"/>
                  <w:tcBorders>
                    <w:tl2br w:val="nil"/>
                    <w:tr2bl w:val="nil"/>
                  </w:tcBorders>
                  <w:shd w:val="clear" w:color="auto" w:fill="auto"/>
                  <w:vAlign w:val="center"/>
                </w:tcPr>
                <w:p w14:paraId="4254D13D">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生物质成型燃料</w:t>
                  </w:r>
                </w:p>
              </w:tc>
              <w:tc>
                <w:tcPr>
                  <w:tcW w:w="620" w:type="pct"/>
                  <w:tcBorders>
                    <w:tl2br w:val="nil"/>
                    <w:tr2bl w:val="nil"/>
                  </w:tcBorders>
                  <w:shd w:val="clear" w:color="auto" w:fill="auto"/>
                  <w:vAlign w:val="center"/>
                </w:tcPr>
                <w:p w14:paraId="4DBEA8E2">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t/a</w:t>
                  </w:r>
                </w:p>
              </w:tc>
              <w:tc>
                <w:tcPr>
                  <w:tcW w:w="898" w:type="pct"/>
                  <w:tcBorders>
                    <w:tl2br w:val="nil"/>
                    <w:tr2bl w:val="nil"/>
                  </w:tcBorders>
                  <w:shd w:val="clear" w:color="auto" w:fill="auto"/>
                  <w:vAlign w:val="center"/>
                </w:tcPr>
                <w:p w14:paraId="27AFA9D4">
                  <w:pPr>
                    <w:pStyle w:val="60"/>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3050.13</w:t>
                  </w:r>
                </w:p>
              </w:tc>
              <w:tc>
                <w:tcPr>
                  <w:tcW w:w="1049" w:type="pct"/>
                  <w:tcBorders>
                    <w:tl2br w:val="nil"/>
                    <w:tr2bl w:val="nil"/>
                  </w:tcBorders>
                  <w:shd w:val="clear" w:color="auto" w:fill="auto"/>
                  <w:vAlign w:val="center"/>
                </w:tcPr>
                <w:p w14:paraId="20B67BF5">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主成分为桦木颗粒，外购</w:t>
                  </w:r>
                </w:p>
              </w:tc>
            </w:tr>
          </w:tbl>
          <w:p w14:paraId="68273EF7">
            <w:pPr>
              <w:keepNext w:val="0"/>
              <w:keepLines w:val="0"/>
              <w:pageBreakBefore w:val="0"/>
              <w:widowControl w:val="0"/>
              <w:kinsoku/>
              <w:wordWrap w:val="0"/>
              <w:overflowPunct/>
              <w:topLinePunct/>
              <w:bidi w:val="0"/>
              <w:adjustRightInd/>
              <w:snapToGrid/>
              <w:spacing w:after="0" w:line="240" w:lineRule="auto"/>
              <w:ind w:firstLine="0" w:firstLineChars="0"/>
              <w:jc w:val="center"/>
              <w:rPr>
                <w:rFonts w:hint="default" w:cs="Times New Roman"/>
                <w:b/>
                <w:color w:val="auto"/>
                <w:kern w:val="2"/>
                <w:sz w:val="24"/>
                <w:szCs w:val="24"/>
                <w:highlight w:val="none"/>
                <w:lang w:val="en-US" w:eastAsia="zh-CN" w:bidi="ar-SA"/>
              </w:rPr>
            </w:pPr>
          </w:p>
          <w:p w14:paraId="6B09FF92">
            <w:pPr>
              <w:pStyle w:val="50"/>
              <w:bidi w:val="0"/>
              <w:rPr>
                <w:lang w:val="en-US" w:eastAsia="zh-CN"/>
              </w:rPr>
            </w:pPr>
            <w:bookmarkStart w:id="7" w:name="_Hlk113020236"/>
          </w:p>
          <w:p w14:paraId="3499245B">
            <w:pPr>
              <w:pStyle w:val="50"/>
              <w:bidi w:val="0"/>
              <w:rPr>
                <w:lang w:val="en-US" w:eastAsia="zh-CN"/>
              </w:rPr>
            </w:pPr>
          </w:p>
          <w:p w14:paraId="52A6C9B4">
            <w:pPr>
              <w:pStyle w:val="55"/>
              <w:keepNext w:val="0"/>
              <w:keepLines w:val="0"/>
              <w:pageBreakBefore w:val="0"/>
              <w:widowControl w:val="0"/>
              <w:kinsoku/>
              <w:wordWrap w:val="0"/>
              <w:overflowPunct/>
              <w:topLinePunct/>
              <w:autoSpaceDE/>
              <w:autoSpaceDN/>
              <w:bidi w:val="0"/>
              <w:adjustRightInd/>
              <w:snapToGrid/>
              <w:spacing w:before="157" w:beforeLines="50"/>
              <w:textAlignment w:val="auto"/>
              <w:rPr>
                <w:color w:val="auto"/>
                <w:highlight w:val="none"/>
                <w:lang w:val="en-US" w:eastAsia="zh-CN"/>
              </w:rPr>
            </w:pPr>
            <w:r>
              <w:rPr>
                <w:color w:val="auto"/>
                <w:highlight w:val="none"/>
                <w:lang w:val="en-US" w:eastAsia="zh-CN"/>
              </w:rPr>
              <w:t>表2-</w:t>
            </w:r>
            <w:r>
              <w:rPr>
                <w:rFonts w:hint="eastAsia"/>
                <w:color w:val="auto"/>
                <w:highlight w:val="none"/>
                <w:lang w:val="en-US" w:eastAsia="zh-CN"/>
              </w:rPr>
              <w:t>4</w:t>
            </w:r>
            <w:r>
              <w:rPr>
                <w:color w:val="auto"/>
                <w:highlight w:val="none"/>
                <w:lang w:val="en-US" w:eastAsia="zh-CN"/>
              </w:rPr>
              <w:t xml:space="preserve">   物料平衡</w:t>
            </w:r>
            <w:r>
              <w:rPr>
                <w:rFonts w:hint="eastAsia"/>
                <w:color w:val="auto"/>
                <w:highlight w:val="none"/>
                <w:lang w:val="en-US" w:eastAsia="zh-CN"/>
              </w:rPr>
              <w:t>表</w:t>
            </w:r>
          </w:p>
          <w:bookmarkEnd w:id="7"/>
          <w:tbl>
            <w:tblPr>
              <w:tblStyle w:val="3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4"/>
              <w:gridCol w:w="1500"/>
              <w:gridCol w:w="1199"/>
              <w:gridCol w:w="754"/>
              <w:gridCol w:w="1736"/>
              <w:gridCol w:w="1311"/>
            </w:tblGrid>
            <w:tr w14:paraId="69C3F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tcBorders>
                    <w:tl2br w:val="nil"/>
                    <w:tr2bl w:val="nil"/>
                  </w:tcBorders>
                  <w:noWrap w:val="0"/>
                  <w:vAlign w:val="center"/>
                </w:tcPr>
                <w:p w14:paraId="04C6F1AC">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生产线</w:t>
                  </w:r>
                </w:p>
              </w:tc>
              <w:tc>
                <w:tcPr>
                  <w:tcW w:w="1800" w:type="pct"/>
                  <w:gridSpan w:val="2"/>
                  <w:tcBorders>
                    <w:tl2br w:val="nil"/>
                    <w:tr2bl w:val="nil"/>
                  </w:tcBorders>
                  <w:noWrap w:val="0"/>
                  <w:vAlign w:val="center"/>
                </w:tcPr>
                <w:p w14:paraId="72B9F041">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投入</w:t>
                  </w:r>
                </w:p>
              </w:tc>
              <w:tc>
                <w:tcPr>
                  <w:tcW w:w="2536" w:type="pct"/>
                  <w:gridSpan w:val="3"/>
                  <w:tcBorders>
                    <w:tl2br w:val="nil"/>
                    <w:tr2bl w:val="nil"/>
                  </w:tcBorders>
                  <w:noWrap w:val="0"/>
                  <w:vAlign w:val="center"/>
                </w:tcPr>
                <w:p w14:paraId="1A02F602">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产出</w:t>
                  </w:r>
                </w:p>
              </w:tc>
            </w:tr>
            <w:tr w14:paraId="692BE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restart"/>
                  <w:tcBorders>
                    <w:top w:val="single" w:color="auto" w:sz="12" w:space="0"/>
                    <w:tl2br w:val="nil"/>
                    <w:tr2bl w:val="nil"/>
                  </w:tcBorders>
                  <w:noWrap w:val="0"/>
                  <w:vAlign w:val="center"/>
                </w:tcPr>
                <w:p w14:paraId="2F12B5FF">
                  <w:pPr>
                    <w:pStyle w:val="5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玉米烘干</w:t>
                  </w:r>
                </w:p>
              </w:tc>
              <w:tc>
                <w:tcPr>
                  <w:tcW w:w="1000" w:type="pct"/>
                  <w:tcBorders>
                    <w:top w:val="single" w:color="auto" w:sz="12" w:space="0"/>
                    <w:tl2br w:val="nil"/>
                    <w:tr2bl w:val="nil"/>
                  </w:tcBorders>
                  <w:noWrap w:val="0"/>
                  <w:vAlign w:val="center"/>
                </w:tcPr>
                <w:p w14:paraId="1D430543">
                  <w:pPr>
                    <w:pStyle w:val="5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物料名称</w:t>
                  </w:r>
                </w:p>
              </w:tc>
              <w:tc>
                <w:tcPr>
                  <w:tcW w:w="799" w:type="pct"/>
                  <w:tcBorders>
                    <w:top w:val="single" w:color="auto" w:sz="12" w:space="0"/>
                    <w:tl2br w:val="nil"/>
                    <w:tr2bl w:val="nil"/>
                  </w:tcBorders>
                  <w:noWrap w:val="0"/>
                  <w:vAlign w:val="center"/>
                </w:tcPr>
                <w:p w14:paraId="16F4217B">
                  <w:pPr>
                    <w:pStyle w:val="5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用量（t/a）</w:t>
                  </w:r>
                </w:p>
              </w:tc>
              <w:tc>
                <w:tcPr>
                  <w:tcW w:w="503" w:type="pct"/>
                  <w:tcBorders>
                    <w:top w:val="single" w:color="auto" w:sz="12" w:space="0"/>
                    <w:tl2br w:val="nil"/>
                    <w:tr2bl w:val="nil"/>
                  </w:tcBorders>
                  <w:noWrap w:val="0"/>
                  <w:vAlign w:val="center"/>
                </w:tcPr>
                <w:p w14:paraId="0615F326">
                  <w:pPr>
                    <w:pStyle w:val="56"/>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类别</w:t>
                  </w:r>
                </w:p>
              </w:tc>
              <w:tc>
                <w:tcPr>
                  <w:tcW w:w="1158" w:type="pct"/>
                  <w:tcBorders>
                    <w:top w:val="single" w:color="auto" w:sz="12" w:space="0"/>
                    <w:tl2br w:val="nil"/>
                    <w:tr2bl w:val="nil"/>
                  </w:tcBorders>
                  <w:noWrap w:val="0"/>
                  <w:vAlign w:val="center"/>
                </w:tcPr>
                <w:p w14:paraId="59BBE1DC">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产品名称</w:t>
                  </w:r>
                </w:p>
              </w:tc>
              <w:tc>
                <w:tcPr>
                  <w:tcW w:w="874" w:type="pct"/>
                  <w:tcBorders>
                    <w:top w:val="single" w:color="auto" w:sz="12" w:space="0"/>
                    <w:tl2br w:val="nil"/>
                    <w:tr2bl w:val="nil"/>
                  </w:tcBorders>
                  <w:shd w:val="clear" w:color="auto" w:fill="auto"/>
                  <w:noWrap w:val="0"/>
                  <w:vAlign w:val="center"/>
                </w:tcPr>
                <w:p w14:paraId="4577DD6E">
                  <w:pPr>
                    <w:pStyle w:val="56"/>
                    <w:bidi w:val="0"/>
                    <w:ind w:left="0" w:lef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产量（t/a）</w:t>
                  </w:r>
                </w:p>
              </w:tc>
            </w:tr>
            <w:tr w14:paraId="7578A4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continue"/>
                  <w:tcBorders>
                    <w:tl2br w:val="nil"/>
                    <w:tr2bl w:val="nil"/>
                  </w:tcBorders>
                  <w:noWrap w:val="0"/>
                  <w:vAlign w:val="center"/>
                </w:tcPr>
                <w:p w14:paraId="0D59B7A0">
                  <w:pPr>
                    <w:pStyle w:val="56"/>
                    <w:bidi w:val="0"/>
                    <w:rPr>
                      <w:rFonts w:hint="default" w:ascii="Times New Roman" w:hAnsi="Times New Roman" w:cs="Times New Roman"/>
                      <w:color w:val="auto"/>
                      <w:highlight w:val="none"/>
                      <w:lang w:val="en-US" w:eastAsia="zh-CN"/>
                    </w:rPr>
                  </w:pPr>
                </w:p>
              </w:tc>
              <w:tc>
                <w:tcPr>
                  <w:tcW w:w="1000" w:type="pct"/>
                  <w:tcBorders>
                    <w:tl2br w:val="nil"/>
                    <w:tr2bl w:val="nil"/>
                  </w:tcBorders>
                  <w:noWrap w:val="0"/>
                  <w:vAlign w:val="center"/>
                </w:tcPr>
                <w:p w14:paraId="6A65108E">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玉米（平均含水率</w:t>
                  </w:r>
                  <w:r>
                    <w:rPr>
                      <w:rFonts w:hint="eastAsia" w:cs="Times New Roman"/>
                      <w:color w:val="auto"/>
                      <w:highlight w:val="none"/>
                      <w:lang w:val="en-US" w:eastAsia="zh-CN"/>
                    </w:rPr>
                    <w:t>25%</w:t>
                  </w:r>
                  <w:r>
                    <w:rPr>
                      <w:rFonts w:hint="default" w:ascii="Times New Roman" w:hAnsi="Times New Roman" w:cs="Times New Roman"/>
                      <w:color w:val="auto"/>
                      <w:highlight w:val="none"/>
                      <w:lang w:val="en-US" w:eastAsia="zh-CN"/>
                    </w:rPr>
                    <w:t>）</w:t>
                  </w:r>
                </w:p>
              </w:tc>
              <w:tc>
                <w:tcPr>
                  <w:tcW w:w="799" w:type="pct"/>
                  <w:tcBorders>
                    <w:tl2br w:val="nil"/>
                    <w:tr2bl w:val="nil"/>
                  </w:tcBorders>
                  <w:noWrap w:val="0"/>
                  <w:vAlign w:val="center"/>
                </w:tcPr>
                <w:p w14:paraId="5B31FB76">
                  <w:pPr>
                    <w:pStyle w:val="5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36000</w:t>
                  </w:r>
                </w:p>
              </w:tc>
              <w:tc>
                <w:tcPr>
                  <w:tcW w:w="503" w:type="pct"/>
                  <w:tcBorders>
                    <w:tl2br w:val="nil"/>
                    <w:tr2bl w:val="nil"/>
                  </w:tcBorders>
                  <w:noWrap w:val="0"/>
                  <w:vAlign w:val="center"/>
                </w:tcPr>
                <w:p w14:paraId="0776D2AD">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产品</w:t>
                  </w:r>
                </w:p>
              </w:tc>
              <w:tc>
                <w:tcPr>
                  <w:tcW w:w="1158" w:type="pct"/>
                  <w:tcBorders>
                    <w:tl2br w:val="nil"/>
                    <w:tr2bl w:val="nil"/>
                  </w:tcBorders>
                  <w:noWrap w:val="0"/>
                  <w:vAlign w:val="center"/>
                </w:tcPr>
                <w:p w14:paraId="67ECB701">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干玉米（平均含水率14%）</w:t>
                  </w:r>
                </w:p>
              </w:tc>
              <w:tc>
                <w:tcPr>
                  <w:tcW w:w="874" w:type="pct"/>
                  <w:tcBorders>
                    <w:tl2br w:val="nil"/>
                    <w:tr2bl w:val="nil"/>
                  </w:tcBorders>
                  <w:noWrap w:val="0"/>
                  <w:vAlign w:val="center"/>
                </w:tcPr>
                <w:p w14:paraId="23BF8D25">
                  <w:pPr>
                    <w:pStyle w:val="5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31346.80</w:t>
                  </w:r>
                </w:p>
              </w:tc>
            </w:tr>
            <w:tr w14:paraId="6D022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continue"/>
                  <w:tcBorders>
                    <w:tl2br w:val="nil"/>
                    <w:tr2bl w:val="nil"/>
                  </w:tcBorders>
                  <w:noWrap w:val="0"/>
                  <w:vAlign w:val="center"/>
                </w:tcPr>
                <w:p w14:paraId="452D951C">
                  <w:pPr>
                    <w:pStyle w:val="56"/>
                    <w:bidi w:val="0"/>
                    <w:rPr>
                      <w:rFonts w:hint="default" w:ascii="Times New Roman" w:hAnsi="Times New Roman" w:cs="Times New Roman"/>
                      <w:color w:val="auto"/>
                      <w:highlight w:val="none"/>
                      <w:lang w:val="en-US" w:eastAsia="zh-CN"/>
                    </w:rPr>
                  </w:pPr>
                </w:p>
              </w:tc>
              <w:tc>
                <w:tcPr>
                  <w:tcW w:w="1800" w:type="pct"/>
                  <w:gridSpan w:val="2"/>
                  <w:vMerge w:val="restart"/>
                  <w:tcBorders>
                    <w:tl2br w:val="nil"/>
                    <w:tr2bl w:val="nil"/>
                  </w:tcBorders>
                  <w:noWrap w:val="0"/>
                  <w:vAlign w:val="center"/>
                </w:tcPr>
                <w:p w14:paraId="4E5E754D">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503" w:type="pct"/>
                  <w:vMerge w:val="restart"/>
                  <w:tcBorders>
                    <w:tl2br w:val="nil"/>
                    <w:tr2bl w:val="nil"/>
                  </w:tcBorders>
                  <w:noWrap w:val="0"/>
                  <w:vAlign w:val="center"/>
                </w:tcPr>
                <w:p w14:paraId="4F0C0DF2">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损耗</w:t>
                  </w:r>
                </w:p>
              </w:tc>
              <w:tc>
                <w:tcPr>
                  <w:tcW w:w="1158" w:type="pct"/>
                  <w:tcBorders>
                    <w:tl2br w:val="nil"/>
                    <w:tr2bl w:val="nil"/>
                  </w:tcBorders>
                  <w:noWrap w:val="0"/>
                  <w:vAlign w:val="center"/>
                </w:tcPr>
                <w:p w14:paraId="25E62F0D">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蒸发水分</w:t>
                  </w:r>
                </w:p>
              </w:tc>
              <w:tc>
                <w:tcPr>
                  <w:tcW w:w="874" w:type="pct"/>
                  <w:tcBorders>
                    <w:tl2br w:val="nil"/>
                    <w:tr2bl w:val="nil"/>
                  </w:tcBorders>
                  <w:noWrap w:val="0"/>
                  <w:vAlign w:val="center"/>
                </w:tcPr>
                <w:p w14:paraId="25972BF9">
                  <w:pPr>
                    <w:pStyle w:val="5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4598.85</w:t>
                  </w:r>
                </w:p>
              </w:tc>
            </w:tr>
            <w:tr w14:paraId="698F01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continue"/>
                  <w:tcBorders>
                    <w:tl2br w:val="nil"/>
                    <w:tr2bl w:val="nil"/>
                  </w:tcBorders>
                  <w:noWrap w:val="0"/>
                  <w:vAlign w:val="center"/>
                </w:tcPr>
                <w:p w14:paraId="7624CE78">
                  <w:pPr>
                    <w:pStyle w:val="56"/>
                    <w:bidi w:val="0"/>
                    <w:rPr>
                      <w:rFonts w:hint="default" w:ascii="Times New Roman" w:hAnsi="Times New Roman" w:cs="Times New Roman"/>
                      <w:color w:val="auto"/>
                      <w:highlight w:val="none"/>
                      <w:lang w:val="en-US" w:eastAsia="zh-CN"/>
                    </w:rPr>
                  </w:pPr>
                </w:p>
              </w:tc>
              <w:tc>
                <w:tcPr>
                  <w:tcW w:w="1800" w:type="pct"/>
                  <w:gridSpan w:val="2"/>
                  <w:vMerge w:val="continue"/>
                  <w:tcBorders>
                    <w:tl2br w:val="nil"/>
                    <w:tr2bl w:val="nil"/>
                  </w:tcBorders>
                  <w:noWrap w:val="0"/>
                  <w:vAlign w:val="center"/>
                </w:tcPr>
                <w:p w14:paraId="2D3A7EEB">
                  <w:pPr>
                    <w:pStyle w:val="56"/>
                    <w:bidi w:val="0"/>
                    <w:rPr>
                      <w:rFonts w:hint="default" w:ascii="Times New Roman" w:hAnsi="Times New Roman" w:cs="Times New Roman"/>
                      <w:color w:val="auto"/>
                      <w:highlight w:val="none"/>
                      <w:lang w:eastAsia="zh-CN"/>
                    </w:rPr>
                  </w:pPr>
                </w:p>
              </w:tc>
              <w:tc>
                <w:tcPr>
                  <w:tcW w:w="503" w:type="pct"/>
                  <w:vMerge w:val="continue"/>
                  <w:tcBorders>
                    <w:tl2br w:val="nil"/>
                    <w:tr2bl w:val="nil"/>
                  </w:tcBorders>
                  <w:noWrap w:val="0"/>
                  <w:vAlign w:val="center"/>
                </w:tcPr>
                <w:p w14:paraId="221766C8">
                  <w:pPr>
                    <w:pStyle w:val="56"/>
                    <w:bidi w:val="0"/>
                    <w:rPr>
                      <w:rFonts w:hint="default" w:ascii="Times New Roman" w:hAnsi="Times New Roman" w:cs="Times New Roman"/>
                      <w:color w:val="auto"/>
                      <w:highlight w:val="none"/>
                      <w:lang w:eastAsia="zh-CN"/>
                    </w:rPr>
                  </w:pPr>
                </w:p>
              </w:tc>
              <w:tc>
                <w:tcPr>
                  <w:tcW w:w="1158" w:type="pct"/>
                  <w:tcBorders>
                    <w:tl2br w:val="nil"/>
                    <w:tr2bl w:val="nil"/>
                  </w:tcBorders>
                  <w:noWrap w:val="0"/>
                  <w:vAlign w:val="center"/>
                </w:tcPr>
                <w:p w14:paraId="1457EAC0">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粉尘</w:t>
                  </w:r>
                </w:p>
              </w:tc>
              <w:tc>
                <w:tcPr>
                  <w:tcW w:w="874" w:type="pct"/>
                  <w:tcBorders>
                    <w:tl2br w:val="nil"/>
                    <w:tr2bl w:val="nil"/>
                  </w:tcBorders>
                  <w:noWrap w:val="0"/>
                  <w:vAlign w:val="center"/>
                </w:tcPr>
                <w:p w14:paraId="239F072F">
                  <w:pPr>
                    <w:pStyle w:val="5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18.35</w:t>
                  </w:r>
                </w:p>
              </w:tc>
            </w:tr>
            <w:tr w14:paraId="55C4C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vMerge w:val="continue"/>
                  <w:tcBorders>
                    <w:tl2br w:val="nil"/>
                    <w:tr2bl w:val="nil"/>
                  </w:tcBorders>
                  <w:noWrap w:val="0"/>
                  <w:vAlign w:val="center"/>
                </w:tcPr>
                <w:p w14:paraId="0BC1B51E">
                  <w:pPr>
                    <w:pStyle w:val="56"/>
                    <w:bidi w:val="0"/>
                    <w:rPr>
                      <w:rFonts w:hint="default" w:ascii="Times New Roman" w:hAnsi="Times New Roman" w:cs="Times New Roman"/>
                      <w:color w:val="auto"/>
                      <w:highlight w:val="none"/>
                      <w:lang w:val="en-US" w:eastAsia="zh-CN"/>
                    </w:rPr>
                  </w:pPr>
                </w:p>
              </w:tc>
              <w:tc>
                <w:tcPr>
                  <w:tcW w:w="1800" w:type="pct"/>
                  <w:gridSpan w:val="2"/>
                  <w:vMerge w:val="continue"/>
                  <w:tcBorders>
                    <w:tl2br w:val="nil"/>
                    <w:tr2bl w:val="nil"/>
                  </w:tcBorders>
                  <w:noWrap w:val="0"/>
                  <w:vAlign w:val="center"/>
                </w:tcPr>
                <w:p w14:paraId="5A4C891C">
                  <w:pPr>
                    <w:pStyle w:val="56"/>
                    <w:bidi w:val="0"/>
                    <w:rPr>
                      <w:rFonts w:hint="default" w:ascii="Times New Roman" w:hAnsi="Times New Roman" w:cs="Times New Roman"/>
                      <w:color w:val="auto"/>
                      <w:highlight w:val="none"/>
                      <w:lang w:eastAsia="zh-CN"/>
                    </w:rPr>
                  </w:pPr>
                </w:p>
              </w:tc>
              <w:tc>
                <w:tcPr>
                  <w:tcW w:w="503" w:type="pct"/>
                  <w:vMerge w:val="continue"/>
                  <w:tcBorders>
                    <w:tl2br w:val="nil"/>
                    <w:tr2bl w:val="nil"/>
                  </w:tcBorders>
                  <w:noWrap w:val="0"/>
                  <w:vAlign w:val="center"/>
                </w:tcPr>
                <w:p w14:paraId="46F70D04">
                  <w:pPr>
                    <w:pStyle w:val="56"/>
                    <w:bidi w:val="0"/>
                    <w:rPr>
                      <w:rFonts w:hint="default" w:ascii="Times New Roman" w:hAnsi="Times New Roman" w:cs="Times New Roman"/>
                      <w:color w:val="auto"/>
                      <w:highlight w:val="none"/>
                      <w:lang w:eastAsia="zh-CN"/>
                    </w:rPr>
                  </w:pPr>
                </w:p>
              </w:tc>
              <w:tc>
                <w:tcPr>
                  <w:tcW w:w="1158" w:type="pct"/>
                  <w:tcBorders>
                    <w:tl2br w:val="nil"/>
                    <w:tr2bl w:val="nil"/>
                  </w:tcBorders>
                  <w:noWrap w:val="0"/>
                  <w:vAlign w:val="center"/>
                </w:tcPr>
                <w:p w14:paraId="60DE40A8">
                  <w:pPr>
                    <w:pStyle w:val="5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筛分杂质</w:t>
                  </w:r>
                </w:p>
              </w:tc>
              <w:tc>
                <w:tcPr>
                  <w:tcW w:w="874" w:type="pct"/>
                  <w:tcBorders>
                    <w:tl2br w:val="nil"/>
                    <w:tr2bl w:val="nil"/>
                  </w:tcBorders>
                  <w:noWrap w:val="0"/>
                  <w:vAlign w:val="center"/>
                </w:tcPr>
                <w:p w14:paraId="7E6E2895">
                  <w:pPr>
                    <w:pStyle w:val="56"/>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36</w:t>
                  </w:r>
                </w:p>
              </w:tc>
            </w:tr>
            <w:tr w14:paraId="575A2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3" w:type="pct"/>
                  <w:tcBorders>
                    <w:tl2br w:val="nil"/>
                    <w:tr2bl w:val="nil"/>
                  </w:tcBorders>
                  <w:noWrap w:val="0"/>
                  <w:vAlign w:val="center"/>
                </w:tcPr>
                <w:p w14:paraId="3EE2C835">
                  <w:pPr>
                    <w:pStyle w:val="56"/>
                    <w:bidi w:val="0"/>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1800" w:type="pct"/>
                  <w:gridSpan w:val="2"/>
                  <w:tcBorders>
                    <w:tl2br w:val="nil"/>
                    <w:tr2bl w:val="nil"/>
                  </w:tcBorders>
                  <w:noWrap w:val="0"/>
                  <w:vAlign w:val="center"/>
                </w:tcPr>
                <w:p w14:paraId="24150074">
                  <w:pPr>
                    <w:pStyle w:val="56"/>
                    <w:bidi w:val="0"/>
                    <w:ind w:left="0" w:leftChars="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36000</w:t>
                  </w:r>
                </w:p>
              </w:tc>
              <w:tc>
                <w:tcPr>
                  <w:tcW w:w="503" w:type="pct"/>
                  <w:tcBorders>
                    <w:tl2br w:val="nil"/>
                    <w:tr2bl w:val="nil"/>
                  </w:tcBorders>
                  <w:noWrap w:val="0"/>
                  <w:vAlign w:val="center"/>
                </w:tcPr>
                <w:p w14:paraId="5B00D671">
                  <w:pPr>
                    <w:pStyle w:val="56"/>
                    <w:bidi w:val="0"/>
                    <w:ind w:left="0" w:leftChars="0" w:firstLine="0" w:firstLineChars="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158" w:type="pct"/>
                  <w:tcBorders>
                    <w:tl2br w:val="nil"/>
                    <w:tr2bl w:val="nil"/>
                  </w:tcBorders>
                  <w:noWrap w:val="0"/>
                  <w:vAlign w:val="center"/>
                </w:tcPr>
                <w:p w14:paraId="6974DB56">
                  <w:pPr>
                    <w:pStyle w:val="56"/>
                    <w:bidi w:val="0"/>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874" w:type="pct"/>
                  <w:tcBorders>
                    <w:tl2br w:val="nil"/>
                    <w:tr2bl w:val="nil"/>
                  </w:tcBorders>
                  <w:noWrap w:val="0"/>
                  <w:vAlign w:val="center"/>
                </w:tcPr>
                <w:p w14:paraId="6B60853F">
                  <w:pPr>
                    <w:pStyle w:val="56"/>
                    <w:bidi w:val="0"/>
                    <w:ind w:left="0" w:leftChars="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36000</w:t>
                  </w:r>
                </w:p>
              </w:tc>
            </w:tr>
          </w:tbl>
          <w:p w14:paraId="256B3DEC">
            <w:pPr>
              <w:pStyle w:val="52"/>
              <w:bidi w:val="0"/>
              <w:rPr>
                <w:rFonts w:hint="eastAsia"/>
                <w:color w:val="auto"/>
                <w:highlight w:val="none"/>
                <w:lang w:val="en-US" w:eastAsia="zh-CN"/>
              </w:rPr>
            </w:pPr>
            <w:r>
              <w:rPr>
                <w:rFonts w:hint="eastAsia"/>
                <w:color w:val="auto"/>
                <w:highlight w:val="none"/>
              </w:rPr>
              <w:t>玉米潮粮</w:t>
            </w:r>
            <w:r>
              <w:rPr>
                <w:rFonts w:hint="eastAsia"/>
                <w:color w:val="auto"/>
                <w:highlight w:val="none"/>
                <w:lang w:val="en-US" w:eastAsia="zh-CN"/>
              </w:rPr>
              <w:t>烘干过程水分蒸发量按照下列公式计算：</w:t>
            </w:r>
          </w:p>
          <w:p w14:paraId="18DF0310">
            <w:pPr>
              <w:pStyle w:val="50"/>
              <w:bidi w:val="0"/>
              <w:rPr>
                <w:color w:val="auto"/>
                <w:kern w:val="0"/>
                <w:sz w:val="24"/>
                <w:highlight w:val="none"/>
              </w:rPr>
            </w:pPr>
            <w:r>
              <w:rPr>
                <w:color w:val="auto"/>
                <w:kern w:val="0"/>
                <w:position w:val="-30"/>
                <w:sz w:val="24"/>
                <w:highlight w:val="none"/>
              </w:rPr>
              <w:object>
                <v:shape id="_x0000_i1025" o:spt="75" type="#_x0000_t75" style="height:34pt;width:88pt;" o:ole="t" filled="f" o:preferrelative="t" stroked="f" coordsize="21600,21600">
                  <v:path/>
                  <v:fill on="f" focussize="0,0"/>
                  <v:stroke on="f"/>
                  <v:imagedata r:id="rId19" o:title=""/>
                  <o:lock v:ext="edit" aspectratio="t"/>
                  <w10:wrap type="none"/>
                  <w10:anchorlock/>
                </v:shape>
                <o:OLEObject Type="Embed" ProgID="Equation.3" ShapeID="_x0000_i1025" DrawAspect="Content" ObjectID="_1468075725" r:id="rId18">
                  <o:LockedField>false</o:LockedField>
                </o:OLEObject>
              </w:object>
            </w:r>
          </w:p>
          <w:p w14:paraId="4A463351">
            <w:pPr>
              <w:pStyle w:val="46"/>
              <w:bidi w:val="0"/>
              <w:rPr>
                <w:rFonts w:hint="eastAsia"/>
                <w:color w:val="auto"/>
                <w:highlight w:val="none"/>
              </w:rPr>
            </w:pPr>
            <w:r>
              <w:rPr>
                <w:rFonts w:hint="eastAsia"/>
                <w:color w:val="auto"/>
                <w:highlight w:val="none"/>
              </w:rPr>
              <w:t>式中：</w:t>
            </w:r>
          </w:p>
          <w:p w14:paraId="516B4000">
            <w:pPr>
              <w:pStyle w:val="46"/>
              <w:bidi w:val="0"/>
              <w:rPr>
                <w:color w:val="auto"/>
                <w:highlight w:val="none"/>
              </w:rPr>
            </w:pPr>
            <w:r>
              <w:rPr>
                <w:rFonts w:hint="eastAsia"/>
                <w:color w:val="auto"/>
                <w:kern w:val="0"/>
                <w:position w:val="-6"/>
                <w:highlight w:val="none"/>
              </w:rPr>
              <w:object>
                <v:shape id="_x0000_i1026" o:spt="75" type="#_x0000_t75" style="height:13.95pt;width:13.95pt;" o:ole="t" filled="f" o:preferrelative="t" stroked="f" coordsize="21600,21600">
                  <v:path/>
                  <v:fill on="f" focussize="0,0"/>
                  <v:stroke on="f"/>
                  <v:imagedata r:id="rId21" o:title=""/>
                  <o:lock v:ext="edit" aspectratio="t"/>
                  <w10:wrap type="none"/>
                  <w10:anchorlock/>
                </v:shape>
                <o:OLEObject Type="Embed" ProgID="Equation.3" ShapeID="_x0000_i1026" DrawAspect="Content" ObjectID="_1468075726" r:id="rId20">
                  <o:LockedField>false</o:LockedField>
                </o:OLEObject>
              </w:object>
            </w:r>
            <w:r>
              <w:rPr>
                <w:rFonts w:hint="eastAsia"/>
                <w:color w:val="auto"/>
                <w:highlight w:val="none"/>
              </w:rPr>
              <w:t>：水分蒸发量，t/a；</w:t>
            </w:r>
          </w:p>
          <w:p w14:paraId="40262AE8">
            <w:pPr>
              <w:pStyle w:val="46"/>
              <w:bidi w:val="0"/>
              <w:rPr>
                <w:color w:val="auto"/>
                <w:highlight w:val="none"/>
              </w:rPr>
            </w:pPr>
            <w:r>
              <w:rPr>
                <w:rFonts w:hint="eastAsia"/>
                <w:color w:val="auto"/>
                <w:kern w:val="0"/>
                <w:position w:val="-6"/>
                <w:highlight w:val="none"/>
              </w:rPr>
              <w:object>
                <v:shape id="_x0000_i1027" o:spt="75" type="#_x0000_t75" style="height:13.95pt;width:13pt;" o:ole="t" filled="f" o:preferrelative="t" stroked="f" coordsize="21600,21600">
                  <v:path/>
                  <v:fill on="f" focussize="0,0"/>
                  <v:stroke on="f"/>
                  <v:imagedata r:id="rId23" o:title=""/>
                  <o:lock v:ext="edit" aspectratio="t"/>
                  <w10:wrap type="none"/>
                  <w10:anchorlock/>
                </v:shape>
                <o:OLEObject Type="Embed" ProgID="Equation.3" ShapeID="_x0000_i1027" DrawAspect="Content" ObjectID="_1468075727" r:id="rId22">
                  <o:LockedField>false</o:LockedField>
                </o:OLEObject>
              </w:object>
            </w:r>
            <w:r>
              <w:rPr>
                <w:rFonts w:hint="eastAsia"/>
                <w:color w:val="auto"/>
                <w:highlight w:val="none"/>
              </w:rPr>
              <w:t>：处理量</w:t>
            </w:r>
            <w:r>
              <w:rPr>
                <w:rFonts w:hint="eastAsia"/>
                <w:color w:val="auto"/>
                <w:highlight w:val="none"/>
                <w:lang w:eastAsia="zh-CN"/>
              </w:rPr>
              <w:t>，</w:t>
            </w:r>
            <w:r>
              <w:rPr>
                <w:rFonts w:hint="eastAsia"/>
                <w:color w:val="auto"/>
                <w:highlight w:val="none"/>
                <w:lang w:val="en-US" w:eastAsia="zh-CN"/>
              </w:rPr>
              <w:t>取35954.64t（进入烘干塔的湿粮玉米量=原粮量-装卸、输送粉尘-筛分粉尘-杂质=36000-5.76-3.60-36=35954.64t）</w:t>
            </w:r>
            <w:r>
              <w:rPr>
                <w:rFonts w:hint="eastAsia"/>
                <w:color w:val="auto"/>
                <w:highlight w:val="none"/>
              </w:rPr>
              <w:t>；</w:t>
            </w:r>
          </w:p>
          <w:p w14:paraId="00379FC6">
            <w:pPr>
              <w:pStyle w:val="46"/>
              <w:bidi w:val="0"/>
              <w:rPr>
                <w:color w:val="auto"/>
                <w:highlight w:val="none"/>
              </w:rPr>
            </w:pPr>
            <w:r>
              <w:rPr>
                <w:rFonts w:hint="eastAsia"/>
                <w:color w:val="auto"/>
                <w:kern w:val="0"/>
                <w:position w:val="-10"/>
                <w:highlight w:val="none"/>
              </w:rPr>
              <w:object>
                <v:shape id="_x0000_i1028" o:spt="75" type="#_x0000_t75" style="height:17pt;width:13.95pt;" o:ole="t" filled="f" o:preferrelative="t" stroked="f" coordsize="21600,21600">
                  <v:path/>
                  <v:fill on="f" focussize="0,0"/>
                  <v:stroke on="f"/>
                  <v:imagedata r:id="rId25" o:title=""/>
                  <o:lock v:ext="edit" aspectratio="t"/>
                  <w10:wrap type="none"/>
                  <w10:anchorlock/>
                </v:shape>
                <o:OLEObject Type="Embed" ProgID="Equation.3" ShapeID="_x0000_i1028" DrawAspect="Content" ObjectID="_1468075728" r:id="rId24">
                  <o:LockedField>false</o:LockedField>
                </o:OLEObject>
              </w:object>
            </w:r>
            <w:r>
              <w:rPr>
                <w:rFonts w:hint="eastAsia"/>
                <w:color w:val="auto"/>
                <w:highlight w:val="none"/>
              </w:rPr>
              <w:t>：进料含水量百分数</w:t>
            </w:r>
            <w:r>
              <w:rPr>
                <w:rFonts w:hint="eastAsia"/>
                <w:color w:val="auto"/>
                <w:highlight w:val="none"/>
                <w:lang w:eastAsia="zh-CN"/>
              </w:rPr>
              <w:t>，</w:t>
            </w:r>
            <w:r>
              <w:rPr>
                <w:rFonts w:hint="eastAsia"/>
                <w:color w:val="auto"/>
                <w:highlight w:val="none"/>
                <w:lang w:val="en-US" w:eastAsia="zh-CN"/>
              </w:rPr>
              <w:t>取25%</w:t>
            </w:r>
            <w:r>
              <w:rPr>
                <w:rFonts w:hint="eastAsia"/>
                <w:color w:val="auto"/>
                <w:highlight w:val="none"/>
              </w:rPr>
              <w:t>；</w:t>
            </w:r>
          </w:p>
          <w:p w14:paraId="739CC38B">
            <w:pPr>
              <w:pStyle w:val="46"/>
              <w:bidi w:val="0"/>
              <w:rPr>
                <w:rFonts w:hint="eastAsia" w:eastAsia="宋体"/>
                <w:color w:val="auto"/>
                <w:highlight w:val="none"/>
                <w:lang w:eastAsia="zh-CN"/>
              </w:rPr>
            </w:pPr>
            <w:r>
              <w:rPr>
                <w:rFonts w:hint="eastAsia"/>
                <w:color w:val="auto"/>
                <w:kern w:val="0"/>
                <w:position w:val="-10"/>
                <w:highlight w:val="none"/>
              </w:rPr>
              <w:object>
                <v:shape id="_x0000_i1029" o:spt="75" type="#_x0000_t75" style="height:17pt;width:15pt;" o:ole="t" filled="f" o:preferrelative="t" stroked="f" coordsize="21600,21600">
                  <v:path/>
                  <v:fill on="f" focussize="0,0"/>
                  <v:stroke on="f"/>
                  <v:imagedata r:id="rId27" o:title=""/>
                  <o:lock v:ext="edit" aspectratio="t"/>
                  <w10:wrap type="none"/>
                  <w10:anchorlock/>
                </v:shape>
                <o:OLEObject Type="Embed" ProgID="Equation.3" ShapeID="_x0000_i1029" DrawAspect="Content" ObjectID="_1468075729" r:id="rId26">
                  <o:LockedField>false</o:LockedField>
                </o:OLEObject>
              </w:object>
            </w:r>
            <w:r>
              <w:rPr>
                <w:rFonts w:hint="eastAsia"/>
                <w:color w:val="auto"/>
                <w:highlight w:val="none"/>
              </w:rPr>
              <w:t>：出料含水量百分数</w:t>
            </w:r>
            <w:r>
              <w:rPr>
                <w:rFonts w:hint="eastAsia"/>
                <w:color w:val="auto"/>
                <w:highlight w:val="none"/>
                <w:lang w:eastAsia="zh-CN"/>
              </w:rPr>
              <w:t>，</w:t>
            </w:r>
            <w:r>
              <w:rPr>
                <w:rFonts w:hint="eastAsia"/>
                <w:color w:val="auto"/>
                <w:highlight w:val="none"/>
                <w:lang w:val="en-US" w:eastAsia="zh-CN"/>
              </w:rPr>
              <w:t>取14%</w:t>
            </w:r>
            <w:r>
              <w:rPr>
                <w:rFonts w:hint="eastAsia"/>
                <w:color w:val="auto"/>
                <w:highlight w:val="none"/>
                <w:lang w:eastAsia="zh-CN"/>
              </w:rPr>
              <w:t>。</w:t>
            </w:r>
          </w:p>
          <w:p w14:paraId="0B31DA80">
            <w:pPr>
              <w:pStyle w:val="46"/>
              <w:bidi w:val="0"/>
              <w:rPr>
                <w:rFonts w:hint="eastAsia"/>
                <w:color w:val="auto"/>
                <w:highlight w:val="none"/>
              </w:rPr>
            </w:pPr>
            <w:r>
              <w:rPr>
                <w:rFonts w:hint="eastAsia"/>
                <w:color w:val="auto"/>
                <w:highlight w:val="none"/>
              </w:rPr>
              <w:t>本项目进厂玉米潮粮经</w:t>
            </w:r>
            <w:r>
              <w:rPr>
                <w:rFonts w:hint="eastAsia"/>
                <w:color w:val="auto"/>
                <w:highlight w:val="none"/>
                <w:lang w:val="en-US" w:eastAsia="zh-CN"/>
              </w:rPr>
              <w:t>卡车卸料、转运运输、过筛清理</w:t>
            </w:r>
            <w:r>
              <w:rPr>
                <w:rFonts w:hint="eastAsia"/>
                <w:color w:val="auto"/>
                <w:highlight w:val="none"/>
              </w:rPr>
              <w:t>后，进入烘干塔烘干的玉米潮粮</w:t>
            </w:r>
            <w:r>
              <w:rPr>
                <w:rFonts w:hint="eastAsia"/>
                <w:color w:val="auto"/>
                <w:highlight w:val="none"/>
                <w:lang w:val="en-US" w:eastAsia="zh-CN"/>
              </w:rPr>
              <w:t>量</w:t>
            </w:r>
            <w:r>
              <w:rPr>
                <w:rFonts w:hint="eastAsia"/>
                <w:color w:val="auto"/>
                <w:highlight w:val="none"/>
              </w:rPr>
              <w:t>为</w:t>
            </w:r>
            <w:r>
              <w:rPr>
                <w:rFonts w:hint="eastAsia"/>
                <w:color w:val="auto"/>
                <w:highlight w:val="none"/>
                <w:lang w:val="en-US" w:eastAsia="zh-CN"/>
              </w:rPr>
              <w:t>35954.64</w:t>
            </w:r>
            <w:r>
              <w:rPr>
                <w:rFonts w:hint="eastAsia"/>
                <w:color w:val="auto"/>
                <w:highlight w:val="none"/>
              </w:rPr>
              <w:t>t/a，</w:t>
            </w:r>
            <w:r>
              <w:rPr>
                <w:rFonts w:hint="eastAsia"/>
                <w:color w:val="auto"/>
                <w:highlight w:val="none"/>
                <w:lang w:val="en-US" w:eastAsia="zh-CN"/>
              </w:rPr>
              <w:t>潮粮</w:t>
            </w:r>
            <w:r>
              <w:rPr>
                <w:rFonts w:hint="eastAsia"/>
                <w:color w:val="auto"/>
                <w:highlight w:val="none"/>
              </w:rPr>
              <w:t>含水率平均2</w:t>
            </w:r>
            <w:r>
              <w:rPr>
                <w:rFonts w:hint="eastAsia"/>
                <w:color w:val="auto"/>
                <w:highlight w:val="none"/>
                <w:lang w:val="en-US" w:eastAsia="zh-CN"/>
              </w:rPr>
              <w:t>5</w:t>
            </w:r>
            <w:r>
              <w:rPr>
                <w:rFonts w:hint="eastAsia"/>
                <w:color w:val="auto"/>
                <w:highlight w:val="none"/>
              </w:rPr>
              <w:t>%，要求烘干后的干粮含水率为14%</w:t>
            </w:r>
            <w:r>
              <w:rPr>
                <w:rFonts w:hint="eastAsia"/>
                <w:color w:val="auto"/>
                <w:highlight w:val="none"/>
                <w:lang w:eastAsia="zh-CN"/>
              </w:rPr>
              <w:t>，</w:t>
            </w:r>
            <w:r>
              <w:rPr>
                <w:rFonts w:hint="eastAsia"/>
                <w:color w:val="auto"/>
                <w:highlight w:val="none"/>
              </w:rPr>
              <w:t>经计算，玉米水分蒸发量为</w:t>
            </w:r>
            <w:r>
              <w:rPr>
                <w:rFonts w:hint="eastAsia"/>
                <w:color w:val="auto"/>
                <w:highlight w:val="none"/>
                <w:lang w:val="en-US" w:eastAsia="zh-CN"/>
              </w:rPr>
              <w:t>4598.85</w:t>
            </w:r>
            <w:r>
              <w:rPr>
                <w:rFonts w:hint="eastAsia"/>
                <w:color w:val="auto"/>
                <w:highlight w:val="none"/>
              </w:rPr>
              <w:t>t/a。</w:t>
            </w:r>
          </w:p>
          <w:p w14:paraId="68786175">
            <w:pPr>
              <w:pStyle w:val="46"/>
              <w:bidi w:val="0"/>
              <w:rPr>
                <w:rFonts w:hint="eastAsia"/>
                <w:b/>
                <w:bCs/>
                <w:color w:val="auto"/>
                <w:highlight w:val="none"/>
                <w:lang w:val="en-US" w:eastAsia="zh-CN"/>
              </w:rPr>
            </w:pPr>
            <w:r>
              <w:rPr>
                <w:rFonts w:hint="eastAsia"/>
                <w:b/>
                <w:bCs/>
                <w:color w:val="auto"/>
                <w:highlight w:val="none"/>
                <w:lang w:val="en-US" w:eastAsia="zh-CN"/>
              </w:rPr>
              <w:t>4.生物质成型燃料消耗量</w:t>
            </w:r>
          </w:p>
          <w:p w14:paraId="49D2E9CE">
            <w:pPr>
              <w:pStyle w:val="46"/>
              <w:bidi w:val="0"/>
              <w:rPr>
                <w:rFonts w:hint="default"/>
                <w:color w:val="auto"/>
                <w:highlight w:val="none"/>
              </w:rPr>
            </w:pPr>
            <w:r>
              <w:rPr>
                <w:rFonts w:hint="default"/>
                <w:color w:val="auto"/>
                <w:highlight w:val="none"/>
              </w:rPr>
              <w:t>本项目新建</w:t>
            </w:r>
            <w:r>
              <w:rPr>
                <w:rFonts w:hint="eastAsia" w:ascii="Times New Roman" w:hAnsi="Times New Roman" w:eastAsia="宋体" w:cs="Times New Roman"/>
                <w:color w:val="auto"/>
                <w:kern w:val="2"/>
                <w:sz w:val="24"/>
                <w:szCs w:val="24"/>
                <w:highlight w:val="none"/>
                <w:lang w:val="en-US" w:eastAsia="zh-CN" w:bidi="ar-SA"/>
              </w:rPr>
              <w:t>1台</w:t>
            </w:r>
            <w:r>
              <w:rPr>
                <w:rFonts w:hint="eastAsia" w:cs="Times New Roman"/>
                <w:color w:val="auto"/>
                <w:kern w:val="2"/>
                <w:sz w:val="24"/>
                <w:szCs w:val="24"/>
                <w:highlight w:val="none"/>
                <w:lang w:val="en-US" w:eastAsia="zh-CN" w:bidi="ar-SA"/>
              </w:rPr>
              <w:t>720万Kcal/h</w:t>
            </w:r>
            <w:r>
              <w:rPr>
                <w:rFonts w:hint="eastAsia" w:ascii="Times New Roman" w:hAnsi="Times New Roman" w:eastAsia="宋体" w:cs="Times New Roman"/>
                <w:color w:val="auto"/>
                <w:kern w:val="2"/>
                <w:sz w:val="24"/>
                <w:szCs w:val="24"/>
                <w:highlight w:val="none"/>
                <w:lang w:val="en-US" w:eastAsia="zh-CN" w:bidi="ar-SA"/>
              </w:rPr>
              <w:t>燃生物质</w:t>
            </w:r>
            <w:r>
              <w:rPr>
                <w:rFonts w:hint="eastAsia" w:cs="Times New Roman"/>
                <w:color w:val="auto"/>
                <w:kern w:val="2"/>
                <w:sz w:val="24"/>
                <w:szCs w:val="24"/>
                <w:highlight w:val="none"/>
                <w:lang w:val="en-US" w:eastAsia="zh-CN" w:bidi="ar-SA"/>
              </w:rPr>
              <w:t>热风炉</w:t>
            </w:r>
            <w:r>
              <w:rPr>
                <w:rFonts w:hint="default"/>
                <w:color w:val="auto"/>
                <w:highlight w:val="none"/>
              </w:rPr>
              <w:t>用于</w:t>
            </w:r>
            <w:r>
              <w:rPr>
                <w:rFonts w:hint="eastAsia"/>
                <w:color w:val="auto"/>
                <w:highlight w:val="none"/>
                <w:lang w:val="en-US" w:eastAsia="zh-CN"/>
              </w:rPr>
              <w:t>玉米潮粮烘干</w:t>
            </w:r>
            <w:r>
              <w:rPr>
                <w:rFonts w:hint="default"/>
                <w:color w:val="auto"/>
                <w:highlight w:val="none"/>
              </w:rPr>
              <w:t>。</w:t>
            </w:r>
          </w:p>
          <w:p w14:paraId="005B5D81">
            <w:pPr>
              <w:pStyle w:val="46"/>
              <w:bidi w:val="0"/>
              <w:rPr>
                <w:rFonts w:hint="eastAsia"/>
                <w:color w:val="auto"/>
                <w:highlight w:val="none"/>
                <w:lang w:val="en-US" w:eastAsia="zh-CN"/>
              </w:rPr>
            </w:pPr>
            <w:r>
              <w:rPr>
                <w:rFonts w:hint="eastAsia"/>
                <w:color w:val="auto"/>
                <w:highlight w:val="none"/>
                <w:lang w:val="en-US" w:eastAsia="zh-CN"/>
              </w:rPr>
              <w:t>本评价按照理论核算燃料量，然后保守取值。</w:t>
            </w:r>
          </w:p>
          <w:p w14:paraId="15F9BB62">
            <w:pPr>
              <w:pStyle w:val="46"/>
              <w:bidi w:val="0"/>
              <w:rPr>
                <w:rFonts w:hint="eastAsia"/>
                <w:color w:val="auto"/>
                <w:highlight w:val="none"/>
                <w:lang w:val="en-US" w:eastAsia="zh-CN"/>
              </w:rPr>
            </w:pPr>
            <w:r>
              <w:rPr>
                <w:rFonts w:hint="eastAsia"/>
                <w:color w:val="auto"/>
                <w:highlight w:val="none"/>
                <w:lang w:val="en-US" w:eastAsia="zh-CN"/>
              </w:rPr>
              <w:t>根据生物质锅炉消耗量计算公式：</w:t>
            </w:r>
          </w:p>
          <w:p w14:paraId="1B0E9BB2">
            <w:pPr>
              <w:pStyle w:val="46"/>
              <w:bidi w:val="0"/>
              <w:rPr>
                <w:rFonts w:hint="eastAsia"/>
                <w:color w:val="auto"/>
                <w:highlight w:val="none"/>
                <w:lang w:val="en-US" w:eastAsia="zh-CN"/>
              </w:rPr>
            </w:pPr>
            <w:r>
              <w:rPr>
                <w:rFonts w:hint="eastAsia"/>
                <w:color w:val="auto"/>
                <w:highlight w:val="none"/>
                <w:lang w:val="en-US" w:eastAsia="zh-CN"/>
              </w:rPr>
              <w:t>每小时消耗量=热风炉吨位*每小时额定发热量/燃料热值/锅炉热效率</w:t>
            </w:r>
          </w:p>
          <w:p w14:paraId="0A19B000">
            <w:pPr>
              <w:pStyle w:val="46"/>
              <w:bidi w:val="0"/>
              <w:rPr>
                <w:rFonts w:hint="eastAsia"/>
                <w:color w:val="auto"/>
                <w:highlight w:val="none"/>
                <w:lang w:val="en-US" w:eastAsia="zh-CN"/>
              </w:rPr>
            </w:pPr>
            <w:r>
              <w:rPr>
                <w:rFonts w:hint="eastAsia"/>
                <w:color w:val="auto"/>
                <w:highlight w:val="none"/>
                <w:lang w:val="en-US" w:eastAsia="zh-CN"/>
              </w:rPr>
              <w:t>式中：1t热风炉的额定发热量为600000kcal/h，燃料热值为4249kcl/kg，热风炉的热效率取80%，本项目热风炉全年运行60天，每天运行24小时，故总计年运行1440小时。</w:t>
            </w:r>
          </w:p>
          <w:p w14:paraId="30E44DC2">
            <w:pPr>
              <w:pStyle w:val="46"/>
              <w:bidi w:val="0"/>
              <w:rPr>
                <w:rFonts w:hint="eastAsia"/>
                <w:color w:val="auto"/>
                <w:highlight w:val="none"/>
                <w:lang w:val="en-US" w:eastAsia="zh-CN"/>
              </w:rPr>
            </w:pPr>
            <w:r>
              <w:rPr>
                <w:rFonts w:hint="eastAsia"/>
                <w:color w:val="auto"/>
                <w:highlight w:val="none"/>
                <w:lang w:val="en-US" w:eastAsia="zh-CN"/>
              </w:rPr>
              <w:t>本项目年燃烧生物质成型燃料量计算如下：</w:t>
            </w:r>
          </w:p>
          <w:p w14:paraId="406A9021">
            <w:pPr>
              <w:pStyle w:val="46"/>
              <w:bidi w:val="0"/>
              <w:rPr>
                <w:rFonts w:hint="eastAsia"/>
                <w:color w:val="auto"/>
                <w:highlight w:val="none"/>
                <w:lang w:val="en-US" w:eastAsia="zh-CN"/>
              </w:rPr>
            </w:pPr>
            <w:r>
              <w:rPr>
                <w:rFonts w:hint="eastAsia"/>
                <w:color w:val="auto"/>
                <w:highlight w:val="none"/>
                <w:lang w:val="en-US" w:eastAsia="zh-CN"/>
              </w:rPr>
              <w:t>1×7200000kcal/h/4249kcl/kg/80%×10</w:t>
            </w:r>
            <w:r>
              <w:rPr>
                <w:rFonts w:hint="eastAsia"/>
                <w:color w:val="auto"/>
                <w:highlight w:val="none"/>
                <w:vertAlign w:val="superscript"/>
                <w:lang w:val="en-US" w:eastAsia="zh-CN"/>
              </w:rPr>
              <w:t>-3</w:t>
            </w:r>
            <w:r>
              <w:rPr>
                <w:rFonts w:hint="eastAsia"/>
                <w:color w:val="auto"/>
                <w:highlight w:val="none"/>
                <w:lang w:val="en-US" w:eastAsia="zh-CN"/>
              </w:rPr>
              <w:t>*1440h=3050.13t/a</w:t>
            </w:r>
          </w:p>
          <w:p w14:paraId="2E25E950">
            <w:pPr>
              <w:pStyle w:val="46"/>
              <w:bidi w:val="0"/>
              <w:rPr>
                <w:highlight w:val="none"/>
              </w:rPr>
            </w:pPr>
            <w:r>
              <w:rPr>
                <w:rFonts w:hint="eastAsia"/>
                <w:color w:val="auto"/>
                <w:highlight w:val="none"/>
                <w:lang w:val="en-US" w:eastAsia="zh-CN"/>
              </w:rPr>
              <w:t>经计算，本项目年燃烧生物质成型燃料量为3050.13t/a。</w:t>
            </w:r>
          </w:p>
          <w:p w14:paraId="0E43DF3B">
            <w:pPr>
              <w:pStyle w:val="46"/>
              <w:bidi w:val="0"/>
              <w:rPr>
                <w:rFonts w:hint="default"/>
                <w:b/>
                <w:bCs/>
                <w:highlight w:val="none"/>
              </w:rPr>
            </w:pPr>
            <w:r>
              <w:rPr>
                <w:rFonts w:hint="eastAsia"/>
                <w:b/>
                <w:bCs/>
                <w:highlight w:val="none"/>
                <w:lang w:val="en-US" w:eastAsia="zh-CN"/>
              </w:rPr>
              <w:t>5.</w:t>
            </w:r>
            <w:r>
              <w:rPr>
                <w:rFonts w:hint="default"/>
                <w:b/>
                <w:bCs/>
                <w:highlight w:val="none"/>
              </w:rPr>
              <w:t>公用工程</w:t>
            </w:r>
          </w:p>
          <w:p w14:paraId="7AB3C122">
            <w:pPr>
              <w:keepNext w:val="0"/>
              <w:keepLines w:val="0"/>
              <w:pageBreakBefore w:val="0"/>
              <w:widowControl w:val="0"/>
              <w:kinsoku/>
              <w:wordWrap/>
              <w:overflowPunct/>
              <w:topLinePunct/>
              <w:autoSpaceDE w:val="0"/>
              <w:autoSpaceDN w:val="0"/>
              <w:bidi w:val="0"/>
              <w:spacing w:line="360" w:lineRule="auto"/>
              <w:ind w:firstLine="480" w:firstLineChars="200"/>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w:t>
            </w:r>
            <w:r>
              <w:rPr>
                <w:rFonts w:ascii="Times New Roman" w:hAnsi="Times New Roman" w:eastAsia="宋体" w:cs="Times New Roman"/>
                <w:color w:val="auto"/>
                <w:kern w:val="2"/>
                <w:sz w:val="24"/>
                <w:szCs w:val="24"/>
                <w:highlight w:val="none"/>
                <w:lang w:val="en-US" w:eastAsia="zh-CN" w:bidi="ar-SA"/>
              </w:rPr>
              <w:t>给</w:t>
            </w:r>
            <w:r>
              <w:rPr>
                <w:rFonts w:hint="eastAsia" w:ascii="Times New Roman" w:hAnsi="Times New Roman" w:eastAsia="宋体" w:cs="Times New Roman"/>
                <w:color w:val="auto"/>
                <w:kern w:val="2"/>
                <w:sz w:val="24"/>
                <w:szCs w:val="24"/>
                <w:highlight w:val="none"/>
                <w:lang w:val="en-US" w:eastAsia="zh-CN" w:bidi="ar-SA"/>
              </w:rPr>
              <w:t>排</w:t>
            </w:r>
            <w:r>
              <w:rPr>
                <w:rFonts w:ascii="Times New Roman" w:hAnsi="Times New Roman" w:eastAsia="宋体" w:cs="Times New Roman"/>
                <w:color w:val="auto"/>
                <w:kern w:val="2"/>
                <w:sz w:val="24"/>
                <w:szCs w:val="24"/>
                <w:highlight w:val="none"/>
                <w:lang w:val="en-US" w:eastAsia="zh-CN" w:bidi="ar-SA"/>
              </w:rPr>
              <w:t>水工程</w:t>
            </w:r>
          </w:p>
          <w:p w14:paraId="389A0872">
            <w:pPr>
              <w:pStyle w:val="46"/>
              <w:bidi w:val="0"/>
              <w:rPr>
                <w:highlight w:val="none"/>
              </w:rPr>
            </w:pPr>
            <w:r>
              <w:rPr>
                <w:highlight w:val="none"/>
              </w:rPr>
              <w:t>本项目</w:t>
            </w:r>
            <w:r>
              <w:rPr>
                <w:highlight w:val="none"/>
                <w:lang w:val="en-US" w:eastAsia="zh-CN"/>
              </w:rPr>
              <w:t>无生产用水，</w:t>
            </w:r>
            <w:r>
              <w:rPr>
                <w:rFonts w:hint="eastAsia"/>
                <w:highlight w:val="none"/>
                <w:lang w:val="en-US" w:eastAsia="zh-CN"/>
              </w:rPr>
              <w:t>生活用水外购桶装水。</w:t>
            </w:r>
          </w:p>
          <w:p w14:paraId="18304951">
            <w:pPr>
              <w:pStyle w:val="46"/>
              <w:ind w:firstLine="480"/>
              <w:rPr>
                <w:color w:val="auto"/>
                <w:sz w:val="24"/>
                <w:highlight w:val="none"/>
              </w:rPr>
            </w:pPr>
            <w:r>
              <w:rPr>
                <w:color w:val="auto"/>
                <w:sz w:val="24"/>
                <w:highlight w:val="none"/>
              </w:rPr>
              <w:t>本项目生活用水量根据黑龙江省地方标准《用水定额》（</w:t>
            </w:r>
            <w:r>
              <w:rPr>
                <w:rFonts w:hint="eastAsia"/>
                <w:color w:val="auto"/>
                <w:sz w:val="24"/>
                <w:highlight w:val="none"/>
                <w:lang w:eastAsia="zh-CN"/>
              </w:rPr>
              <w:t>DB23/T727-2025</w:t>
            </w:r>
            <w:r>
              <w:rPr>
                <w:color w:val="auto"/>
                <w:sz w:val="24"/>
                <w:highlight w:val="none"/>
              </w:rPr>
              <w:t>）表H.2确定，用水定额为80L/（人·d），本项目劳动定员</w:t>
            </w:r>
            <w:r>
              <w:rPr>
                <w:rFonts w:hint="eastAsia"/>
                <w:color w:val="auto"/>
                <w:sz w:val="24"/>
                <w:highlight w:val="none"/>
                <w:lang w:val="en-US" w:eastAsia="zh-CN"/>
              </w:rPr>
              <w:t>8</w:t>
            </w:r>
            <w:r>
              <w:rPr>
                <w:color w:val="auto"/>
                <w:sz w:val="24"/>
                <w:highlight w:val="none"/>
              </w:rPr>
              <w:t>人，则本项目生活用水为</w:t>
            </w:r>
            <w:r>
              <w:rPr>
                <w:rFonts w:hint="eastAsia"/>
                <w:color w:val="auto"/>
                <w:sz w:val="24"/>
                <w:highlight w:val="none"/>
                <w:lang w:val="en-US" w:eastAsia="zh-CN"/>
              </w:rPr>
              <w:t>0.64</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/d，</w:t>
            </w:r>
            <w:r>
              <w:rPr>
                <w:rFonts w:hint="eastAsia"/>
                <w:color w:val="auto"/>
                <w:sz w:val="24"/>
                <w:highlight w:val="none"/>
                <w:lang w:val="en-US" w:eastAsia="zh-CN"/>
              </w:rPr>
              <w:t>38.4</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/a。</w:t>
            </w:r>
          </w:p>
          <w:p w14:paraId="0FA5F2F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center"/>
              <w:rPr>
                <w:color w:val="auto"/>
                <w:sz w:val="24"/>
                <w:highlight w:val="none"/>
              </w:rPr>
            </w:pPr>
            <w:r>
              <w:rPr>
                <w:color w:val="auto"/>
                <w:sz w:val="24"/>
                <w:highlight w:val="none"/>
              </w:rPr>
              <w:t>生活污水产污系数为0.8，则生活污水产生量为</w:t>
            </w:r>
            <w:r>
              <w:rPr>
                <w:rFonts w:hint="eastAsia"/>
                <w:color w:val="auto"/>
                <w:sz w:val="24"/>
                <w:highlight w:val="none"/>
                <w:lang w:val="en-US" w:eastAsia="zh-CN"/>
              </w:rPr>
              <w:t>0.51</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/d，</w:t>
            </w:r>
            <w:r>
              <w:rPr>
                <w:rFonts w:hint="eastAsia"/>
                <w:color w:val="auto"/>
                <w:sz w:val="24"/>
                <w:highlight w:val="none"/>
                <w:lang w:val="en-US" w:eastAsia="zh-CN"/>
              </w:rPr>
              <w:t>30.72</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/a。生活污水排入防渗旱厕定期清掏，外运堆肥。</w:t>
            </w:r>
          </w:p>
          <w:p w14:paraId="51B19754">
            <w:pPr>
              <w:pStyle w:val="46"/>
              <w:bidi w:val="0"/>
              <w:rPr>
                <w:color w:val="auto"/>
                <w:highlight w:val="none"/>
                <w:lang w:val="en-US" w:eastAsia="zh-CN"/>
              </w:rPr>
            </w:pPr>
            <w:r>
              <w:rPr>
                <w:color w:val="auto"/>
                <w:highlight w:val="none"/>
                <w:lang w:val="en-US" w:eastAsia="zh-CN"/>
              </w:rPr>
              <w:t>本项目水量平衡见图2-</w:t>
            </w:r>
            <w:r>
              <w:rPr>
                <w:rFonts w:hint="eastAsia"/>
                <w:color w:val="auto"/>
                <w:highlight w:val="none"/>
                <w:lang w:val="en-US" w:eastAsia="zh-CN"/>
              </w:rPr>
              <w:t>1。</w:t>
            </w:r>
          </w:p>
          <w:p w14:paraId="11FE9A34">
            <w:pPr>
              <w:keepNext w:val="0"/>
              <w:keepLines w:val="0"/>
              <w:pageBreakBefore w:val="0"/>
              <w:widowControl w:val="0"/>
              <w:kinsoku/>
              <w:wordWrap w:val="0"/>
              <w:overflowPunct/>
              <w:topLinePunct/>
              <w:autoSpaceDE/>
              <w:autoSpaceDN/>
              <w:bidi w:val="0"/>
              <w:adjustRightInd/>
              <w:snapToGrid/>
              <w:textAlignment w:val="center"/>
              <w:rPr>
                <w:color w:val="auto"/>
                <w:highlight w:val="none"/>
              </w:rPr>
            </w:pPr>
            <w:r>
              <w:rPr>
                <w:color w:val="auto"/>
                <w:sz w:val="21"/>
                <w:szCs w:val="21"/>
                <w:highlight w:val="none"/>
              </w:rPr>
              <mc:AlternateContent>
                <mc:Choice Requires="wpc">
                  <w:drawing>
                    <wp:inline distT="0" distB="0" distL="114300" distR="114300">
                      <wp:extent cx="4787265" cy="986790"/>
                      <wp:effectExtent l="0" t="0" r="13335" b="3175"/>
                      <wp:docPr id="145" name="画布 1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5" name="直接连接符 135"/>
                              <wps:cNvCnPr/>
                              <wps:spPr>
                                <a:xfrm>
                                  <a:off x="988608" y="584211"/>
                                  <a:ext cx="845207" cy="600"/>
                                </a:xfrm>
                                <a:prstGeom prst="line">
                                  <a:avLst/>
                                </a:prstGeom>
                                <a:ln w="9525" cap="flat" cmpd="sng">
                                  <a:solidFill>
                                    <a:srgbClr val="000000"/>
                                  </a:solidFill>
                                  <a:prstDash val="solid"/>
                                  <a:headEnd type="none" w="med" len="med"/>
                                  <a:tailEnd type="arrow" w="med" len="med"/>
                                </a:ln>
                              </wps:spPr>
                              <wps:bodyPr upright="1"/>
                            </wps:wsp>
                            <wps:wsp>
                              <wps:cNvPr id="136" name="文本框 136"/>
                              <wps:cNvSpPr txBox="1"/>
                              <wps:spPr>
                                <a:xfrm>
                                  <a:off x="1833815" y="463509"/>
                                  <a:ext cx="1132909" cy="30480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BB2CEA">
                                    <w:pPr>
                                      <w:jc w:val="center"/>
                                      <w:rPr>
                                        <w:sz w:val="21"/>
                                        <w:szCs w:val="21"/>
                                      </w:rPr>
                                    </w:pPr>
                                    <w:r>
                                      <w:rPr>
                                        <w:rFonts w:hint="eastAsia"/>
                                        <w:sz w:val="21"/>
                                        <w:szCs w:val="21"/>
                                      </w:rPr>
                                      <w:t>生活用水</w:t>
                                    </w:r>
                                  </w:p>
                                </w:txbxContent>
                              </wps:txbx>
                              <wps:bodyPr upright="1"/>
                            </wps:wsp>
                            <wps:wsp>
                              <wps:cNvPr id="137" name="直接连接符 137"/>
                              <wps:cNvCnPr/>
                              <wps:spPr>
                                <a:xfrm flipH="1" flipV="1">
                                  <a:off x="2369119" y="222204"/>
                                  <a:ext cx="700" cy="215904"/>
                                </a:xfrm>
                                <a:prstGeom prst="line">
                                  <a:avLst/>
                                </a:prstGeom>
                                <a:ln w="9525" cap="flat" cmpd="sng">
                                  <a:solidFill>
                                    <a:srgbClr val="000000"/>
                                  </a:solidFill>
                                  <a:prstDash val="lgDash"/>
                                  <a:headEnd type="none" w="med" len="med"/>
                                  <a:tailEnd type="arrow" w="med" len="med"/>
                                </a:ln>
                              </wps:spPr>
                              <wps:bodyPr upright="1"/>
                            </wps:wsp>
                            <wps:wsp>
                              <wps:cNvPr id="138" name="文本框 138"/>
                              <wps:cNvSpPr txBox="1"/>
                              <wps:spPr>
                                <a:xfrm>
                                  <a:off x="3576320" y="307975"/>
                                  <a:ext cx="1203325" cy="654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658F3D">
                                    <w:pPr>
                                      <w:pStyle w:val="60"/>
                                      <w:bidi w:val="0"/>
                                    </w:pPr>
                                    <w:r>
                                      <w:t>排入</w:t>
                                    </w:r>
                                    <w:r>
                                      <w:rPr>
                                        <w:rFonts w:hint="eastAsia"/>
                                      </w:rPr>
                                      <w:t>防渗旱厕，定期清掏，外运堆肥</w:t>
                                    </w:r>
                                    <w:r>
                                      <w:t>，不外排</w:t>
                                    </w:r>
                                  </w:p>
                                </w:txbxContent>
                              </wps:txbx>
                              <wps:bodyPr upright="1"/>
                            </wps:wsp>
                            <wps:wsp>
                              <wps:cNvPr id="139" name="文本框 139"/>
                              <wps:cNvSpPr txBox="1"/>
                              <wps:spPr>
                                <a:xfrm>
                                  <a:off x="1116309" y="381607"/>
                                  <a:ext cx="518104" cy="269205"/>
                                </a:xfrm>
                                <a:prstGeom prst="rect">
                                  <a:avLst/>
                                </a:prstGeom>
                                <a:noFill/>
                                <a:ln>
                                  <a:noFill/>
                                </a:ln>
                              </wps:spPr>
                              <wps:txbx>
                                <w:txbxContent>
                                  <w:p w14:paraId="215D66A5">
                                    <w:pPr>
                                      <w:pStyle w:val="60"/>
                                      <w:bidi w:val="0"/>
                                      <w:rPr>
                                        <w:rFonts w:hint="default"/>
                                        <w:lang w:val="en-US" w:eastAsia="zh-CN"/>
                                      </w:rPr>
                                    </w:pPr>
                                    <w:r>
                                      <w:rPr>
                                        <w:rFonts w:hint="eastAsia"/>
                                        <w:lang w:val="en-US" w:eastAsia="zh-CN"/>
                                      </w:rPr>
                                      <w:t>0.64</w:t>
                                    </w:r>
                                  </w:p>
                                </w:txbxContent>
                              </wps:txbx>
                              <wps:bodyPr upright="1"/>
                            </wps:wsp>
                            <wps:wsp>
                              <wps:cNvPr id="140" name="直接连接符 140"/>
                              <wps:cNvCnPr/>
                              <wps:spPr>
                                <a:xfrm>
                                  <a:off x="2985770" y="596265"/>
                                  <a:ext cx="574675" cy="635"/>
                                </a:xfrm>
                                <a:prstGeom prst="line">
                                  <a:avLst/>
                                </a:prstGeom>
                                <a:ln w="9525" cap="flat" cmpd="sng">
                                  <a:solidFill>
                                    <a:srgbClr val="000000"/>
                                  </a:solidFill>
                                  <a:prstDash val="solid"/>
                                  <a:headEnd type="none" w="med" len="med"/>
                                  <a:tailEnd type="arrow" w="med" len="med"/>
                                </a:ln>
                              </wps:spPr>
                              <wps:bodyPr upright="1"/>
                            </wps:wsp>
                            <wps:wsp>
                              <wps:cNvPr id="141" name="文本框 141"/>
                              <wps:cNvSpPr txBox="1"/>
                              <wps:spPr>
                                <a:xfrm>
                                  <a:off x="2858770" y="379730"/>
                                  <a:ext cx="673100" cy="267335"/>
                                </a:xfrm>
                                <a:prstGeom prst="rect">
                                  <a:avLst/>
                                </a:prstGeom>
                                <a:noFill/>
                                <a:ln>
                                  <a:noFill/>
                                </a:ln>
                              </wps:spPr>
                              <wps:txbx>
                                <w:txbxContent>
                                  <w:p w14:paraId="615C3303">
                                    <w:pPr>
                                      <w:pStyle w:val="60"/>
                                      <w:bidi w:val="0"/>
                                      <w:rPr>
                                        <w:rFonts w:hint="default"/>
                                        <w:lang w:val="en-US" w:eastAsia="zh-CN"/>
                                      </w:rPr>
                                    </w:pPr>
                                    <w:r>
                                      <w:rPr>
                                        <w:rFonts w:hint="eastAsia"/>
                                        <w:lang w:val="en-US" w:eastAsia="zh-CN"/>
                                      </w:rPr>
                                      <w:t>0.51</w:t>
                                    </w:r>
                                  </w:p>
                                </w:txbxContent>
                              </wps:txbx>
                              <wps:bodyPr upright="1"/>
                            </wps:wsp>
                            <wps:wsp>
                              <wps:cNvPr id="142" name="文本框 142"/>
                              <wps:cNvSpPr txBox="1"/>
                              <wps:spPr>
                                <a:xfrm>
                                  <a:off x="2228850" y="229235"/>
                                  <a:ext cx="673100" cy="267335"/>
                                </a:xfrm>
                                <a:prstGeom prst="rect">
                                  <a:avLst/>
                                </a:prstGeom>
                                <a:noFill/>
                                <a:ln>
                                  <a:noFill/>
                                </a:ln>
                              </wps:spPr>
                              <wps:txbx>
                                <w:txbxContent>
                                  <w:p w14:paraId="412B4B15">
                                    <w:pPr>
                                      <w:pStyle w:val="60"/>
                                      <w:bidi w:val="0"/>
                                      <w:rPr>
                                        <w:rFonts w:hint="default"/>
                                        <w:lang w:val="en-US" w:eastAsia="zh-CN"/>
                                      </w:rPr>
                                    </w:pPr>
                                    <w:r>
                                      <w:rPr>
                                        <w:rFonts w:hint="eastAsia"/>
                                        <w:lang w:val="en-US" w:eastAsia="zh-CN"/>
                                      </w:rPr>
                                      <w:t>0.13</w:t>
                                    </w:r>
                                  </w:p>
                                </w:txbxContent>
                              </wps:txbx>
                              <wps:bodyPr upright="1"/>
                            </wps:wsp>
                            <wps:wsp>
                              <wps:cNvPr id="143" name="文本框 143"/>
                              <wps:cNvSpPr txBox="1"/>
                              <wps:spPr>
                                <a:xfrm>
                                  <a:off x="150401" y="400608"/>
                                  <a:ext cx="838207" cy="30480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BAF8FD">
                                    <w:pPr>
                                      <w:pStyle w:val="60"/>
                                      <w:bidi w:val="0"/>
                                    </w:pPr>
                                    <w:r>
                                      <w:rPr>
                                        <w:rFonts w:hint="eastAsia"/>
                                      </w:rPr>
                                      <w:t>新鲜水</w:t>
                                    </w:r>
                                  </w:p>
                                </w:txbxContent>
                              </wps:txbx>
                              <wps:bodyPr upright="1"/>
                            </wps:wsp>
                            <wps:wsp>
                              <wps:cNvPr id="144" name="文本框 144"/>
                              <wps:cNvSpPr txBox="1"/>
                              <wps:spPr>
                                <a:xfrm>
                                  <a:off x="2114517" y="0"/>
                                  <a:ext cx="523904" cy="381007"/>
                                </a:xfrm>
                                <a:prstGeom prst="rect">
                                  <a:avLst/>
                                </a:prstGeom>
                                <a:noFill/>
                                <a:ln>
                                  <a:noFill/>
                                </a:ln>
                              </wps:spPr>
                              <wps:txbx>
                                <w:txbxContent>
                                  <w:p w14:paraId="029B6844">
                                    <w:pPr>
                                      <w:pStyle w:val="60"/>
                                      <w:bidi w:val="0"/>
                                      <w:rPr>
                                        <w:szCs w:val="21"/>
                                      </w:rPr>
                                    </w:pPr>
                                    <w:r>
                                      <w:rPr>
                                        <w:rFonts w:hint="eastAsia"/>
                                      </w:rPr>
                                      <w:t>损</w:t>
                                    </w:r>
                                    <w:r>
                                      <w:t>耗</w:t>
                                    </w:r>
                                  </w:p>
                                </w:txbxContent>
                              </wps:txbx>
                              <wps:bodyPr upright="1"/>
                            </wps:wsp>
                          </wpc:wpc>
                        </a:graphicData>
                      </a:graphic>
                    </wp:inline>
                  </w:drawing>
                </mc:Choice>
                <mc:Fallback>
                  <w:pict>
                    <v:group id="_x0000_s1026" o:spid="_x0000_s1026" o:spt="203" style="height:77.7pt;width:376.95pt;" coordsize="4787265,986790" editas="canvas" o:gfxdata="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">
                      <o:lock v:ext="edit" aspectratio="f"/>
                      <v:shape id="_x0000_s1026" o:spid="_x0000_s1026" style="position:absolute;left:0;top:0;height:986790;width:4787265;" filled="f" stroked="f" coordsize="21600,21600" o:gfxdata="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">
                        <v:fill on="f" focussize="0,0"/>
                        <v:stroke on="f"/>
                        <v:imagedata o:title=""/>
                        <o:lock v:ext="edit" aspectratio="t"/>
                      </v:shape>
                      <v:line id="_x0000_s1026" o:spid="_x0000_s1026" o:spt="20" style="position:absolute;left:988608;top:584211;height:600;width:845207;" filled="f" stroked="t" coordsize="21600,21600" o:gfxdata="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pg631gAAAAUBAAAPAAAAAAAAAAEAIAAAACIA&#10;AABkcnMvZG93bnJldi54bWxQSwECFAAUAAAACACHTuJA+5/w7wsCAAD0AwAADgAAAAAAAAABACAA&#10;AAAlAQAAZHJzL2Uyb0RvYy54bWxQSwUGAAAAAAYABgBZAQAAogUAAAAA&#10;">
                        <v:fill on="f" focussize="0,0"/>
                        <v:stroke color="#000000" joinstyle="round" endarrow="open"/>
                        <v:imagedata o:title=""/>
                        <o:lock v:ext="edit" aspectratio="f"/>
                      </v:line>
                      <v:shape id="_x0000_s1026" o:spid="_x0000_s1026" o:spt="202" type="#_x0000_t202" style="position:absolute;left:1833815;top:463509;height:304806;width:1132909;" fillcolor="#FFFFFF" filled="t" stroked="t" coordsize="21600,21600" o:gfxdata="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INZctYAAAAFAQAADwAA&#10;AAAAAAABACAAAAAiAAAAZHJzL2Rvd25yZXYueG1sUEsBAhQAFAAAAAgAh07iQBcrXWkYAgAARQQA&#10;AA4AAAAAAAAAAQAgAAAAJQEAAGRycy9lMm9Eb2MueG1sUEsFBgAAAAAGAAYAWQEAAK8FAAAAAA==&#10;">
                        <v:fill on="t" focussize="0,0"/>
                        <v:stroke color="#000000" joinstyle="miter"/>
                        <v:imagedata o:title=""/>
                        <o:lock v:ext="edit" aspectratio="f"/>
                        <v:textbox>
                          <w:txbxContent>
                            <w:p w14:paraId="49BB2CEA">
                              <w:pPr>
                                <w:jc w:val="center"/>
                                <w:rPr>
                                  <w:sz w:val="21"/>
                                  <w:szCs w:val="21"/>
                                </w:rPr>
                              </w:pPr>
                              <w:r>
                                <w:rPr>
                                  <w:rFonts w:hint="eastAsia"/>
                                  <w:sz w:val="21"/>
                                  <w:szCs w:val="21"/>
                                </w:rPr>
                                <w:t>生活用水</w:t>
                              </w:r>
                            </w:p>
                          </w:txbxContent>
                        </v:textbox>
                      </v:shape>
                      <v:line id="_x0000_s1026" o:spid="_x0000_s1026" o:spt="20" style="position:absolute;left:2369119;top:222204;flip:x y;height:215904;width:700;" filled="f" stroked="t" coordsize="21600,21600" o:gfxdata="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Xqigf1wAAAAUBAAAPAAAA&#10;AAAAAAEAIAAAACIAAABkcnMvZG93bnJldi54bWxQSwECFAAUAAAACACHTuJA7OAgbhYCAAAKBAAA&#10;DgAAAAAAAAABACAAAAAmAQAAZHJzL2Uyb0RvYy54bWxQSwUGAAAAAAYABgBZAQAArgUAAAAA&#10;">
                        <v:fill on="f" focussize="0,0"/>
                        <v:stroke color="#000000" joinstyle="round" dashstyle="longDash" endarrow="open"/>
                        <v:imagedata o:title=""/>
                        <o:lock v:ext="edit" aspectratio="f"/>
                      </v:line>
                      <v:shape id="_x0000_s1026" o:spid="_x0000_s1026" o:spt="202" type="#_x0000_t202" style="position:absolute;left:3576320;top:307975;height:654685;width:1203325;" fillcolor="#FFFFFF" filled="t" stroked="t" coordsize="21600,21600" o:gfxdata="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g1ly1gAAAAUBAAAPAAAA&#10;AAAAAAEAIAAAACIAAABkcnMvZG93bnJldi54bWxQSwECFAAUAAAACACHTuJANabyThcCAABFBAAA&#10;DgAAAAAAAAABACAAAAAlAQAAZHJzL2Uyb0RvYy54bWxQSwUGAAAAAAYABgBZAQAArgUAAAAA&#10;">
                        <v:fill on="t" focussize="0,0"/>
                        <v:stroke color="#000000" joinstyle="miter"/>
                        <v:imagedata o:title=""/>
                        <o:lock v:ext="edit" aspectratio="f"/>
                        <v:textbox>
                          <w:txbxContent>
                            <w:p w14:paraId="69658F3D">
                              <w:pPr>
                                <w:pStyle w:val="60"/>
                                <w:bidi w:val="0"/>
                              </w:pPr>
                              <w:r>
                                <w:t>排入</w:t>
                              </w:r>
                              <w:r>
                                <w:rPr>
                                  <w:rFonts w:hint="eastAsia"/>
                                </w:rPr>
                                <w:t>防渗旱厕，定期清掏，外运堆肥</w:t>
                              </w:r>
                              <w:r>
                                <w:t>，不外排</w:t>
                              </w:r>
                            </w:p>
                          </w:txbxContent>
                        </v:textbox>
                      </v:shape>
                      <v:shape id="_x0000_s1026" o:spid="_x0000_s1026" o:spt="202" type="#_x0000_t202" style="position:absolute;left:1116309;top:381607;height:269205;width:518104;" filled="f" stroked="f" coordsize="21600,21600" o:gfxdata="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77AFz9MAAAAFAQAADwAAAAAAAAABACAAAAAiAAAAZHJzL2Rvd25yZXYueG1sUEsBAhQAFAAAAAgA&#10;h07iQMVLKq64AQAAXAMAAA4AAAAAAAAAAQAgAAAAIgEAAGRycy9lMm9Eb2MueG1sUEsFBgAAAAAG&#10;AAYAWQEAAEwFAAAAAA==&#10;">
                        <v:fill on="f" focussize="0,0"/>
                        <v:stroke on="f"/>
                        <v:imagedata o:title=""/>
                        <o:lock v:ext="edit" aspectratio="f"/>
                        <v:textbox>
                          <w:txbxContent>
                            <w:p w14:paraId="215D66A5">
                              <w:pPr>
                                <w:pStyle w:val="60"/>
                                <w:bidi w:val="0"/>
                                <w:rPr>
                                  <w:rFonts w:hint="default"/>
                                  <w:lang w:val="en-US" w:eastAsia="zh-CN"/>
                                </w:rPr>
                              </w:pPr>
                              <w:r>
                                <w:rPr>
                                  <w:rFonts w:hint="eastAsia"/>
                                  <w:lang w:val="en-US" w:eastAsia="zh-CN"/>
                                </w:rPr>
                                <w:t>0.64</w:t>
                              </w:r>
                            </w:p>
                          </w:txbxContent>
                        </v:textbox>
                      </v:shape>
                      <v:line id="_x0000_s1026" o:spid="_x0000_s1026" o:spt="20" style="position:absolute;left:2985770;top:596265;height:635;width:574675;" filled="f" stroked="t" coordsize="21600,21600" o:gfxdata="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aYOt9YAAAAFAQAADwAAAAAAAAABACAAAAAi&#10;AAAAZHJzL2Rvd25yZXYueG1sUEsBAhQAFAAAAAgAh07iQN2byiUMAgAA9QMAAA4AAAAAAAAAAQAg&#10;AAAAJQEAAGRycy9lMm9Eb2MueG1sUEsFBgAAAAAGAAYAWQEAAKMFAAAAAA==&#10;">
                        <v:fill on="f" focussize="0,0"/>
                        <v:stroke color="#000000" joinstyle="round" endarrow="open"/>
                        <v:imagedata o:title=""/>
                        <o:lock v:ext="edit" aspectratio="f"/>
                      </v:line>
                      <v:shape id="_x0000_s1026" o:spid="_x0000_s1026" o:spt="202" type="#_x0000_t202" style="position:absolute;left:2858770;top:379730;height:267335;width:673100;" filled="f" stroked="f" coordsize="21600,21600" o:gfxdata="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77AFz9MAAAAFAQAADwAAAAAAAAABACAAAAAiAAAAZHJzL2Rvd25yZXYueG1sUEsBAhQAFAAAAAgA&#10;h07iQE5Fr764AQAAXAMAAA4AAAAAAAAAAQAgAAAAIgEAAGRycy9lMm9Eb2MueG1sUEsFBgAAAAAG&#10;AAYAWQEAAEwFAAAAAA==&#10;">
                        <v:fill on="f" focussize="0,0"/>
                        <v:stroke on="f"/>
                        <v:imagedata o:title=""/>
                        <o:lock v:ext="edit" aspectratio="f"/>
                        <v:textbox>
                          <w:txbxContent>
                            <w:p w14:paraId="615C3303">
                              <w:pPr>
                                <w:pStyle w:val="60"/>
                                <w:bidi w:val="0"/>
                                <w:rPr>
                                  <w:rFonts w:hint="default"/>
                                  <w:lang w:val="en-US" w:eastAsia="zh-CN"/>
                                </w:rPr>
                              </w:pPr>
                              <w:r>
                                <w:rPr>
                                  <w:rFonts w:hint="eastAsia"/>
                                  <w:lang w:val="en-US" w:eastAsia="zh-CN"/>
                                </w:rPr>
                                <w:t>0.51</w:t>
                              </w:r>
                            </w:p>
                          </w:txbxContent>
                        </v:textbox>
                      </v:shape>
                      <v:shape id="_x0000_s1026" o:spid="_x0000_s1026" o:spt="202" type="#_x0000_t202" style="position:absolute;left:2228850;top:229235;height:267335;width:673100;" filled="f" stroked="f" coordsize="21600,21600" o:gfxdata="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77AF&#10;z9MAAAAFAQAADwAAAAAAAAABACAAAAAiAAAAZHJzL2Rvd25yZXYueG1sUEsBAhQAFAAAAAgAh07i&#10;QBb09R21AQAAXAMAAA4AAAAAAAAAAQAgAAAAIgEAAGRycy9lMm9Eb2MueG1sUEsFBgAAAAAGAAYA&#10;WQEAAEkFAAAAAA==&#10;">
                        <v:fill on="f" focussize="0,0"/>
                        <v:stroke on="f"/>
                        <v:imagedata o:title=""/>
                        <o:lock v:ext="edit" aspectratio="f"/>
                        <v:textbox>
                          <w:txbxContent>
                            <w:p w14:paraId="412B4B15">
                              <w:pPr>
                                <w:pStyle w:val="60"/>
                                <w:bidi w:val="0"/>
                                <w:rPr>
                                  <w:rFonts w:hint="default"/>
                                  <w:lang w:val="en-US" w:eastAsia="zh-CN"/>
                                </w:rPr>
                              </w:pPr>
                              <w:r>
                                <w:rPr>
                                  <w:rFonts w:hint="eastAsia"/>
                                  <w:lang w:val="en-US" w:eastAsia="zh-CN"/>
                                </w:rPr>
                                <w:t>0.13</w:t>
                              </w:r>
                            </w:p>
                          </w:txbxContent>
                        </v:textbox>
                      </v:shape>
                      <v:shape id="_x0000_s1026" o:spid="_x0000_s1026" o:spt="202" type="#_x0000_t202" style="position:absolute;left:150401;top:400608;height:304806;width:838207;" fillcolor="#FFFFFF" filled="t" stroked="t" coordsize="21600,21600" o:gfxdata="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cg1ly1gAAAAUBAAAPAAAAAAAA&#10;AAEAIAAAACIAAABkcnMvZG93bnJldi54bWxQSwECFAAUAAAACACHTuJAGkf6RhQCAABDBAAADgAA&#10;AAAAAAABACAAAAAlAQAAZHJzL2Uyb0RvYy54bWxQSwUGAAAAAAYABgBZAQAAqwUAAAAA&#10;">
                        <v:fill on="t" focussize="0,0"/>
                        <v:stroke color="#000000" joinstyle="miter"/>
                        <v:imagedata o:title=""/>
                        <o:lock v:ext="edit" aspectratio="f"/>
                        <v:textbox>
                          <w:txbxContent>
                            <w:p w14:paraId="14BAF8FD">
                              <w:pPr>
                                <w:pStyle w:val="60"/>
                                <w:bidi w:val="0"/>
                              </w:pPr>
                              <w:r>
                                <w:rPr>
                                  <w:rFonts w:hint="eastAsia"/>
                                </w:rPr>
                                <w:t>新鲜水</w:t>
                              </w:r>
                            </w:p>
                          </w:txbxContent>
                        </v:textbox>
                      </v:shape>
                      <v:shape id="_x0000_s1026" o:spid="_x0000_s1026" o:spt="202" type="#_x0000_t202" style="position:absolute;left:2114517;top:0;height:381007;width:523904;" filled="f" stroked="f" coordsize="21600,21600" o:gfxdata="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wBc/T&#10;AAAABQEAAA8AAAAAAAAAAQAgAAAAIgAAAGRycy9kb3ducmV2LnhtbFBLAQIUABQAAAAIAIdO4kCb&#10;wDmUswEAAFcDAAAOAAAAAAAAAAEAIAAAACIBAABkcnMvZTJvRG9jLnhtbFBLBQYAAAAABgAGAFkB&#10;AABHBQAAAAA=&#10;">
                        <v:fill on="f" focussize="0,0"/>
                        <v:stroke on="f"/>
                        <v:imagedata o:title=""/>
                        <o:lock v:ext="edit" aspectratio="f"/>
                        <v:textbox>
                          <w:txbxContent>
                            <w:p w14:paraId="029B6844">
                              <w:pPr>
                                <w:pStyle w:val="60"/>
                                <w:bidi w:val="0"/>
                                <w:rPr>
                                  <w:szCs w:val="21"/>
                                </w:rPr>
                              </w:pPr>
                              <w:r>
                                <w:rPr>
                                  <w:rFonts w:hint="eastAsia"/>
                                </w:rPr>
                                <w:t>损</w:t>
                              </w:r>
                              <w:r>
                                <w:t>耗</w:t>
                              </w:r>
                            </w:p>
                          </w:txbxContent>
                        </v:textbox>
                      </v:shape>
                      <w10:wrap type="none"/>
                      <w10:anchorlock/>
                    </v:group>
                  </w:pict>
                </mc:Fallback>
              </mc:AlternateContent>
            </w:r>
          </w:p>
          <w:p w14:paraId="1C7A2215">
            <w:pPr>
              <w:pStyle w:val="50"/>
              <w:bidi w:val="0"/>
              <w:rPr>
                <w:rFonts w:hint="default"/>
                <w:color w:val="auto"/>
                <w:highlight w:val="none"/>
                <w:lang w:val="en-US" w:eastAsia="zh-CN"/>
              </w:rPr>
            </w:pPr>
            <w:r>
              <w:rPr>
                <w:rFonts w:hint="eastAsia"/>
                <w:color w:val="auto"/>
                <w:highlight w:val="none"/>
                <w:lang w:val="en-US" w:eastAsia="zh-CN"/>
              </w:rPr>
              <w:t>图2-1   本项目水平衡图  单位：</w:t>
            </w:r>
            <w:r>
              <w:rPr>
                <w:color w:val="auto"/>
                <w:highlight w:val="none"/>
                <w:lang w:val="en-US" w:eastAsia="zh-CN"/>
              </w:rPr>
              <w:t>t/</w:t>
            </w:r>
            <w:r>
              <w:rPr>
                <w:rFonts w:hint="eastAsia"/>
                <w:color w:val="auto"/>
                <w:highlight w:val="none"/>
                <w:lang w:val="en-US" w:eastAsia="zh-CN"/>
              </w:rPr>
              <w:t>d</w:t>
            </w:r>
          </w:p>
          <w:p w14:paraId="08598E5D">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center"/>
              <w:rPr>
                <w:bCs/>
                <w:color w:val="auto"/>
                <w:sz w:val="24"/>
                <w:highlight w:val="none"/>
              </w:rPr>
            </w:pPr>
            <w:r>
              <w:rPr>
                <w:rFonts w:hint="eastAsia"/>
                <w:bCs/>
                <w:color w:val="auto"/>
                <w:sz w:val="24"/>
                <w:highlight w:val="none"/>
              </w:rPr>
              <w:t>（</w:t>
            </w:r>
            <w:r>
              <w:rPr>
                <w:rFonts w:hint="eastAsia"/>
                <w:bCs/>
                <w:color w:val="auto"/>
                <w:sz w:val="24"/>
                <w:highlight w:val="none"/>
                <w:lang w:val="en-US" w:eastAsia="zh-CN"/>
              </w:rPr>
              <w:t>2</w:t>
            </w:r>
            <w:r>
              <w:rPr>
                <w:rFonts w:hint="eastAsia"/>
                <w:bCs/>
                <w:color w:val="auto"/>
                <w:sz w:val="24"/>
                <w:highlight w:val="none"/>
              </w:rPr>
              <w:t>）</w:t>
            </w:r>
            <w:r>
              <w:rPr>
                <w:bCs/>
                <w:color w:val="auto"/>
                <w:sz w:val="24"/>
                <w:highlight w:val="none"/>
              </w:rPr>
              <w:t>供电工程</w:t>
            </w:r>
          </w:p>
          <w:p w14:paraId="7629AD4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center"/>
              <w:rPr>
                <w:color w:val="auto"/>
                <w:sz w:val="24"/>
                <w:highlight w:val="none"/>
              </w:rPr>
            </w:pPr>
            <w:r>
              <w:rPr>
                <w:color w:val="auto"/>
                <w:sz w:val="24"/>
                <w:highlight w:val="none"/>
              </w:rPr>
              <w:t>本项目用电</w:t>
            </w:r>
            <w:r>
              <w:rPr>
                <w:rFonts w:hint="eastAsia"/>
                <w:color w:val="auto"/>
                <w:sz w:val="24"/>
                <w:highlight w:val="none"/>
              </w:rPr>
              <w:t>由当地供电所提供</w:t>
            </w:r>
            <w:r>
              <w:rPr>
                <w:color w:val="auto"/>
                <w:sz w:val="24"/>
                <w:highlight w:val="none"/>
              </w:rPr>
              <w:t>。</w:t>
            </w:r>
          </w:p>
          <w:p w14:paraId="6EF52C2B">
            <w:pPr>
              <w:pStyle w:val="46"/>
              <w:keepNext w:val="0"/>
              <w:keepLines w:val="0"/>
              <w:pageBreakBefore w:val="0"/>
              <w:widowControl w:val="0"/>
              <w:kinsoku/>
              <w:overflowPunct/>
              <w:topLinePunct/>
              <w:bidi w:val="0"/>
              <w:rPr>
                <w:color w:val="auto"/>
                <w:highlight w:val="none"/>
                <w:lang w:val="en-US" w:eastAsia="zh-CN"/>
              </w:rPr>
            </w:pPr>
            <w:r>
              <w:rPr>
                <w:rFonts w:hint="eastAsia"/>
                <w:color w:val="auto"/>
                <w:highlight w:val="none"/>
                <w:lang w:val="en-US" w:eastAsia="zh-CN"/>
              </w:rPr>
              <w:t>（3）供热工程</w:t>
            </w:r>
          </w:p>
          <w:p w14:paraId="6900DE90">
            <w:pPr>
              <w:pStyle w:val="46"/>
              <w:bidi w:val="0"/>
              <w:rPr>
                <w:color w:val="auto"/>
                <w:highlight w:val="none"/>
              </w:rPr>
            </w:pPr>
            <w:r>
              <w:rPr>
                <w:rFonts w:hint="eastAsia"/>
                <w:highlight w:val="none"/>
                <w:lang w:val="en-US" w:eastAsia="zh-CN"/>
              </w:rPr>
              <w:t>综合室</w:t>
            </w:r>
            <w:r>
              <w:rPr>
                <w:highlight w:val="none"/>
              </w:rPr>
              <w:t>冬季供暖采用</w:t>
            </w:r>
            <w:r>
              <w:rPr>
                <w:rFonts w:hint="eastAsia"/>
                <w:highlight w:val="none"/>
                <w:lang w:eastAsia="zh-CN"/>
              </w:rPr>
              <w:t>电暖器取暖</w:t>
            </w:r>
            <w:r>
              <w:rPr>
                <w:highlight w:val="none"/>
              </w:rPr>
              <w:t>，</w:t>
            </w:r>
            <w:r>
              <w:rPr>
                <w:rFonts w:hint="eastAsia"/>
                <w:highlight w:val="none"/>
                <w:lang w:eastAsia="zh-CN"/>
              </w:rPr>
              <w:t>热风炉房、原粮库、干粮库等冬季无需供暖。</w:t>
            </w:r>
          </w:p>
          <w:p w14:paraId="249EBA1E">
            <w:pPr>
              <w:pStyle w:val="46"/>
              <w:bidi w:val="0"/>
              <w:rPr>
                <w:rFonts w:hint="default" w:ascii="Times New Roman" w:hAnsi="Times New Roman" w:cs="Times New Roman"/>
                <w:b/>
                <w:bCs/>
                <w:color w:val="auto"/>
                <w:highlight w:val="none"/>
              </w:rPr>
            </w:pPr>
            <w:r>
              <w:rPr>
                <w:rFonts w:hint="eastAsia" w:cs="Times New Roman"/>
                <w:b/>
                <w:bCs/>
                <w:color w:val="auto"/>
                <w:highlight w:val="none"/>
                <w:lang w:eastAsia="zh-CN"/>
              </w:rPr>
              <w:t>6.</w:t>
            </w:r>
            <w:r>
              <w:rPr>
                <w:rFonts w:hint="default" w:ascii="Times New Roman" w:hAnsi="Times New Roman" w:cs="Times New Roman"/>
                <w:b/>
                <w:bCs/>
                <w:color w:val="auto"/>
                <w:highlight w:val="none"/>
              </w:rPr>
              <w:t>劳动定员及工作制度</w:t>
            </w:r>
          </w:p>
          <w:p w14:paraId="7D862581">
            <w:pPr>
              <w:pStyle w:val="46"/>
              <w:bidi w:val="0"/>
              <w:rPr>
                <w:color w:val="auto"/>
                <w:highlight w:val="none"/>
                <w:lang w:val="en-US" w:eastAsia="zh-CN"/>
              </w:rPr>
            </w:pPr>
            <w:r>
              <w:rPr>
                <w:color w:val="auto"/>
                <w:highlight w:val="none"/>
                <w:lang w:val="en-US" w:eastAsia="zh-CN"/>
              </w:rPr>
              <w:t>本项目建成后工作人员约</w:t>
            </w:r>
            <w:r>
              <w:rPr>
                <w:rFonts w:hint="eastAsia"/>
                <w:color w:val="auto"/>
                <w:highlight w:val="none"/>
                <w:lang w:val="en-US" w:eastAsia="zh-CN"/>
              </w:rPr>
              <w:t>8</w:t>
            </w:r>
            <w:r>
              <w:rPr>
                <w:color w:val="auto"/>
                <w:highlight w:val="none"/>
                <w:lang w:val="en-US" w:eastAsia="zh-CN"/>
              </w:rPr>
              <w:t>人，不设食堂</w:t>
            </w:r>
            <w:r>
              <w:rPr>
                <w:rFonts w:hint="eastAsia"/>
                <w:color w:val="auto"/>
                <w:highlight w:val="none"/>
                <w:lang w:val="en-US" w:eastAsia="zh-CN"/>
              </w:rPr>
              <w:t>，办公室为宿舍，</w:t>
            </w:r>
            <w:r>
              <w:rPr>
                <w:color w:val="auto"/>
                <w:highlight w:val="none"/>
                <w:lang w:val="en-US" w:eastAsia="zh-CN"/>
              </w:rPr>
              <w:t>年工作</w:t>
            </w:r>
            <w:r>
              <w:rPr>
                <w:rFonts w:hint="eastAsia"/>
                <w:color w:val="auto"/>
                <w:highlight w:val="none"/>
                <w:lang w:val="en-US" w:eastAsia="zh-CN"/>
              </w:rPr>
              <w:t>60</w:t>
            </w:r>
            <w:r>
              <w:rPr>
                <w:color w:val="auto"/>
                <w:highlight w:val="none"/>
                <w:lang w:val="en-US" w:eastAsia="zh-CN"/>
              </w:rPr>
              <w:t>天</w:t>
            </w:r>
            <w:r>
              <w:rPr>
                <w:rFonts w:hint="eastAsia"/>
                <w:color w:val="auto"/>
                <w:highlight w:val="none"/>
                <w:lang w:val="en-US" w:eastAsia="zh-CN"/>
              </w:rPr>
              <w:t>（11月-12月），</w:t>
            </w:r>
            <w:r>
              <w:rPr>
                <w:color w:val="auto"/>
                <w:highlight w:val="none"/>
                <w:lang w:val="en-US" w:eastAsia="zh-CN"/>
              </w:rPr>
              <w:t>每天工作24小时，3班制。</w:t>
            </w:r>
          </w:p>
          <w:p w14:paraId="77A31E2C">
            <w:pPr>
              <w:ind w:firstLine="482" w:firstLineChars="200"/>
              <w:contextualSpacing/>
              <w:jc w:val="left"/>
              <w:rPr>
                <w:rFonts w:hint="default" w:ascii="Times New Roman" w:hAnsi="Times New Roman" w:cs="Times New Roman"/>
                <w:b/>
                <w:bCs/>
                <w:color w:val="auto"/>
                <w:highlight w:val="none"/>
              </w:rPr>
            </w:pPr>
            <w:r>
              <w:rPr>
                <w:rFonts w:hint="eastAsia" w:cs="Times New Roman"/>
                <w:b/>
                <w:bCs/>
                <w:color w:val="auto"/>
                <w:highlight w:val="none"/>
                <w:lang w:eastAsia="zh-CN"/>
              </w:rPr>
              <w:t>7.</w:t>
            </w:r>
            <w:r>
              <w:rPr>
                <w:rFonts w:hint="default" w:ascii="Times New Roman" w:hAnsi="Times New Roman" w:cs="Times New Roman"/>
                <w:b/>
                <w:bCs/>
                <w:color w:val="auto"/>
                <w:highlight w:val="none"/>
              </w:rPr>
              <w:t>厂区平面布置</w:t>
            </w:r>
          </w:p>
          <w:p w14:paraId="2CCF703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center"/>
              <w:rPr>
                <w:color w:val="auto"/>
                <w:sz w:val="24"/>
                <w:szCs w:val="24"/>
                <w:highlight w:val="none"/>
              </w:rPr>
            </w:pPr>
            <w:r>
              <w:rPr>
                <w:color w:val="auto"/>
                <w:sz w:val="24"/>
                <w:szCs w:val="24"/>
                <w:highlight w:val="none"/>
              </w:rPr>
              <w:t>本项目总占地面积</w:t>
            </w:r>
            <w:r>
              <w:rPr>
                <w:rFonts w:hint="eastAsia"/>
                <w:color w:val="auto"/>
                <w:sz w:val="24"/>
                <w:szCs w:val="24"/>
                <w:highlight w:val="none"/>
                <w:lang w:val="en-US" w:eastAsia="zh-CN"/>
              </w:rPr>
              <w:t>39522m</w:t>
            </w:r>
            <w:r>
              <w:rPr>
                <w:rFonts w:hint="eastAsia"/>
                <w:color w:val="auto"/>
                <w:sz w:val="24"/>
                <w:szCs w:val="24"/>
                <w:highlight w:val="none"/>
                <w:vertAlign w:val="superscript"/>
                <w:lang w:eastAsia="zh-CN"/>
              </w:rPr>
              <w:t>2</w:t>
            </w:r>
            <w:r>
              <w:rPr>
                <w:rFonts w:hint="eastAsia"/>
                <w:color w:val="auto"/>
                <w:sz w:val="24"/>
                <w:szCs w:val="24"/>
                <w:highlight w:val="none"/>
                <w:vertAlign w:val="baseline"/>
                <w:lang w:eastAsia="zh-CN"/>
              </w:rPr>
              <w:t>。</w:t>
            </w:r>
            <w:r>
              <w:rPr>
                <w:rFonts w:hint="eastAsia"/>
                <w:color w:val="auto"/>
                <w:sz w:val="24"/>
                <w:szCs w:val="24"/>
                <w:highlight w:val="none"/>
                <w:vertAlign w:val="baseline"/>
                <w:lang w:val="en-US" w:eastAsia="zh-CN"/>
              </w:rPr>
              <w:t>厂区主入口位于厂区北侧，临近道路，入场为地磅及</w:t>
            </w:r>
            <w:r>
              <w:rPr>
                <w:rFonts w:hint="eastAsia" w:cs="Times New Roman"/>
                <w:color w:val="auto"/>
                <w:kern w:val="2"/>
                <w:sz w:val="24"/>
                <w:szCs w:val="24"/>
                <w:highlight w:val="none"/>
                <w:lang w:val="en-US" w:eastAsia="zh-CN" w:bidi="ar-SA"/>
              </w:rPr>
              <w:t>综合室</w:t>
            </w:r>
            <w:r>
              <w:rPr>
                <w:rFonts w:hint="eastAsia"/>
                <w:color w:val="auto"/>
                <w:sz w:val="24"/>
                <w:szCs w:val="24"/>
                <w:highlight w:val="none"/>
                <w:vertAlign w:val="baseline"/>
                <w:lang w:val="en-US" w:eastAsia="zh-CN"/>
              </w:rPr>
              <w:t>，综合室西侧为干粮库，热风炉房及烘干塔位于厂区中部区域，原粮库、圆形原粮筒仓位于东侧、南侧区域</w:t>
            </w:r>
            <w:r>
              <w:rPr>
                <w:color w:val="auto"/>
                <w:sz w:val="24"/>
                <w:szCs w:val="24"/>
                <w:highlight w:val="none"/>
              </w:rPr>
              <w:t>。本项目平面布置图见附图</w:t>
            </w:r>
            <w:r>
              <w:rPr>
                <w:rFonts w:hint="eastAsia"/>
                <w:color w:val="auto"/>
                <w:sz w:val="24"/>
                <w:szCs w:val="24"/>
                <w:highlight w:val="none"/>
                <w:lang w:val="en-US" w:eastAsia="zh-CN"/>
              </w:rPr>
              <w:t>3</w:t>
            </w:r>
            <w:r>
              <w:rPr>
                <w:color w:val="auto"/>
                <w:sz w:val="24"/>
                <w:szCs w:val="24"/>
                <w:highlight w:val="none"/>
              </w:rPr>
              <w:t>。</w:t>
            </w:r>
          </w:p>
          <w:p w14:paraId="0ADF8ED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center"/>
              <w:rPr>
                <w:color w:val="auto"/>
                <w:sz w:val="24"/>
                <w:highlight w:val="none"/>
              </w:rPr>
            </w:pPr>
            <w:r>
              <w:rPr>
                <w:color w:val="auto"/>
                <w:sz w:val="24"/>
                <w:highlight w:val="none"/>
              </w:rPr>
              <w:t>本项目综合考虑厂区</w:t>
            </w:r>
            <w:r>
              <w:rPr>
                <w:rFonts w:hint="eastAsia"/>
                <w:color w:val="auto"/>
                <w:sz w:val="24"/>
                <w:highlight w:val="none"/>
              </w:rPr>
              <w:t>供</w:t>
            </w:r>
            <w:r>
              <w:rPr>
                <w:color w:val="auto"/>
                <w:sz w:val="24"/>
                <w:highlight w:val="none"/>
              </w:rPr>
              <w:t>水、</w:t>
            </w:r>
            <w:r>
              <w:rPr>
                <w:rFonts w:hint="eastAsia"/>
                <w:color w:val="auto"/>
                <w:sz w:val="24"/>
                <w:highlight w:val="none"/>
              </w:rPr>
              <w:t>供</w:t>
            </w:r>
            <w:r>
              <w:rPr>
                <w:color w:val="auto"/>
                <w:sz w:val="24"/>
                <w:highlight w:val="none"/>
              </w:rPr>
              <w:t>电等</w:t>
            </w:r>
            <w:r>
              <w:rPr>
                <w:rFonts w:hint="eastAsia"/>
                <w:color w:val="auto"/>
                <w:sz w:val="24"/>
                <w:highlight w:val="none"/>
                <w:lang w:eastAsia="zh-CN"/>
              </w:rPr>
              <w:t>基础设施建设</w:t>
            </w:r>
            <w:r>
              <w:rPr>
                <w:color w:val="auto"/>
                <w:sz w:val="24"/>
                <w:highlight w:val="none"/>
              </w:rPr>
              <w:t>，生产流程顺畅，物流运输路线合理，原料产品输送距离短，满足消防安全等要求。厂区平面布置功能区明确，交通便利，建筑构筑物布置规范，本项目平面布置合理。</w:t>
            </w:r>
          </w:p>
          <w:p w14:paraId="3CB2CF7F">
            <w:pPr>
              <w:pStyle w:val="46"/>
              <w:bidi w:val="0"/>
              <w:rPr>
                <w:rFonts w:hint="default" w:ascii="Times New Roman" w:hAnsi="Times New Roman" w:cs="Times New Roman"/>
                <w:b/>
                <w:bCs/>
                <w:color w:val="auto"/>
                <w:highlight w:val="none"/>
              </w:rPr>
            </w:pPr>
            <w:r>
              <w:rPr>
                <w:rFonts w:hint="eastAsia" w:cs="Times New Roman"/>
                <w:b/>
                <w:bCs/>
                <w:color w:val="auto"/>
                <w:highlight w:val="none"/>
                <w:lang w:eastAsia="zh-CN"/>
              </w:rPr>
              <w:t>8.</w:t>
            </w:r>
            <w:r>
              <w:rPr>
                <w:rFonts w:hint="default" w:ascii="Times New Roman" w:hAnsi="Times New Roman" w:cs="Times New Roman"/>
                <w:b/>
                <w:bCs/>
                <w:color w:val="auto"/>
                <w:highlight w:val="none"/>
              </w:rPr>
              <w:t>环保投资</w:t>
            </w:r>
          </w:p>
          <w:p w14:paraId="0255E9E7">
            <w:pPr>
              <w:wordWrap w:val="0"/>
              <w:topLinePunct/>
              <w:ind w:firstLine="480" w:firstLineChars="200"/>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本项目总投资</w:t>
            </w:r>
            <w:r>
              <w:rPr>
                <w:rFonts w:hint="eastAsia" w:cs="Times New Roman"/>
                <w:color w:val="auto"/>
                <w:highlight w:val="none"/>
                <w:lang w:val="en-US" w:eastAsia="zh-CN"/>
              </w:rPr>
              <w:t>200</w:t>
            </w:r>
            <w:r>
              <w:rPr>
                <w:rFonts w:hint="default" w:ascii="Times New Roman" w:hAnsi="Times New Roman" w:cs="Times New Roman"/>
                <w:color w:val="auto"/>
                <w:highlight w:val="none"/>
              </w:rPr>
              <w:t>万元，环保投资</w:t>
            </w:r>
            <w:r>
              <w:rPr>
                <w:rFonts w:hint="eastAsia" w:cs="Times New Roman"/>
                <w:color w:val="auto"/>
                <w:highlight w:val="none"/>
                <w:lang w:val="en-US" w:eastAsia="zh-CN"/>
              </w:rPr>
              <w:t>26.6</w:t>
            </w:r>
            <w:r>
              <w:rPr>
                <w:rFonts w:hint="default" w:ascii="Times New Roman" w:hAnsi="Times New Roman" w:cs="Times New Roman"/>
                <w:color w:val="auto"/>
                <w:highlight w:val="none"/>
              </w:rPr>
              <w:t>万元，环保总投资占项目总投资的</w:t>
            </w:r>
            <w:r>
              <w:rPr>
                <w:rFonts w:hint="eastAsia" w:cs="Times New Roman"/>
                <w:color w:val="auto"/>
                <w:highlight w:val="none"/>
                <w:lang w:val="en-US" w:eastAsia="zh-CN"/>
              </w:rPr>
              <w:t>13.3</w:t>
            </w:r>
            <w:r>
              <w:rPr>
                <w:rFonts w:hint="default" w:ascii="Times New Roman" w:hAnsi="Times New Roman" w:cs="Times New Roman"/>
                <w:color w:val="auto"/>
                <w:highlight w:val="none"/>
              </w:rPr>
              <w:t>%。环保投资详见表2-</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5E7AC154">
            <w:pPr>
              <w:pStyle w:val="55"/>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表2-</w:t>
            </w:r>
            <w:r>
              <w:rPr>
                <w:rFonts w:hint="eastAsia" w:cs="Times New Roman"/>
                <w:color w:val="auto"/>
                <w:highlight w:val="none"/>
                <w:lang w:val="en-US" w:eastAsia="zh-CN"/>
              </w:rPr>
              <w:t>5</w:t>
            </w:r>
            <w:r>
              <w:rPr>
                <w:rFonts w:hint="default" w:ascii="Times New Roman" w:hAnsi="Times New Roman" w:cs="Times New Roman"/>
                <w:color w:val="auto"/>
                <w:highlight w:val="none"/>
              </w:rPr>
              <w:t xml:space="preserve">   本项目环境保护投资一览表</w:t>
            </w:r>
            <w:r>
              <w:rPr>
                <w:rFonts w:hint="eastAsia" w:cs="Times New Roman"/>
                <w:color w:val="auto"/>
                <w:highlight w:val="none"/>
                <w:lang w:val="en-US" w:eastAsia="zh-CN"/>
              </w:rPr>
              <w:t xml:space="preserve">  单位：万元</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5"/>
              <w:gridCol w:w="762"/>
              <w:gridCol w:w="1530"/>
              <w:gridCol w:w="3970"/>
              <w:gridCol w:w="787"/>
            </w:tblGrid>
            <w:tr w14:paraId="11B20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5" w:type="pct"/>
                  <w:gridSpan w:val="2"/>
                  <w:tcBorders>
                    <w:tl2br w:val="nil"/>
                    <w:tr2bl w:val="nil"/>
                  </w:tcBorders>
                  <w:vAlign w:val="center"/>
                </w:tcPr>
                <w:p w14:paraId="3C470A20">
                  <w:pPr>
                    <w:pStyle w:val="60"/>
                    <w:bidi w:val="0"/>
                    <w:rPr>
                      <w:color w:val="auto"/>
                      <w:highlight w:val="none"/>
                      <w:lang w:val="en-US" w:eastAsia="zh-CN"/>
                    </w:rPr>
                  </w:pPr>
                  <w:r>
                    <w:rPr>
                      <w:color w:val="auto"/>
                      <w:highlight w:val="none"/>
                      <w:lang w:val="en-US" w:eastAsia="zh-CN"/>
                    </w:rPr>
                    <w:t>投资项目</w:t>
                  </w:r>
                </w:p>
              </w:tc>
              <w:tc>
                <w:tcPr>
                  <w:tcW w:w="1020" w:type="pct"/>
                  <w:tcBorders>
                    <w:tl2br w:val="nil"/>
                    <w:tr2bl w:val="nil"/>
                  </w:tcBorders>
                  <w:vAlign w:val="center"/>
                </w:tcPr>
                <w:p w14:paraId="4E5FDD7F">
                  <w:pPr>
                    <w:pStyle w:val="60"/>
                    <w:bidi w:val="0"/>
                    <w:rPr>
                      <w:color w:val="auto"/>
                      <w:highlight w:val="none"/>
                      <w:lang w:val="en-US" w:eastAsia="zh-CN"/>
                    </w:rPr>
                  </w:pPr>
                  <w:r>
                    <w:rPr>
                      <w:color w:val="auto"/>
                      <w:highlight w:val="none"/>
                      <w:lang w:val="en-US" w:eastAsia="zh-CN"/>
                    </w:rPr>
                    <w:t>污染源</w:t>
                  </w:r>
                </w:p>
              </w:tc>
              <w:tc>
                <w:tcPr>
                  <w:tcW w:w="2648" w:type="pct"/>
                  <w:tcBorders>
                    <w:tl2br w:val="nil"/>
                    <w:tr2bl w:val="nil"/>
                  </w:tcBorders>
                  <w:vAlign w:val="center"/>
                </w:tcPr>
                <w:p w14:paraId="6DD5AB86">
                  <w:pPr>
                    <w:pStyle w:val="60"/>
                    <w:bidi w:val="0"/>
                    <w:rPr>
                      <w:color w:val="auto"/>
                      <w:highlight w:val="none"/>
                      <w:lang w:val="en-US" w:eastAsia="zh-CN"/>
                    </w:rPr>
                  </w:pPr>
                  <w:r>
                    <w:rPr>
                      <w:color w:val="auto"/>
                      <w:highlight w:val="none"/>
                      <w:lang w:val="en-US" w:eastAsia="zh-CN"/>
                    </w:rPr>
                    <w:t>具体措施</w:t>
                  </w:r>
                </w:p>
              </w:tc>
              <w:tc>
                <w:tcPr>
                  <w:tcW w:w="525" w:type="pct"/>
                  <w:tcBorders>
                    <w:tl2br w:val="nil"/>
                    <w:tr2bl w:val="nil"/>
                  </w:tcBorders>
                  <w:vAlign w:val="center"/>
                </w:tcPr>
                <w:p w14:paraId="42704A33">
                  <w:pPr>
                    <w:pStyle w:val="60"/>
                    <w:bidi w:val="0"/>
                    <w:rPr>
                      <w:color w:val="auto"/>
                      <w:highlight w:val="none"/>
                      <w:lang w:val="en-US" w:eastAsia="zh-CN"/>
                    </w:rPr>
                  </w:pPr>
                  <w:r>
                    <w:rPr>
                      <w:color w:val="auto"/>
                      <w:highlight w:val="none"/>
                      <w:lang w:val="en-US" w:eastAsia="zh-CN"/>
                    </w:rPr>
                    <w:t>投资</w:t>
                  </w:r>
                </w:p>
              </w:tc>
            </w:tr>
            <w:tr w14:paraId="65191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5" w:type="pct"/>
                  <w:gridSpan w:val="2"/>
                  <w:tcBorders>
                    <w:tl2br w:val="nil"/>
                    <w:tr2bl w:val="nil"/>
                  </w:tcBorders>
                  <w:vAlign w:val="center"/>
                </w:tcPr>
                <w:p w14:paraId="6A781C0F">
                  <w:pPr>
                    <w:pStyle w:val="56"/>
                    <w:bidi w:val="0"/>
                    <w:ind w:left="0" w:leftChars="0" w:firstLine="0" w:firstLineChars="0"/>
                    <w:rPr>
                      <w:rFonts w:hint="eastAsia"/>
                      <w:color w:val="auto"/>
                      <w:highlight w:val="none"/>
                      <w:lang w:val="en-US" w:eastAsia="zh-CN"/>
                    </w:rPr>
                  </w:pPr>
                  <w:bookmarkStart w:id="8" w:name="_Hlk494356174"/>
                  <w:r>
                    <w:rPr>
                      <w:rFonts w:hint="eastAsia"/>
                      <w:color w:val="auto"/>
                      <w:highlight w:val="none"/>
                      <w:lang w:val="en-US" w:eastAsia="zh-CN"/>
                    </w:rPr>
                    <w:t>施工期</w:t>
                  </w:r>
                </w:p>
              </w:tc>
              <w:tc>
                <w:tcPr>
                  <w:tcW w:w="1020" w:type="pct"/>
                  <w:tcBorders>
                    <w:tl2br w:val="nil"/>
                    <w:tr2bl w:val="nil"/>
                  </w:tcBorders>
                  <w:vAlign w:val="center"/>
                </w:tcPr>
                <w:p w14:paraId="142411B8">
                  <w:pPr>
                    <w:pStyle w:val="60"/>
                    <w:bidi w:val="0"/>
                    <w:rPr>
                      <w:color w:val="auto"/>
                      <w:highlight w:val="none"/>
                      <w:lang w:val="en-US" w:eastAsia="zh-CN"/>
                    </w:rPr>
                  </w:pPr>
                  <w:r>
                    <w:rPr>
                      <w:rFonts w:hint="default"/>
                      <w:color w:val="auto"/>
                      <w:highlight w:val="none"/>
                    </w:rPr>
                    <w:t>废气</w:t>
                  </w:r>
                  <w:r>
                    <w:rPr>
                      <w:rFonts w:hint="default"/>
                      <w:color w:val="auto"/>
                      <w:highlight w:val="none"/>
                      <w:lang w:eastAsia="zh-CN"/>
                    </w:rPr>
                    <w:t>、</w:t>
                  </w:r>
                  <w:r>
                    <w:rPr>
                      <w:rFonts w:hint="default"/>
                      <w:color w:val="auto"/>
                      <w:highlight w:val="none"/>
                    </w:rPr>
                    <w:t>废水</w:t>
                  </w:r>
                  <w:r>
                    <w:rPr>
                      <w:rFonts w:hint="default"/>
                      <w:color w:val="auto"/>
                      <w:highlight w:val="none"/>
                      <w:lang w:eastAsia="zh-CN"/>
                    </w:rPr>
                    <w:t>、</w:t>
                  </w:r>
                  <w:r>
                    <w:rPr>
                      <w:rFonts w:hint="default"/>
                      <w:color w:val="auto"/>
                      <w:highlight w:val="none"/>
                    </w:rPr>
                    <w:t>噪声</w:t>
                  </w:r>
                  <w:r>
                    <w:rPr>
                      <w:rFonts w:hint="default"/>
                      <w:color w:val="auto"/>
                      <w:highlight w:val="none"/>
                      <w:lang w:eastAsia="zh-CN"/>
                    </w:rPr>
                    <w:t>、</w:t>
                  </w:r>
                  <w:r>
                    <w:rPr>
                      <w:rFonts w:hint="default"/>
                      <w:color w:val="auto"/>
                      <w:highlight w:val="none"/>
                    </w:rPr>
                    <w:t>固体废物</w:t>
                  </w:r>
                </w:p>
              </w:tc>
              <w:tc>
                <w:tcPr>
                  <w:tcW w:w="2648" w:type="pct"/>
                  <w:tcBorders>
                    <w:tl2br w:val="nil"/>
                    <w:tr2bl w:val="nil"/>
                  </w:tcBorders>
                  <w:vAlign w:val="center"/>
                </w:tcPr>
                <w:p w14:paraId="207CE65D">
                  <w:pPr>
                    <w:pStyle w:val="49"/>
                    <w:bidi w:val="0"/>
                    <w:rPr>
                      <w:color w:val="auto"/>
                      <w:highlight w:val="none"/>
                      <w:lang w:val="en-US" w:eastAsia="zh-CN"/>
                    </w:rPr>
                  </w:pPr>
                  <w:r>
                    <w:rPr>
                      <w:rFonts w:hint="default"/>
                      <w:color w:val="auto"/>
                      <w:highlight w:val="none"/>
                      <w:lang w:val="en-US" w:eastAsia="zh-CN"/>
                    </w:rPr>
                    <w:t>施工扬尘施工边界设置围挡、洒水降尘；施工人员产生的生活</w:t>
                  </w:r>
                  <w:r>
                    <w:rPr>
                      <w:rFonts w:hint="default"/>
                      <w:color w:val="auto"/>
                      <w:highlight w:val="none"/>
                    </w:rPr>
                    <w:t>污水</w:t>
                  </w:r>
                  <w:r>
                    <w:rPr>
                      <w:rFonts w:hint="eastAsia"/>
                      <w:color w:val="auto"/>
                      <w:highlight w:val="none"/>
                      <w:lang w:val="en-US" w:eastAsia="zh-CN"/>
                    </w:rPr>
                    <w:t>设置临时防渗旱厕</w:t>
                  </w:r>
                  <w:r>
                    <w:rPr>
                      <w:rFonts w:hint="default"/>
                      <w:color w:val="auto"/>
                      <w:highlight w:val="none"/>
                      <w:lang w:val="en-US" w:eastAsia="zh-CN"/>
                    </w:rPr>
                    <w:t>；安装机械噪声采用低噪声设备，运输车辆均</w:t>
                  </w:r>
                  <w:r>
                    <w:rPr>
                      <w:rFonts w:hint="default"/>
                      <w:color w:val="auto"/>
                      <w:highlight w:val="none"/>
                      <w:lang w:eastAsia="zh-CN"/>
                    </w:rPr>
                    <w:t>；</w:t>
                  </w:r>
                  <w:r>
                    <w:rPr>
                      <w:rFonts w:hint="default"/>
                      <w:color w:val="auto"/>
                      <w:highlight w:val="none"/>
                    </w:rPr>
                    <w:t>固废</w:t>
                  </w:r>
                  <w:r>
                    <w:rPr>
                      <w:rFonts w:hint="default"/>
                      <w:color w:val="auto"/>
                      <w:highlight w:val="none"/>
                      <w:lang w:val="en-US" w:eastAsia="zh-CN"/>
                    </w:rPr>
                    <w:t>为少量建筑生活垃圾与废弃包装及时交由市政环卫处置</w:t>
                  </w:r>
                </w:p>
              </w:tc>
              <w:tc>
                <w:tcPr>
                  <w:tcW w:w="525" w:type="pct"/>
                  <w:tcBorders>
                    <w:tl2br w:val="nil"/>
                    <w:tr2bl w:val="nil"/>
                  </w:tcBorders>
                  <w:vAlign w:val="center"/>
                </w:tcPr>
                <w:p w14:paraId="221F8219">
                  <w:pPr>
                    <w:pStyle w:val="60"/>
                    <w:bidi w:val="0"/>
                    <w:rPr>
                      <w:rFonts w:hint="default"/>
                      <w:color w:val="auto"/>
                      <w:highlight w:val="none"/>
                      <w:lang w:val="en-US" w:eastAsia="zh-CN"/>
                    </w:rPr>
                  </w:pPr>
                  <w:r>
                    <w:rPr>
                      <w:rFonts w:hint="eastAsia"/>
                      <w:color w:val="auto"/>
                      <w:highlight w:val="none"/>
                      <w:lang w:val="en-US" w:eastAsia="zh-CN"/>
                    </w:rPr>
                    <w:t>5</w:t>
                  </w:r>
                </w:p>
              </w:tc>
            </w:tr>
            <w:tr w14:paraId="6DFD11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restart"/>
                  <w:tcBorders>
                    <w:tl2br w:val="nil"/>
                    <w:tr2bl w:val="nil"/>
                  </w:tcBorders>
                  <w:vAlign w:val="center"/>
                </w:tcPr>
                <w:p w14:paraId="3411D9F0">
                  <w:pPr>
                    <w:pStyle w:val="60"/>
                    <w:bidi w:val="0"/>
                    <w:rPr>
                      <w:color w:val="auto"/>
                      <w:highlight w:val="none"/>
                      <w:lang w:val="en-US" w:eastAsia="zh-CN"/>
                    </w:rPr>
                  </w:pPr>
                  <w:r>
                    <w:rPr>
                      <w:color w:val="auto"/>
                      <w:highlight w:val="none"/>
                      <w:lang w:val="en-US" w:eastAsia="zh-CN"/>
                    </w:rPr>
                    <w:t>运营期</w:t>
                  </w:r>
                </w:p>
              </w:tc>
              <w:tc>
                <w:tcPr>
                  <w:tcW w:w="508" w:type="pct"/>
                  <w:vMerge w:val="restart"/>
                  <w:tcBorders>
                    <w:tl2br w:val="nil"/>
                    <w:tr2bl w:val="nil"/>
                  </w:tcBorders>
                  <w:vAlign w:val="center"/>
                </w:tcPr>
                <w:p w14:paraId="7AD1573D">
                  <w:pPr>
                    <w:pStyle w:val="60"/>
                    <w:bidi w:val="0"/>
                    <w:rPr>
                      <w:color w:val="auto"/>
                      <w:highlight w:val="none"/>
                      <w:lang w:val="en-US" w:eastAsia="zh-CN"/>
                    </w:rPr>
                  </w:pPr>
                  <w:r>
                    <w:rPr>
                      <w:color w:val="auto"/>
                      <w:highlight w:val="none"/>
                      <w:lang w:val="en-US" w:eastAsia="zh-CN"/>
                    </w:rPr>
                    <w:t>废气处理</w:t>
                  </w:r>
                </w:p>
              </w:tc>
              <w:tc>
                <w:tcPr>
                  <w:tcW w:w="1020" w:type="pct"/>
                  <w:tcBorders>
                    <w:tl2br w:val="nil"/>
                    <w:tr2bl w:val="nil"/>
                  </w:tcBorders>
                  <w:vAlign w:val="center"/>
                </w:tcPr>
                <w:p w14:paraId="3D160F2D">
                  <w:pPr>
                    <w:pStyle w:val="60"/>
                    <w:bidi w:val="0"/>
                    <w:rPr>
                      <w:color w:val="auto"/>
                      <w:highlight w:val="none"/>
                      <w:lang w:val="en-US" w:eastAsia="zh-CN"/>
                    </w:rPr>
                  </w:pPr>
                  <w:r>
                    <w:rPr>
                      <w:rFonts w:hint="eastAsia"/>
                      <w:color w:val="auto"/>
                      <w:highlight w:val="none"/>
                      <w:lang w:val="en-US" w:eastAsia="zh-CN"/>
                    </w:rPr>
                    <w:t>热风炉</w:t>
                  </w:r>
                  <w:r>
                    <w:rPr>
                      <w:color w:val="auto"/>
                      <w:highlight w:val="none"/>
                      <w:lang w:val="en-US" w:eastAsia="zh-CN"/>
                    </w:rPr>
                    <w:t>烟气</w:t>
                  </w:r>
                </w:p>
              </w:tc>
              <w:tc>
                <w:tcPr>
                  <w:tcW w:w="2648" w:type="pct"/>
                  <w:tcBorders>
                    <w:tl2br w:val="nil"/>
                    <w:tr2bl w:val="nil"/>
                  </w:tcBorders>
                  <w:vAlign w:val="center"/>
                </w:tcPr>
                <w:p w14:paraId="1824C61F">
                  <w:pPr>
                    <w:pStyle w:val="60"/>
                    <w:bidi w:val="0"/>
                    <w:rPr>
                      <w:color w:val="auto"/>
                      <w:highlight w:val="none"/>
                      <w:lang w:val="en-US" w:eastAsia="zh-CN"/>
                    </w:rPr>
                  </w:pPr>
                  <w:r>
                    <w:rPr>
                      <w:color w:val="auto"/>
                      <w:highlight w:val="none"/>
                      <w:lang w:val="en-US" w:eastAsia="zh-CN"/>
                    </w:rPr>
                    <w:t>布袋除尘器+15m烟囱</w:t>
                  </w:r>
                </w:p>
              </w:tc>
              <w:tc>
                <w:tcPr>
                  <w:tcW w:w="525" w:type="pct"/>
                  <w:tcBorders>
                    <w:tl2br w:val="nil"/>
                    <w:tr2bl w:val="nil"/>
                  </w:tcBorders>
                  <w:vAlign w:val="center"/>
                </w:tcPr>
                <w:p w14:paraId="5D6F6E78">
                  <w:pPr>
                    <w:pStyle w:val="60"/>
                    <w:bidi w:val="0"/>
                    <w:rPr>
                      <w:rFonts w:hint="default"/>
                      <w:color w:val="auto"/>
                      <w:highlight w:val="none"/>
                      <w:lang w:val="en-US" w:eastAsia="zh-CN"/>
                    </w:rPr>
                  </w:pPr>
                  <w:r>
                    <w:rPr>
                      <w:rFonts w:hint="eastAsia"/>
                      <w:color w:val="auto"/>
                      <w:highlight w:val="none"/>
                      <w:lang w:val="en-US" w:eastAsia="zh-CN"/>
                    </w:rPr>
                    <w:t>6</w:t>
                  </w:r>
                </w:p>
              </w:tc>
            </w:tr>
            <w:tr w14:paraId="413FC1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0DD187A7">
                  <w:pPr>
                    <w:pStyle w:val="60"/>
                    <w:bidi w:val="0"/>
                    <w:rPr>
                      <w:color w:val="auto"/>
                      <w:highlight w:val="none"/>
                      <w:lang w:val="en-US" w:eastAsia="zh-CN"/>
                    </w:rPr>
                  </w:pPr>
                </w:p>
              </w:tc>
              <w:tc>
                <w:tcPr>
                  <w:tcW w:w="508" w:type="pct"/>
                  <w:vMerge w:val="continue"/>
                  <w:tcBorders>
                    <w:tl2br w:val="nil"/>
                    <w:tr2bl w:val="nil"/>
                  </w:tcBorders>
                  <w:vAlign w:val="center"/>
                </w:tcPr>
                <w:p w14:paraId="206DA84F">
                  <w:pPr>
                    <w:pStyle w:val="60"/>
                    <w:bidi w:val="0"/>
                    <w:rPr>
                      <w:color w:val="auto"/>
                      <w:highlight w:val="none"/>
                      <w:lang w:val="en-US" w:eastAsia="zh-CN"/>
                    </w:rPr>
                  </w:pPr>
                </w:p>
              </w:tc>
              <w:tc>
                <w:tcPr>
                  <w:tcW w:w="1020" w:type="pct"/>
                  <w:tcBorders>
                    <w:tl2br w:val="nil"/>
                    <w:tr2bl w:val="nil"/>
                  </w:tcBorders>
                  <w:vAlign w:val="center"/>
                </w:tcPr>
                <w:p w14:paraId="5EA98DFB">
                  <w:pPr>
                    <w:pStyle w:val="60"/>
                    <w:bidi w:val="0"/>
                    <w:rPr>
                      <w:rFonts w:hint="eastAsia"/>
                      <w:color w:val="auto"/>
                      <w:highlight w:val="none"/>
                      <w:lang w:val="en-US" w:eastAsia="zh-CN"/>
                    </w:rPr>
                  </w:pPr>
                  <w:r>
                    <w:rPr>
                      <w:rFonts w:hint="eastAsia"/>
                      <w:color w:val="auto"/>
                      <w:highlight w:val="none"/>
                      <w:lang w:val="en-US" w:eastAsia="zh-CN"/>
                    </w:rPr>
                    <w:t>烘干塔、装卸、输送、筛选废气</w:t>
                  </w:r>
                </w:p>
              </w:tc>
              <w:tc>
                <w:tcPr>
                  <w:tcW w:w="2648" w:type="pct"/>
                  <w:tcBorders>
                    <w:tl2br w:val="nil"/>
                    <w:tr2bl w:val="nil"/>
                  </w:tcBorders>
                  <w:vAlign w:val="center"/>
                </w:tcPr>
                <w:p w14:paraId="60B130DF">
                  <w:pPr>
                    <w:pStyle w:val="60"/>
                    <w:bidi w:val="0"/>
                    <w:rPr>
                      <w:color w:val="auto"/>
                      <w:highlight w:val="none"/>
                      <w:lang w:val="en-US" w:eastAsia="zh-CN"/>
                    </w:rPr>
                  </w:pPr>
                  <w:r>
                    <w:rPr>
                      <w:rFonts w:hint="eastAsia"/>
                      <w:color w:val="auto"/>
                      <w:highlight w:val="none"/>
                      <w:lang w:val="en-US" w:eastAsia="zh-CN"/>
                    </w:rPr>
                    <w:t>采取车间封闭+减小装卸高度、</w:t>
                  </w:r>
                  <w:r>
                    <w:rPr>
                      <w:color w:val="auto"/>
                      <w:highlight w:val="none"/>
                    </w:rPr>
                    <w:t>输送过程采用封闭输送带进行输送</w:t>
                  </w:r>
                  <w:r>
                    <w:rPr>
                      <w:rFonts w:hint="eastAsia"/>
                      <w:color w:val="auto"/>
                      <w:highlight w:val="none"/>
                      <w:lang w:val="en-US" w:eastAsia="zh-CN"/>
                    </w:rPr>
                    <w:t>、清选工艺采用封闭式清理筛、烘干塔塔体两侧排气孔设置折流挡板</w:t>
                  </w:r>
                </w:p>
              </w:tc>
              <w:tc>
                <w:tcPr>
                  <w:tcW w:w="525" w:type="pct"/>
                  <w:tcBorders>
                    <w:tl2br w:val="nil"/>
                    <w:tr2bl w:val="nil"/>
                  </w:tcBorders>
                  <w:vAlign w:val="center"/>
                </w:tcPr>
                <w:p w14:paraId="1B5736F9">
                  <w:pPr>
                    <w:pStyle w:val="60"/>
                    <w:bidi w:val="0"/>
                    <w:rPr>
                      <w:rFonts w:hint="default"/>
                      <w:color w:val="auto"/>
                      <w:highlight w:val="none"/>
                      <w:lang w:val="en-US" w:eastAsia="zh-CN"/>
                    </w:rPr>
                  </w:pPr>
                  <w:r>
                    <w:rPr>
                      <w:rFonts w:hint="eastAsia"/>
                      <w:color w:val="auto"/>
                      <w:highlight w:val="none"/>
                      <w:lang w:val="en-US" w:eastAsia="zh-CN"/>
                    </w:rPr>
                    <w:t>2</w:t>
                  </w:r>
                </w:p>
              </w:tc>
            </w:tr>
            <w:tr w14:paraId="515D9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5CD8DAEF">
                  <w:pPr>
                    <w:pStyle w:val="60"/>
                    <w:bidi w:val="0"/>
                    <w:rPr>
                      <w:color w:val="auto"/>
                      <w:highlight w:val="none"/>
                      <w:lang w:val="en-US" w:eastAsia="zh-CN"/>
                    </w:rPr>
                  </w:pPr>
                </w:p>
              </w:tc>
              <w:tc>
                <w:tcPr>
                  <w:tcW w:w="508" w:type="pct"/>
                  <w:tcBorders>
                    <w:tl2br w:val="nil"/>
                    <w:tr2bl w:val="nil"/>
                  </w:tcBorders>
                  <w:shd w:val="clear" w:color="auto" w:fill="auto"/>
                  <w:vAlign w:val="center"/>
                </w:tcPr>
                <w:p w14:paraId="2B7FF96C">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color w:val="auto"/>
                      <w:highlight w:val="none"/>
                    </w:rPr>
                    <w:t>废水处理</w:t>
                  </w:r>
                </w:p>
              </w:tc>
              <w:tc>
                <w:tcPr>
                  <w:tcW w:w="1020" w:type="pct"/>
                  <w:tcBorders>
                    <w:tl2br w:val="nil"/>
                    <w:tr2bl w:val="nil"/>
                  </w:tcBorders>
                  <w:shd w:val="clear" w:color="auto" w:fill="auto"/>
                  <w:vAlign w:val="center"/>
                </w:tcPr>
                <w:p w14:paraId="7DD5251B">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color w:val="auto"/>
                      <w:highlight w:val="none"/>
                      <w:lang w:val="en-US" w:eastAsia="zh-CN"/>
                    </w:rPr>
                    <w:t>生活污水</w:t>
                  </w:r>
                </w:p>
              </w:tc>
              <w:tc>
                <w:tcPr>
                  <w:tcW w:w="2648" w:type="pct"/>
                  <w:tcBorders>
                    <w:tl2br w:val="nil"/>
                    <w:tr2bl w:val="nil"/>
                  </w:tcBorders>
                  <w:shd w:val="clear" w:color="auto" w:fill="auto"/>
                  <w:vAlign w:val="center"/>
                </w:tcPr>
                <w:p w14:paraId="5BB506B8">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color w:val="auto"/>
                      <w:highlight w:val="none"/>
                      <w:lang w:val="en-US" w:eastAsia="zh-CN"/>
                    </w:rPr>
                    <w:t>防渗旱厕</w:t>
                  </w:r>
                </w:p>
              </w:tc>
              <w:tc>
                <w:tcPr>
                  <w:tcW w:w="525" w:type="pct"/>
                  <w:tcBorders>
                    <w:tl2br w:val="nil"/>
                    <w:tr2bl w:val="nil"/>
                  </w:tcBorders>
                  <w:shd w:val="clear" w:color="auto" w:fill="auto"/>
                  <w:vAlign w:val="center"/>
                </w:tcPr>
                <w:p w14:paraId="349A202E">
                  <w:pPr>
                    <w:pStyle w:val="60"/>
                    <w:bidi w:val="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0.5</w:t>
                  </w:r>
                </w:p>
              </w:tc>
            </w:tr>
            <w:tr w14:paraId="2C2F0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0A2BF479">
                  <w:pPr>
                    <w:pStyle w:val="60"/>
                    <w:bidi w:val="0"/>
                    <w:rPr>
                      <w:color w:val="auto"/>
                      <w:highlight w:val="none"/>
                      <w:lang w:val="en-US" w:eastAsia="zh-CN"/>
                    </w:rPr>
                  </w:pPr>
                </w:p>
              </w:tc>
              <w:tc>
                <w:tcPr>
                  <w:tcW w:w="508" w:type="pct"/>
                  <w:tcBorders>
                    <w:tl2br w:val="nil"/>
                    <w:tr2bl w:val="nil"/>
                  </w:tcBorders>
                  <w:vAlign w:val="center"/>
                </w:tcPr>
                <w:p w14:paraId="1A748346">
                  <w:pPr>
                    <w:pStyle w:val="60"/>
                    <w:bidi w:val="0"/>
                    <w:rPr>
                      <w:color w:val="auto"/>
                      <w:highlight w:val="none"/>
                      <w:lang w:val="en-US" w:eastAsia="zh-CN"/>
                    </w:rPr>
                  </w:pPr>
                  <w:r>
                    <w:rPr>
                      <w:color w:val="auto"/>
                      <w:highlight w:val="none"/>
                      <w:lang w:val="en-US" w:eastAsia="zh-CN"/>
                    </w:rPr>
                    <w:t>噪声处理</w:t>
                  </w:r>
                </w:p>
              </w:tc>
              <w:tc>
                <w:tcPr>
                  <w:tcW w:w="1020" w:type="pct"/>
                  <w:tcBorders>
                    <w:tl2br w:val="nil"/>
                    <w:tr2bl w:val="nil"/>
                  </w:tcBorders>
                  <w:vAlign w:val="center"/>
                </w:tcPr>
                <w:p w14:paraId="6450CEFD">
                  <w:pPr>
                    <w:pStyle w:val="60"/>
                    <w:bidi w:val="0"/>
                    <w:rPr>
                      <w:color w:val="auto"/>
                      <w:highlight w:val="none"/>
                      <w:lang w:val="en-US" w:eastAsia="zh-CN"/>
                    </w:rPr>
                  </w:pPr>
                  <w:r>
                    <w:rPr>
                      <w:color w:val="auto"/>
                      <w:highlight w:val="none"/>
                      <w:lang w:val="en-US" w:eastAsia="zh-CN"/>
                    </w:rPr>
                    <w:t>生产设备</w:t>
                  </w:r>
                </w:p>
              </w:tc>
              <w:tc>
                <w:tcPr>
                  <w:tcW w:w="2648" w:type="pct"/>
                  <w:tcBorders>
                    <w:tl2br w:val="nil"/>
                    <w:tr2bl w:val="nil"/>
                  </w:tcBorders>
                  <w:vAlign w:val="center"/>
                </w:tcPr>
                <w:p w14:paraId="03D46ACE">
                  <w:pPr>
                    <w:pStyle w:val="60"/>
                    <w:bidi w:val="0"/>
                    <w:rPr>
                      <w:color w:val="auto"/>
                      <w:highlight w:val="none"/>
                      <w:lang w:val="en-US" w:eastAsia="zh-CN"/>
                    </w:rPr>
                  </w:pPr>
                  <w:r>
                    <w:rPr>
                      <w:color w:val="auto"/>
                      <w:highlight w:val="none"/>
                      <w:lang w:val="en-US" w:eastAsia="zh-CN"/>
                    </w:rPr>
                    <w:t>选用低噪声设备，设置隔声、减振措施</w:t>
                  </w:r>
                </w:p>
              </w:tc>
              <w:tc>
                <w:tcPr>
                  <w:tcW w:w="525" w:type="pct"/>
                  <w:tcBorders>
                    <w:tl2br w:val="nil"/>
                    <w:tr2bl w:val="nil"/>
                  </w:tcBorders>
                  <w:vAlign w:val="center"/>
                </w:tcPr>
                <w:p w14:paraId="422420A8">
                  <w:pPr>
                    <w:pStyle w:val="60"/>
                    <w:bidi w:val="0"/>
                    <w:rPr>
                      <w:rFonts w:hint="default"/>
                      <w:color w:val="auto"/>
                      <w:highlight w:val="none"/>
                      <w:lang w:val="en-US" w:eastAsia="zh-CN"/>
                    </w:rPr>
                  </w:pPr>
                  <w:r>
                    <w:rPr>
                      <w:rFonts w:hint="eastAsia"/>
                      <w:color w:val="auto"/>
                      <w:highlight w:val="none"/>
                      <w:lang w:val="en-US" w:eastAsia="zh-CN"/>
                    </w:rPr>
                    <w:t>2.5</w:t>
                  </w:r>
                </w:p>
              </w:tc>
            </w:tr>
            <w:tr w14:paraId="202A5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6CE2BDCF">
                  <w:pPr>
                    <w:pStyle w:val="60"/>
                    <w:bidi w:val="0"/>
                    <w:rPr>
                      <w:color w:val="auto"/>
                      <w:highlight w:val="none"/>
                      <w:lang w:val="en-US" w:eastAsia="zh-CN"/>
                    </w:rPr>
                  </w:pPr>
                </w:p>
              </w:tc>
              <w:tc>
                <w:tcPr>
                  <w:tcW w:w="508" w:type="pct"/>
                  <w:vMerge w:val="restart"/>
                  <w:tcBorders>
                    <w:tl2br w:val="nil"/>
                    <w:tr2bl w:val="nil"/>
                  </w:tcBorders>
                  <w:vAlign w:val="center"/>
                </w:tcPr>
                <w:p w14:paraId="16F9E8BC">
                  <w:pPr>
                    <w:pStyle w:val="60"/>
                    <w:bidi w:val="0"/>
                    <w:rPr>
                      <w:color w:val="auto"/>
                      <w:highlight w:val="none"/>
                      <w:lang w:val="en-US" w:eastAsia="zh-CN"/>
                    </w:rPr>
                  </w:pPr>
                  <w:r>
                    <w:rPr>
                      <w:color w:val="auto"/>
                      <w:highlight w:val="none"/>
                      <w:lang w:val="en-US" w:eastAsia="zh-CN"/>
                    </w:rPr>
                    <w:t>固废处理</w:t>
                  </w:r>
                </w:p>
              </w:tc>
              <w:tc>
                <w:tcPr>
                  <w:tcW w:w="1020" w:type="pct"/>
                  <w:tcBorders>
                    <w:tl2br w:val="nil"/>
                    <w:tr2bl w:val="nil"/>
                  </w:tcBorders>
                  <w:vAlign w:val="center"/>
                </w:tcPr>
                <w:p w14:paraId="05922253">
                  <w:pPr>
                    <w:pStyle w:val="60"/>
                    <w:bidi w:val="0"/>
                    <w:rPr>
                      <w:color w:val="auto"/>
                      <w:highlight w:val="none"/>
                      <w:lang w:val="en-US" w:eastAsia="zh-CN"/>
                    </w:rPr>
                  </w:pPr>
                  <w:r>
                    <w:rPr>
                      <w:color w:val="auto"/>
                      <w:highlight w:val="none"/>
                      <w:lang w:val="en-US" w:eastAsia="zh-CN"/>
                    </w:rPr>
                    <w:t>生活垃圾</w:t>
                  </w:r>
                </w:p>
              </w:tc>
              <w:tc>
                <w:tcPr>
                  <w:tcW w:w="3970" w:type="dxa"/>
                  <w:tcBorders>
                    <w:tl2br w:val="nil"/>
                    <w:tr2bl w:val="nil"/>
                  </w:tcBorders>
                  <w:vAlign w:val="center"/>
                </w:tcPr>
                <w:p w14:paraId="23B44DB9">
                  <w:pPr>
                    <w:pStyle w:val="60"/>
                    <w:bidi w:val="0"/>
                    <w:ind w:firstLine="0" w:firstLineChars="0"/>
                    <w:rPr>
                      <w:color w:val="auto"/>
                      <w:highlight w:val="none"/>
                      <w:lang w:val="en-US" w:eastAsia="zh-CN"/>
                    </w:rPr>
                  </w:pPr>
                  <w:r>
                    <w:rPr>
                      <w:color w:val="auto"/>
                      <w:highlight w:val="none"/>
                      <w:lang w:val="en-US" w:eastAsia="zh-CN"/>
                    </w:rPr>
                    <w:t>设置生活垃圾收集箱</w:t>
                  </w:r>
                  <w:r>
                    <w:rPr>
                      <w:rFonts w:hint="eastAsia"/>
                      <w:color w:val="auto"/>
                      <w:highlight w:val="none"/>
                      <w:lang w:val="en-US" w:eastAsia="zh-CN"/>
                    </w:rPr>
                    <w:t>，由市政环卫部门处置</w:t>
                  </w:r>
                </w:p>
              </w:tc>
              <w:tc>
                <w:tcPr>
                  <w:tcW w:w="525" w:type="pct"/>
                  <w:tcBorders>
                    <w:tl2br w:val="nil"/>
                    <w:tr2bl w:val="nil"/>
                  </w:tcBorders>
                  <w:vAlign w:val="center"/>
                </w:tcPr>
                <w:p w14:paraId="5AF96FD9">
                  <w:pPr>
                    <w:pStyle w:val="60"/>
                    <w:bidi w:val="0"/>
                    <w:rPr>
                      <w:rFonts w:hint="default"/>
                      <w:color w:val="auto"/>
                      <w:highlight w:val="none"/>
                      <w:lang w:val="en-US" w:eastAsia="zh-CN"/>
                    </w:rPr>
                  </w:pPr>
                  <w:r>
                    <w:rPr>
                      <w:rFonts w:hint="eastAsia"/>
                      <w:color w:val="auto"/>
                      <w:highlight w:val="none"/>
                      <w:lang w:val="en-US" w:eastAsia="zh-CN"/>
                    </w:rPr>
                    <w:t>0.1</w:t>
                  </w:r>
                </w:p>
              </w:tc>
            </w:tr>
            <w:tr w14:paraId="42DEB3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51D4C2DB">
                  <w:pPr>
                    <w:pStyle w:val="60"/>
                    <w:bidi w:val="0"/>
                    <w:rPr>
                      <w:color w:val="auto"/>
                      <w:highlight w:val="none"/>
                      <w:lang w:val="en-US" w:eastAsia="zh-CN"/>
                    </w:rPr>
                  </w:pPr>
                </w:p>
              </w:tc>
              <w:tc>
                <w:tcPr>
                  <w:tcW w:w="508" w:type="pct"/>
                  <w:vMerge w:val="continue"/>
                  <w:tcBorders>
                    <w:tl2br w:val="nil"/>
                    <w:tr2bl w:val="nil"/>
                  </w:tcBorders>
                  <w:vAlign w:val="center"/>
                </w:tcPr>
                <w:p w14:paraId="6A3D4692">
                  <w:pPr>
                    <w:pStyle w:val="60"/>
                    <w:bidi w:val="0"/>
                    <w:rPr>
                      <w:color w:val="auto"/>
                      <w:highlight w:val="none"/>
                      <w:lang w:val="en-US" w:eastAsia="zh-CN"/>
                    </w:rPr>
                  </w:pPr>
                </w:p>
              </w:tc>
              <w:tc>
                <w:tcPr>
                  <w:tcW w:w="1020" w:type="pct"/>
                  <w:tcBorders>
                    <w:tl2br w:val="nil"/>
                    <w:tr2bl w:val="nil"/>
                  </w:tcBorders>
                  <w:vAlign w:val="center"/>
                </w:tcPr>
                <w:p w14:paraId="4F89A50A">
                  <w:pPr>
                    <w:pStyle w:val="60"/>
                    <w:bidi w:val="0"/>
                    <w:rPr>
                      <w:color w:val="auto"/>
                      <w:highlight w:val="none"/>
                      <w:lang w:val="en-US" w:eastAsia="zh-CN"/>
                    </w:rPr>
                  </w:pPr>
                  <w:r>
                    <w:rPr>
                      <w:rFonts w:hint="eastAsia"/>
                      <w:color w:val="auto"/>
                      <w:highlight w:val="none"/>
                      <w:lang w:eastAsia="zh-CN"/>
                    </w:rPr>
                    <w:t>装卸、输送、筛分、</w:t>
                  </w:r>
                  <w:r>
                    <w:rPr>
                      <w:rFonts w:hint="eastAsia"/>
                      <w:color w:val="auto"/>
                      <w:highlight w:val="none"/>
                      <w:lang w:val="en-US" w:eastAsia="zh-CN"/>
                    </w:rPr>
                    <w:t>烘干塔收集</w:t>
                  </w:r>
                  <w:r>
                    <w:rPr>
                      <w:color w:val="auto"/>
                      <w:highlight w:val="none"/>
                      <w:lang w:val="en-US" w:eastAsia="zh-CN"/>
                    </w:rPr>
                    <w:t>粉尘</w:t>
                  </w:r>
                </w:p>
              </w:tc>
              <w:tc>
                <w:tcPr>
                  <w:tcW w:w="3970" w:type="dxa"/>
                  <w:vMerge w:val="restart"/>
                  <w:tcBorders>
                    <w:tl2br w:val="nil"/>
                    <w:tr2bl w:val="nil"/>
                  </w:tcBorders>
                  <w:vAlign w:val="center"/>
                </w:tcPr>
                <w:p w14:paraId="57B025E8">
                  <w:pPr>
                    <w:pStyle w:val="60"/>
                    <w:bidi w:val="0"/>
                    <w:ind w:firstLine="0" w:firstLineChars="0"/>
                    <w:rPr>
                      <w:rFonts w:hint="default"/>
                      <w:color w:val="auto"/>
                      <w:highlight w:val="none"/>
                      <w:lang w:val="en-US" w:eastAsia="zh-CN"/>
                    </w:rPr>
                  </w:pPr>
                  <w:r>
                    <w:rPr>
                      <w:rFonts w:hint="eastAsia"/>
                      <w:color w:val="auto"/>
                      <w:highlight w:val="none"/>
                      <w:lang w:val="en-US" w:eastAsia="zh-CN"/>
                    </w:rPr>
                    <w:t>暂存于一般固废暂存间，分类外售综合利用</w:t>
                  </w:r>
                </w:p>
              </w:tc>
              <w:tc>
                <w:tcPr>
                  <w:tcW w:w="525" w:type="pct"/>
                  <w:tcBorders>
                    <w:tl2br w:val="nil"/>
                    <w:tr2bl w:val="nil"/>
                  </w:tcBorders>
                  <w:vAlign w:val="center"/>
                </w:tcPr>
                <w:p w14:paraId="0E8A8440">
                  <w:pPr>
                    <w:pStyle w:val="60"/>
                    <w:bidi w:val="0"/>
                    <w:rPr>
                      <w:rFonts w:hint="default"/>
                      <w:color w:val="auto"/>
                      <w:highlight w:val="none"/>
                      <w:lang w:val="en-US" w:eastAsia="zh-CN"/>
                    </w:rPr>
                  </w:pPr>
                  <w:r>
                    <w:rPr>
                      <w:rFonts w:hint="eastAsia"/>
                      <w:color w:val="auto"/>
                      <w:highlight w:val="none"/>
                      <w:lang w:val="en-US" w:eastAsia="zh-CN"/>
                    </w:rPr>
                    <w:t>1</w:t>
                  </w:r>
                </w:p>
              </w:tc>
            </w:tr>
            <w:tr w14:paraId="33AF0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25CBC606">
                  <w:pPr>
                    <w:pStyle w:val="60"/>
                    <w:bidi w:val="0"/>
                    <w:rPr>
                      <w:color w:val="auto"/>
                      <w:highlight w:val="none"/>
                      <w:lang w:val="en-US" w:eastAsia="zh-CN"/>
                    </w:rPr>
                  </w:pPr>
                </w:p>
              </w:tc>
              <w:tc>
                <w:tcPr>
                  <w:tcW w:w="508" w:type="pct"/>
                  <w:vMerge w:val="continue"/>
                  <w:tcBorders>
                    <w:tl2br w:val="nil"/>
                    <w:tr2bl w:val="nil"/>
                  </w:tcBorders>
                  <w:vAlign w:val="center"/>
                </w:tcPr>
                <w:p w14:paraId="2D8118A0">
                  <w:pPr>
                    <w:pStyle w:val="60"/>
                    <w:bidi w:val="0"/>
                    <w:rPr>
                      <w:color w:val="auto"/>
                      <w:highlight w:val="none"/>
                      <w:lang w:val="en-US" w:eastAsia="zh-CN"/>
                    </w:rPr>
                  </w:pPr>
                </w:p>
              </w:tc>
              <w:tc>
                <w:tcPr>
                  <w:tcW w:w="1020" w:type="pct"/>
                  <w:tcBorders>
                    <w:tl2br w:val="nil"/>
                    <w:tr2bl w:val="nil"/>
                  </w:tcBorders>
                  <w:vAlign w:val="center"/>
                </w:tcPr>
                <w:p w14:paraId="2981510E">
                  <w:pPr>
                    <w:pStyle w:val="60"/>
                    <w:bidi w:val="0"/>
                    <w:rPr>
                      <w:color w:val="auto"/>
                      <w:highlight w:val="none"/>
                      <w:lang w:val="en-US" w:eastAsia="zh-CN"/>
                    </w:rPr>
                  </w:pPr>
                  <w:r>
                    <w:rPr>
                      <w:color w:val="auto"/>
                      <w:highlight w:val="none"/>
                      <w:lang w:val="en-US" w:eastAsia="zh-CN"/>
                    </w:rPr>
                    <w:t>杂质</w:t>
                  </w:r>
                </w:p>
              </w:tc>
              <w:tc>
                <w:tcPr>
                  <w:tcW w:w="2648" w:type="pct"/>
                  <w:vMerge w:val="continue"/>
                  <w:tcBorders>
                    <w:tl2br w:val="nil"/>
                    <w:tr2bl w:val="nil"/>
                  </w:tcBorders>
                  <w:vAlign w:val="center"/>
                </w:tcPr>
                <w:p w14:paraId="0F0FDF18">
                  <w:pPr>
                    <w:pStyle w:val="60"/>
                    <w:bidi w:val="0"/>
                    <w:rPr>
                      <w:rFonts w:hint="eastAsia"/>
                      <w:color w:val="auto"/>
                      <w:highlight w:val="none"/>
                      <w:lang w:val="en-US" w:eastAsia="zh-CN"/>
                    </w:rPr>
                  </w:pPr>
                </w:p>
              </w:tc>
              <w:tc>
                <w:tcPr>
                  <w:tcW w:w="525" w:type="pct"/>
                  <w:tcBorders>
                    <w:tl2br w:val="nil"/>
                    <w:tr2bl w:val="nil"/>
                  </w:tcBorders>
                  <w:vAlign w:val="center"/>
                </w:tcPr>
                <w:p w14:paraId="40C476F9">
                  <w:pPr>
                    <w:pStyle w:val="60"/>
                    <w:bidi w:val="0"/>
                    <w:rPr>
                      <w:rFonts w:hint="default"/>
                      <w:color w:val="auto"/>
                      <w:highlight w:val="none"/>
                      <w:lang w:val="en-US" w:eastAsia="zh-CN"/>
                    </w:rPr>
                  </w:pPr>
                  <w:r>
                    <w:rPr>
                      <w:rFonts w:hint="eastAsia"/>
                      <w:color w:val="auto"/>
                      <w:highlight w:val="none"/>
                      <w:lang w:val="en-US" w:eastAsia="zh-CN"/>
                    </w:rPr>
                    <w:t>0.5</w:t>
                  </w:r>
                </w:p>
              </w:tc>
            </w:tr>
            <w:tr w14:paraId="313D8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1F93D653">
                  <w:pPr>
                    <w:pStyle w:val="60"/>
                    <w:bidi w:val="0"/>
                    <w:rPr>
                      <w:color w:val="auto"/>
                      <w:highlight w:val="none"/>
                      <w:lang w:val="en-US" w:eastAsia="zh-CN"/>
                    </w:rPr>
                  </w:pPr>
                </w:p>
              </w:tc>
              <w:tc>
                <w:tcPr>
                  <w:tcW w:w="508" w:type="pct"/>
                  <w:vMerge w:val="continue"/>
                  <w:tcBorders>
                    <w:tl2br w:val="nil"/>
                    <w:tr2bl w:val="nil"/>
                  </w:tcBorders>
                  <w:vAlign w:val="center"/>
                </w:tcPr>
                <w:p w14:paraId="0E878D79">
                  <w:pPr>
                    <w:pStyle w:val="60"/>
                    <w:bidi w:val="0"/>
                    <w:rPr>
                      <w:color w:val="auto"/>
                      <w:highlight w:val="none"/>
                      <w:lang w:val="en-US" w:eastAsia="zh-CN"/>
                    </w:rPr>
                  </w:pPr>
                </w:p>
              </w:tc>
              <w:tc>
                <w:tcPr>
                  <w:tcW w:w="1020" w:type="pct"/>
                  <w:tcBorders>
                    <w:tl2br w:val="nil"/>
                    <w:tr2bl w:val="nil"/>
                  </w:tcBorders>
                  <w:vAlign w:val="center"/>
                </w:tcPr>
                <w:p w14:paraId="7CF6C3A1">
                  <w:pPr>
                    <w:pStyle w:val="60"/>
                    <w:bidi w:val="0"/>
                    <w:rPr>
                      <w:color w:val="auto"/>
                      <w:highlight w:val="none"/>
                      <w:lang w:val="en-US" w:eastAsia="zh-CN"/>
                    </w:rPr>
                  </w:pPr>
                  <w:r>
                    <w:rPr>
                      <w:rFonts w:hint="eastAsia"/>
                      <w:color w:val="auto"/>
                      <w:highlight w:val="none"/>
                      <w:lang w:val="en-US" w:eastAsia="zh-CN"/>
                    </w:rPr>
                    <w:t>热风炉灰渣</w:t>
                  </w:r>
                </w:p>
              </w:tc>
              <w:tc>
                <w:tcPr>
                  <w:tcW w:w="3970" w:type="dxa"/>
                  <w:tcBorders>
                    <w:tl2br w:val="nil"/>
                    <w:tr2bl w:val="nil"/>
                  </w:tcBorders>
                  <w:vAlign w:val="center"/>
                </w:tcPr>
                <w:p w14:paraId="23DB40D3">
                  <w:pPr>
                    <w:pStyle w:val="60"/>
                    <w:bidi w:val="0"/>
                    <w:ind w:firstLine="0" w:firstLineChars="0"/>
                    <w:rPr>
                      <w:color w:val="auto"/>
                      <w:highlight w:val="none"/>
                      <w:lang w:val="en-US" w:eastAsia="zh-CN"/>
                    </w:rPr>
                  </w:pPr>
                  <w:r>
                    <w:rPr>
                      <w:rFonts w:hint="eastAsia"/>
                      <w:color w:val="auto"/>
                      <w:highlight w:val="none"/>
                      <w:lang w:val="en-US" w:eastAsia="zh-CN"/>
                    </w:rPr>
                    <w:t>暂存于灰渣库，</w:t>
                  </w:r>
                  <w:r>
                    <w:rPr>
                      <w:color w:val="auto"/>
                      <w:highlight w:val="none"/>
                      <w:lang w:val="en-US" w:eastAsia="zh-CN"/>
                    </w:rPr>
                    <w:t>外售综合利用</w:t>
                  </w:r>
                </w:p>
              </w:tc>
              <w:tc>
                <w:tcPr>
                  <w:tcW w:w="525" w:type="pct"/>
                  <w:tcBorders>
                    <w:tl2br w:val="nil"/>
                    <w:tr2bl w:val="nil"/>
                  </w:tcBorders>
                  <w:vAlign w:val="center"/>
                </w:tcPr>
                <w:p w14:paraId="2CC291FA">
                  <w:pPr>
                    <w:pStyle w:val="60"/>
                    <w:bidi w:val="0"/>
                    <w:rPr>
                      <w:rFonts w:hint="default"/>
                      <w:color w:val="auto"/>
                      <w:highlight w:val="none"/>
                      <w:lang w:val="en-US" w:eastAsia="zh-CN"/>
                    </w:rPr>
                  </w:pPr>
                  <w:r>
                    <w:rPr>
                      <w:rFonts w:hint="eastAsia"/>
                      <w:color w:val="auto"/>
                      <w:highlight w:val="none"/>
                      <w:lang w:val="en-US" w:eastAsia="zh-CN"/>
                    </w:rPr>
                    <w:t>1</w:t>
                  </w:r>
                </w:p>
              </w:tc>
            </w:tr>
            <w:tr w14:paraId="3FF85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2707DDC7">
                  <w:pPr>
                    <w:pStyle w:val="60"/>
                    <w:bidi w:val="0"/>
                    <w:rPr>
                      <w:color w:val="auto"/>
                      <w:highlight w:val="none"/>
                      <w:lang w:val="en-US" w:eastAsia="zh-CN"/>
                    </w:rPr>
                  </w:pPr>
                </w:p>
              </w:tc>
              <w:tc>
                <w:tcPr>
                  <w:tcW w:w="508" w:type="pct"/>
                  <w:vMerge w:val="continue"/>
                  <w:tcBorders>
                    <w:tl2br w:val="nil"/>
                    <w:tr2bl w:val="nil"/>
                  </w:tcBorders>
                  <w:vAlign w:val="center"/>
                </w:tcPr>
                <w:p w14:paraId="538FCC04">
                  <w:pPr>
                    <w:pStyle w:val="60"/>
                    <w:bidi w:val="0"/>
                    <w:rPr>
                      <w:color w:val="auto"/>
                      <w:highlight w:val="none"/>
                      <w:lang w:val="en-US" w:eastAsia="zh-CN"/>
                    </w:rPr>
                  </w:pPr>
                </w:p>
              </w:tc>
              <w:tc>
                <w:tcPr>
                  <w:tcW w:w="1020" w:type="pct"/>
                  <w:tcBorders>
                    <w:tl2br w:val="nil"/>
                    <w:tr2bl w:val="nil"/>
                  </w:tcBorders>
                  <w:vAlign w:val="center"/>
                </w:tcPr>
                <w:p w14:paraId="6EDBCF7D">
                  <w:pPr>
                    <w:pStyle w:val="60"/>
                    <w:bidi w:val="0"/>
                    <w:rPr>
                      <w:rFonts w:hint="default"/>
                      <w:color w:val="auto"/>
                      <w:highlight w:val="none"/>
                      <w:lang w:val="en-US" w:eastAsia="zh-CN"/>
                    </w:rPr>
                  </w:pPr>
                  <w:r>
                    <w:rPr>
                      <w:rFonts w:hint="eastAsia"/>
                      <w:color w:val="auto"/>
                      <w:highlight w:val="none"/>
                      <w:lang w:val="en-US" w:eastAsia="zh-CN"/>
                    </w:rPr>
                    <w:t>废布袋</w:t>
                  </w:r>
                </w:p>
              </w:tc>
              <w:tc>
                <w:tcPr>
                  <w:tcW w:w="3970" w:type="dxa"/>
                  <w:tcBorders>
                    <w:tl2br w:val="nil"/>
                    <w:tr2bl w:val="nil"/>
                  </w:tcBorders>
                  <w:vAlign w:val="center"/>
                </w:tcPr>
                <w:p w14:paraId="7F42251F">
                  <w:pPr>
                    <w:pStyle w:val="60"/>
                    <w:bidi w:val="0"/>
                    <w:ind w:firstLine="0" w:firstLineChars="0"/>
                    <w:rPr>
                      <w:rFonts w:hint="default"/>
                      <w:color w:val="auto"/>
                      <w:highlight w:val="none"/>
                      <w:lang w:val="en-US" w:eastAsia="zh-CN"/>
                    </w:rPr>
                  </w:pPr>
                  <w:r>
                    <w:rPr>
                      <w:rFonts w:hint="eastAsia"/>
                      <w:color w:val="auto"/>
                      <w:highlight w:val="none"/>
                      <w:lang w:val="en-US" w:eastAsia="zh-CN"/>
                    </w:rPr>
                    <w:t>厂家上门更换回收</w:t>
                  </w:r>
                </w:p>
              </w:tc>
              <w:tc>
                <w:tcPr>
                  <w:tcW w:w="525" w:type="pct"/>
                  <w:tcBorders>
                    <w:tl2br w:val="nil"/>
                    <w:tr2bl w:val="nil"/>
                  </w:tcBorders>
                  <w:vAlign w:val="center"/>
                </w:tcPr>
                <w:p w14:paraId="42298C88">
                  <w:pPr>
                    <w:pStyle w:val="60"/>
                    <w:bidi w:val="0"/>
                    <w:rPr>
                      <w:rFonts w:hint="default"/>
                      <w:color w:val="auto"/>
                      <w:highlight w:val="none"/>
                      <w:lang w:val="en-US" w:eastAsia="zh-CN"/>
                    </w:rPr>
                  </w:pPr>
                  <w:r>
                    <w:rPr>
                      <w:rFonts w:hint="eastAsia"/>
                      <w:color w:val="auto"/>
                      <w:highlight w:val="none"/>
                      <w:lang w:val="en-US" w:eastAsia="zh-CN"/>
                    </w:rPr>
                    <w:t>0.5</w:t>
                  </w:r>
                </w:p>
              </w:tc>
            </w:tr>
            <w:tr w14:paraId="6139F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96" w:type="pct"/>
                  <w:vMerge w:val="continue"/>
                  <w:tcBorders>
                    <w:tl2br w:val="nil"/>
                    <w:tr2bl w:val="nil"/>
                  </w:tcBorders>
                  <w:vAlign w:val="center"/>
                </w:tcPr>
                <w:p w14:paraId="464E6930">
                  <w:pPr>
                    <w:pStyle w:val="60"/>
                    <w:bidi w:val="0"/>
                    <w:rPr>
                      <w:color w:val="auto"/>
                      <w:highlight w:val="none"/>
                    </w:rPr>
                  </w:pPr>
                </w:p>
              </w:tc>
              <w:tc>
                <w:tcPr>
                  <w:tcW w:w="508" w:type="pct"/>
                  <w:tcBorders>
                    <w:tl2br w:val="nil"/>
                    <w:tr2bl w:val="nil"/>
                  </w:tcBorders>
                  <w:vAlign w:val="center"/>
                </w:tcPr>
                <w:p w14:paraId="1C921E41">
                  <w:pPr>
                    <w:pStyle w:val="60"/>
                    <w:bidi w:val="0"/>
                    <w:rPr>
                      <w:color w:val="auto"/>
                      <w:highlight w:val="none"/>
                    </w:rPr>
                  </w:pPr>
                  <w:r>
                    <w:rPr>
                      <w:rFonts w:hint="default"/>
                      <w:color w:val="auto"/>
                      <w:highlight w:val="none"/>
                      <w:lang w:val="en-US" w:eastAsia="zh-CN"/>
                    </w:rPr>
                    <w:t>地下水污染防治措施</w:t>
                  </w:r>
                </w:p>
              </w:tc>
              <w:tc>
                <w:tcPr>
                  <w:tcW w:w="1020" w:type="pct"/>
                  <w:tcBorders>
                    <w:tl2br w:val="nil"/>
                    <w:tr2bl w:val="nil"/>
                  </w:tcBorders>
                  <w:vAlign w:val="center"/>
                </w:tcPr>
                <w:p w14:paraId="53B9F800">
                  <w:pPr>
                    <w:pStyle w:val="60"/>
                    <w:topLinePunct/>
                    <w:ind w:firstLine="0" w:firstLineChars="0"/>
                    <w:textAlignment w:val="center"/>
                    <w:rPr>
                      <w:color w:val="auto"/>
                      <w:highlight w:val="none"/>
                      <w:lang w:val="en-US" w:eastAsia="zh-CN"/>
                    </w:rPr>
                  </w:pPr>
                  <w:r>
                    <w:rPr>
                      <w:rFonts w:hint="default"/>
                      <w:color w:val="auto"/>
                      <w:highlight w:val="none"/>
                      <w:lang w:val="en-US" w:eastAsia="zh-CN"/>
                    </w:rPr>
                    <w:t>地下水污染防治措施</w:t>
                  </w:r>
                </w:p>
              </w:tc>
              <w:tc>
                <w:tcPr>
                  <w:tcW w:w="2648" w:type="pct"/>
                  <w:tcBorders>
                    <w:tl2br w:val="nil"/>
                    <w:tr2bl w:val="nil"/>
                  </w:tcBorders>
                  <w:vAlign w:val="center"/>
                </w:tcPr>
                <w:p w14:paraId="4ADCB3ED">
                  <w:pPr>
                    <w:pStyle w:val="49"/>
                    <w:topLinePunct/>
                    <w:ind w:firstLine="420" w:firstLineChars="200"/>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防渗旱厕采取</w:t>
                  </w:r>
                  <w:r>
                    <w:rPr>
                      <w:rFonts w:hint="default" w:ascii="Times New Roman" w:hAnsi="Times New Roman" w:cs="Times New Roman"/>
                      <w:color w:val="auto"/>
                      <w:sz w:val="21"/>
                      <w:szCs w:val="21"/>
                      <w:highlight w:val="none"/>
                    </w:rPr>
                    <w:t>一般防渗</w:t>
                  </w:r>
                  <w:r>
                    <w:rPr>
                      <w:rFonts w:hint="default" w:ascii="Times New Roman" w:hAnsi="Times New Roman" w:cs="Times New Roman"/>
                      <w:color w:val="auto"/>
                      <w:sz w:val="21"/>
                      <w:szCs w:val="21"/>
                      <w:highlight w:val="none"/>
                      <w:lang w:val="en-US" w:eastAsia="zh-CN"/>
                    </w:rPr>
                    <w:t>处理</w:t>
                  </w:r>
                  <w:r>
                    <w:rPr>
                      <w:rFonts w:hint="default" w:ascii="Times New Roman" w:hAnsi="Times New Roman" w:cs="Times New Roman"/>
                      <w:color w:val="auto"/>
                      <w:sz w:val="21"/>
                      <w:szCs w:val="21"/>
                      <w:highlight w:val="none"/>
                    </w:rPr>
                    <w:t>，防渗技术要求满足等效黏土防渗层厚度Mb≥1.5m，渗透系数K≤1×10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r>
                    <w:rPr>
                      <w:rFonts w:hint="default" w:ascii="Times New Roman" w:hAnsi="Times New Roman" w:cs="Times New Roman"/>
                      <w:color w:val="auto"/>
                      <w:sz w:val="21"/>
                      <w:szCs w:val="21"/>
                      <w:highlight w:val="none"/>
                      <w:lang w:eastAsia="zh-CN"/>
                    </w:rPr>
                    <w:t>。</w:t>
                  </w:r>
                </w:p>
                <w:p w14:paraId="74012610">
                  <w:pPr>
                    <w:pStyle w:val="60"/>
                    <w:keepNext w:val="0"/>
                    <w:keepLines w:val="0"/>
                    <w:pageBreakBefore w:val="0"/>
                    <w:widowControl w:val="0"/>
                    <w:kinsoku/>
                    <w:wordWrap w:val="0"/>
                    <w:overflowPunct/>
                    <w:topLinePunct/>
                    <w:autoSpaceDE/>
                    <w:autoSpaceDN/>
                    <w:bidi w:val="0"/>
                    <w:adjustRightInd/>
                    <w:snapToGrid/>
                    <w:ind w:firstLine="420" w:firstLineChars="200"/>
                    <w:jc w:val="left"/>
                    <w:textAlignment w:val="center"/>
                    <w:rPr>
                      <w:color w:val="auto"/>
                      <w:highlight w:val="none"/>
                      <w:lang w:val="en-US" w:eastAsia="zh-CN"/>
                    </w:rPr>
                  </w:pPr>
                  <w:r>
                    <w:rPr>
                      <w:rFonts w:hint="eastAsia" w:ascii="Times New Roman" w:hAnsi="Times New Roman" w:cs="Times New Roman"/>
                      <w:color w:val="auto"/>
                      <w:sz w:val="21"/>
                      <w:szCs w:val="21"/>
                      <w:highlight w:val="none"/>
                      <w:lang w:val="en-US" w:eastAsia="zh-CN"/>
                    </w:rPr>
                    <w:t>其他区域</w:t>
                  </w:r>
                  <w:r>
                    <w:rPr>
                      <w:rFonts w:hint="default" w:ascii="Times New Roman" w:hAnsi="Times New Roman" w:cs="Times New Roman"/>
                      <w:color w:val="auto"/>
                      <w:sz w:val="21"/>
                      <w:szCs w:val="21"/>
                      <w:highlight w:val="none"/>
                      <w:lang w:val="en-US" w:eastAsia="zh-CN"/>
                    </w:rPr>
                    <w:t>地面均进行简单防渗处理，进行一般</w:t>
                  </w:r>
                  <w:r>
                    <w:rPr>
                      <w:rFonts w:hint="default" w:ascii="Times New Roman" w:hAnsi="Times New Roman" w:cs="Times New Roman"/>
                      <w:color w:val="auto"/>
                      <w:sz w:val="21"/>
                      <w:szCs w:val="21"/>
                      <w:highlight w:val="none"/>
                    </w:rPr>
                    <w:t>地面水泥硬化</w:t>
                  </w:r>
                  <w:r>
                    <w:rPr>
                      <w:rFonts w:hint="eastAsia" w:ascii="Times New Roman" w:hAnsi="Times New Roman" w:cs="Times New Roman"/>
                      <w:color w:val="auto"/>
                      <w:sz w:val="21"/>
                      <w:szCs w:val="21"/>
                      <w:highlight w:val="none"/>
                      <w:lang w:eastAsia="zh-CN"/>
                    </w:rPr>
                    <w:t>。</w:t>
                  </w:r>
                </w:p>
              </w:tc>
              <w:tc>
                <w:tcPr>
                  <w:tcW w:w="525" w:type="pct"/>
                  <w:tcBorders>
                    <w:tl2br w:val="nil"/>
                    <w:tr2bl w:val="nil"/>
                  </w:tcBorders>
                  <w:vAlign w:val="center"/>
                </w:tcPr>
                <w:p w14:paraId="6FED3B81">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3</w:t>
                  </w:r>
                </w:p>
              </w:tc>
            </w:tr>
            <w:tr w14:paraId="3FE10F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vAlign w:val="center"/>
                </w:tcPr>
                <w:p w14:paraId="3838047B">
                  <w:pPr>
                    <w:pStyle w:val="60"/>
                    <w:bidi w:val="0"/>
                    <w:rPr>
                      <w:color w:val="auto"/>
                      <w:highlight w:val="none"/>
                      <w:lang w:val="en-US" w:eastAsia="zh-CN"/>
                    </w:rPr>
                  </w:pPr>
                </w:p>
              </w:tc>
              <w:tc>
                <w:tcPr>
                  <w:tcW w:w="4178" w:type="pct"/>
                  <w:gridSpan w:val="3"/>
                  <w:tcBorders>
                    <w:tl2br w:val="nil"/>
                    <w:tr2bl w:val="nil"/>
                  </w:tcBorders>
                  <w:vAlign w:val="center"/>
                </w:tcPr>
                <w:p w14:paraId="428535A9">
                  <w:pPr>
                    <w:pStyle w:val="60"/>
                    <w:bidi w:val="0"/>
                    <w:rPr>
                      <w:color w:val="auto"/>
                      <w:highlight w:val="none"/>
                      <w:lang w:val="en-US" w:eastAsia="zh-CN"/>
                    </w:rPr>
                  </w:pPr>
                  <w:r>
                    <w:rPr>
                      <w:color w:val="auto"/>
                      <w:highlight w:val="none"/>
                      <w:lang w:val="en-US" w:eastAsia="zh-CN"/>
                    </w:rPr>
                    <w:t>运行、管理、维护、验收、监测费</w:t>
                  </w:r>
                </w:p>
              </w:tc>
              <w:tc>
                <w:tcPr>
                  <w:tcW w:w="525" w:type="pct"/>
                  <w:tcBorders>
                    <w:tl2br w:val="nil"/>
                    <w:tr2bl w:val="nil"/>
                  </w:tcBorders>
                  <w:vAlign w:val="center"/>
                </w:tcPr>
                <w:p w14:paraId="57B1C025">
                  <w:pPr>
                    <w:pStyle w:val="60"/>
                    <w:bidi w:val="0"/>
                    <w:rPr>
                      <w:rFonts w:hint="default"/>
                      <w:color w:val="auto"/>
                      <w:highlight w:val="none"/>
                      <w:lang w:val="en-US" w:eastAsia="zh-CN"/>
                    </w:rPr>
                  </w:pPr>
                  <w:r>
                    <w:rPr>
                      <w:rFonts w:hint="eastAsia"/>
                      <w:color w:val="auto"/>
                      <w:highlight w:val="none"/>
                      <w:lang w:val="en-US" w:eastAsia="zh-CN"/>
                    </w:rPr>
                    <w:t>4</w:t>
                  </w:r>
                </w:p>
              </w:tc>
            </w:tr>
            <w:tr w14:paraId="1652A1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4474" w:type="pct"/>
                  <w:gridSpan w:val="4"/>
                  <w:tcBorders>
                    <w:tl2br w:val="nil"/>
                    <w:tr2bl w:val="nil"/>
                  </w:tcBorders>
                  <w:vAlign w:val="center"/>
                </w:tcPr>
                <w:p w14:paraId="3899C77D">
                  <w:pPr>
                    <w:pStyle w:val="60"/>
                    <w:bidi w:val="0"/>
                    <w:rPr>
                      <w:color w:val="auto"/>
                      <w:highlight w:val="none"/>
                      <w:lang w:val="en-US" w:eastAsia="zh-CN"/>
                    </w:rPr>
                  </w:pPr>
                  <w:r>
                    <w:rPr>
                      <w:color w:val="auto"/>
                      <w:highlight w:val="none"/>
                      <w:lang w:val="en-US" w:eastAsia="zh-CN"/>
                    </w:rPr>
                    <w:t>环保投资合计</w:t>
                  </w:r>
                </w:p>
              </w:tc>
              <w:tc>
                <w:tcPr>
                  <w:tcW w:w="525" w:type="pct"/>
                  <w:tcBorders>
                    <w:tl2br w:val="nil"/>
                    <w:tr2bl w:val="nil"/>
                  </w:tcBorders>
                  <w:vAlign w:val="center"/>
                </w:tcPr>
                <w:p w14:paraId="652BE3B2">
                  <w:pPr>
                    <w:pStyle w:val="60"/>
                    <w:bidi w:val="0"/>
                    <w:rPr>
                      <w:rFonts w:hint="default"/>
                      <w:color w:val="auto"/>
                      <w:highlight w:val="none"/>
                      <w:lang w:val="en-US" w:eastAsia="zh-CN"/>
                    </w:rPr>
                  </w:pPr>
                  <w:r>
                    <w:rPr>
                      <w:rFonts w:hint="eastAsia"/>
                      <w:color w:val="auto"/>
                      <w:highlight w:val="none"/>
                      <w:lang w:val="en-US" w:eastAsia="zh-CN"/>
                    </w:rPr>
                    <w:t>26.6</w:t>
                  </w:r>
                </w:p>
              </w:tc>
            </w:tr>
            <w:tr w14:paraId="1FB85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74" w:type="pct"/>
                  <w:gridSpan w:val="4"/>
                  <w:tcBorders>
                    <w:tl2br w:val="nil"/>
                    <w:tr2bl w:val="nil"/>
                  </w:tcBorders>
                  <w:vAlign w:val="center"/>
                </w:tcPr>
                <w:p w14:paraId="5F3C23E4">
                  <w:pPr>
                    <w:pStyle w:val="60"/>
                    <w:bidi w:val="0"/>
                    <w:rPr>
                      <w:color w:val="auto"/>
                      <w:highlight w:val="none"/>
                      <w:lang w:val="en-US" w:eastAsia="zh-CN"/>
                    </w:rPr>
                  </w:pPr>
                  <w:r>
                    <w:rPr>
                      <w:color w:val="auto"/>
                      <w:highlight w:val="none"/>
                      <w:lang w:val="en-US" w:eastAsia="zh-CN"/>
                    </w:rPr>
                    <w:t>项目总投资</w:t>
                  </w:r>
                </w:p>
              </w:tc>
              <w:tc>
                <w:tcPr>
                  <w:tcW w:w="525" w:type="pct"/>
                  <w:tcBorders>
                    <w:tl2br w:val="nil"/>
                    <w:tr2bl w:val="nil"/>
                  </w:tcBorders>
                  <w:vAlign w:val="center"/>
                </w:tcPr>
                <w:p w14:paraId="54AE1A76">
                  <w:pPr>
                    <w:pStyle w:val="60"/>
                    <w:bidi w:val="0"/>
                    <w:rPr>
                      <w:rFonts w:hint="default"/>
                      <w:color w:val="auto"/>
                      <w:highlight w:val="none"/>
                      <w:lang w:val="en-US" w:eastAsia="zh-CN"/>
                    </w:rPr>
                  </w:pPr>
                  <w:r>
                    <w:rPr>
                      <w:rFonts w:hint="eastAsia"/>
                      <w:color w:val="auto"/>
                      <w:highlight w:val="none"/>
                      <w:lang w:val="en-US" w:eastAsia="zh-CN"/>
                    </w:rPr>
                    <w:t>200</w:t>
                  </w:r>
                </w:p>
              </w:tc>
            </w:tr>
            <w:tr w14:paraId="26CFF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74" w:type="pct"/>
                  <w:gridSpan w:val="4"/>
                  <w:tcBorders>
                    <w:tl2br w:val="nil"/>
                    <w:tr2bl w:val="nil"/>
                  </w:tcBorders>
                  <w:vAlign w:val="center"/>
                </w:tcPr>
                <w:p w14:paraId="502F8E25">
                  <w:pPr>
                    <w:pStyle w:val="60"/>
                    <w:bidi w:val="0"/>
                    <w:rPr>
                      <w:color w:val="auto"/>
                      <w:highlight w:val="none"/>
                      <w:lang w:val="en-US" w:eastAsia="zh-CN"/>
                    </w:rPr>
                  </w:pPr>
                  <w:r>
                    <w:rPr>
                      <w:color w:val="auto"/>
                      <w:highlight w:val="none"/>
                      <w:lang w:val="en-US" w:eastAsia="zh-CN"/>
                    </w:rPr>
                    <w:t>环保投资占比</w:t>
                  </w:r>
                </w:p>
              </w:tc>
              <w:tc>
                <w:tcPr>
                  <w:tcW w:w="525" w:type="pct"/>
                  <w:tcBorders>
                    <w:tl2br w:val="nil"/>
                    <w:tr2bl w:val="nil"/>
                  </w:tcBorders>
                  <w:vAlign w:val="center"/>
                </w:tcPr>
                <w:p w14:paraId="564C4EBC">
                  <w:pPr>
                    <w:pStyle w:val="60"/>
                    <w:bidi w:val="0"/>
                    <w:rPr>
                      <w:color w:val="auto"/>
                      <w:highlight w:val="none"/>
                      <w:lang w:val="en-US" w:eastAsia="zh-CN"/>
                    </w:rPr>
                  </w:pPr>
                  <w:r>
                    <w:rPr>
                      <w:rFonts w:hint="eastAsia"/>
                      <w:color w:val="auto"/>
                      <w:highlight w:val="none"/>
                      <w:lang w:val="en-US" w:eastAsia="zh-CN"/>
                    </w:rPr>
                    <w:t>13.3</w:t>
                  </w:r>
                  <w:r>
                    <w:rPr>
                      <w:color w:val="auto"/>
                      <w:highlight w:val="none"/>
                      <w:lang w:val="en-US" w:eastAsia="zh-CN"/>
                    </w:rPr>
                    <w:t>%</w:t>
                  </w:r>
                </w:p>
              </w:tc>
            </w:tr>
            <w:bookmarkEnd w:id="8"/>
          </w:tbl>
          <w:p w14:paraId="0FCCFCDE">
            <w:pPr>
              <w:pStyle w:val="50"/>
              <w:bidi w:val="0"/>
              <w:rPr>
                <w:rFonts w:hint="default"/>
                <w:lang w:val="en-US" w:eastAsia="zh-CN"/>
              </w:rPr>
            </w:pPr>
          </w:p>
          <w:p w14:paraId="59D6F02C">
            <w:pPr>
              <w:pStyle w:val="45"/>
              <w:ind w:left="0" w:leftChars="0" w:firstLine="0" w:firstLineChars="0"/>
              <w:rPr>
                <w:rFonts w:hint="default"/>
                <w:color w:val="auto"/>
                <w:highlight w:val="none"/>
                <w:lang w:val="en-US" w:eastAsia="zh-CN"/>
              </w:rPr>
            </w:pPr>
          </w:p>
        </w:tc>
      </w:tr>
      <w:tr w14:paraId="36E09C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4" w:type="pct"/>
            <w:noWrap w:val="0"/>
            <w:vAlign w:val="center"/>
          </w:tcPr>
          <w:p w14:paraId="1B69516B">
            <w:pPr>
              <w:wordWrap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工艺流程和产排污环节</w:t>
            </w:r>
          </w:p>
        </w:tc>
        <w:tc>
          <w:tcPr>
            <w:tcW w:w="4525" w:type="pct"/>
            <w:noWrap w:val="0"/>
            <w:vAlign w:val="center"/>
          </w:tcPr>
          <w:p w14:paraId="6D44C1B3">
            <w:pPr>
              <w:pStyle w:val="52"/>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一、施工期</w:t>
            </w:r>
          </w:p>
          <w:p w14:paraId="05F8355C">
            <w:pPr>
              <w:pStyle w:val="46"/>
              <w:ind w:firstLine="480"/>
              <w:rPr>
                <w:rFonts w:hint="eastAsia"/>
                <w:color w:val="auto"/>
                <w:highlight w:val="none"/>
              </w:rPr>
            </w:pPr>
            <w:r>
              <w:rPr>
                <w:color w:val="auto"/>
                <w:highlight w:val="none"/>
              </w:rPr>
              <w:t>本项</w:t>
            </w:r>
            <w:r>
              <w:rPr>
                <w:rFonts w:hint="eastAsia"/>
                <w:color w:val="auto"/>
                <w:highlight w:val="none"/>
              </w:rPr>
              <w:t>目</w:t>
            </w:r>
            <w:r>
              <w:rPr>
                <w:color w:val="auto"/>
                <w:highlight w:val="none"/>
              </w:rPr>
              <w:t>施工期间，基础工程、主体工程、装饰工程、设备安装等工序将产</w:t>
            </w:r>
            <w:r>
              <w:rPr>
                <w:rFonts w:hint="eastAsia"/>
                <w:color w:val="auto"/>
                <w:highlight w:val="none"/>
              </w:rPr>
              <w:t>生</w:t>
            </w:r>
            <w:r>
              <w:rPr>
                <w:color w:val="auto"/>
                <w:highlight w:val="none"/>
              </w:rPr>
              <w:t>噪声、扬尘固体废弃物、污（废）水和废气等污染物，其排放量随工期时间段和施工强度不同⽽有所</w:t>
            </w:r>
            <w:r>
              <w:rPr>
                <w:rFonts w:hint="eastAsia"/>
                <w:color w:val="auto"/>
                <w:highlight w:val="none"/>
                <w:lang w:eastAsia="zh-CN"/>
              </w:rPr>
              <w:t>变化。</w:t>
            </w:r>
            <w:r>
              <w:rPr>
                <w:color w:val="auto"/>
                <w:highlight w:val="none"/>
              </w:rPr>
              <w:t>施工期工艺流程及产污情况见图2-</w:t>
            </w:r>
            <w:r>
              <w:rPr>
                <w:rFonts w:hint="eastAsia"/>
                <w:color w:val="auto"/>
                <w:highlight w:val="none"/>
                <w:lang w:val="en-US" w:eastAsia="zh-CN"/>
              </w:rPr>
              <w:t>2</w:t>
            </w:r>
            <w:r>
              <w:rPr>
                <w:rFonts w:hint="eastAsia"/>
                <w:color w:val="auto"/>
                <w:highlight w:val="none"/>
              </w:rPr>
              <w:t>。</w:t>
            </w:r>
          </w:p>
          <w:p w14:paraId="4B889F9C">
            <w:pPr>
              <w:pStyle w:val="50"/>
              <w:bidi w:val="0"/>
            </w:pPr>
            <w:r>
              <w:drawing>
                <wp:inline distT="0" distB="0" distL="114300" distR="114300">
                  <wp:extent cx="4685665" cy="1299210"/>
                  <wp:effectExtent l="0" t="0" r="0" b="1524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28"/>
                          <a:stretch>
                            <a:fillRect/>
                          </a:stretch>
                        </pic:blipFill>
                        <pic:spPr>
                          <a:xfrm>
                            <a:off x="0" y="0"/>
                            <a:ext cx="4685665" cy="1299210"/>
                          </a:xfrm>
                          <a:prstGeom prst="rect">
                            <a:avLst/>
                          </a:prstGeom>
                          <a:noFill/>
                          <a:ln>
                            <a:noFill/>
                          </a:ln>
                        </pic:spPr>
                      </pic:pic>
                    </a:graphicData>
                  </a:graphic>
                </wp:inline>
              </w:drawing>
            </w:r>
          </w:p>
          <w:p w14:paraId="6296477B">
            <w:pPr>
              <w:pStyle w:val="50"/>
              <w:rPr>
                <w:color w:val="auto"/>
                <w:highlight w:val="none"/>
              </w:rPr>
            </w:pPr>
            <w:r>
              <w:rPr>
                <w:color w:val="auto"/>
                <w:highlight w:val="none"/>
              </w:rPr>
              <w:t>图2-</w:t>
            </w:r>
            <w:r>
              <w:rPr>
                <w:rFonts w:hint="eastAsia"/>
                <w:color w:val="auto"/>
                <w:highlight w:val="none"/>
                <w:lang w:val="en-US" w:eastAsia="zh-CN"/>
              </w:rPr>
              <w:t>2</w:t>
            </w:r>
            <w:r>
              <w:rPr>
                <w:color w:val="auto"/>
                <w:highlight w:val="none"/>
              </w:rPr>
              <w:t xml:space="preserve">   施工工艺流程图</w:t>
            </w:r>
          </w:p>
          <w:p w14:paraId="6572DA25">
            <w:pPr>
              <w:pStyle w:val="52"/>
              <w:bidi w:val="0"/>
              <w:rPr>
                <w:color w:val="auto"/>
                <w:highlight w:val="none"/>
              </w:rPr>
            </w:pPr>
            <w:r>
              <w:rPr>
                <w:color w:val="auto"/>
                <w:highlight w:val="none"/>
              </w:rPr>
              <w:t>施工过程对周围环境产生的影响主要有：</w:t>
            </w:r>
          </w:p>
          <w:p w14:paraId="74873F2D">
            <w:pPr>
              <w:pStyle w:val="46"/>
              <w:ind w:firstLine="480"/>
              <w:rPr>
                <w:color w:val="auto"/>
                <w:highlight w:val="none"/>
              </w:rPr>
            </w:pPr>
            <w:r>
              <w:rPr>
                <w:color w:val="auto"/>
                <w:highlight w:val="none"/>
              </w:rPr>
              <w:t>（一）废气</w:t>
            </w:r>
          </w:p>
          <w:p w14:paraId="66B2C0DB">
            <w:pPr>
              <w:pStyle w:val="46"/>
              <w:ind w:firstLine="480"/>
              <w:rPr>
                <w:color w:val="auto"/>
                <w:highlight w:val="none"/>
              </w:rPr>
            </w:pPr>
            <w:r>
              <w:rPr>
                <w:color w:val="auto"/>
                <w:highlight w:val="none"/>
              </w:rPr>
              <w:t>施工扬尘</w:t>
            </w:r>
            <w:r>
              <w:rPr>
                <w:rFonts w:hint="eastAsia"/>
                <w:color w:val="auto"/>
                <w:highlight w:val="none"/>
              </w:rPr>
              <w:t>来自</w:t>
            </w:r>
            <w:r>
              <w:rPr>
                <w:color w:val="auto"/>
                <w:highlight w:val="none"/>
              </w:rPr>
              <w:t>土地清理、挖掘、回填、土方转运和堆积，大部分是由车辆在工地的来往行驶引起的。由于建筑颗粒物比重较大，沉降较快，只要加强管理，则影响范围较小，一般仅在本项目的周边地块。</w:t>
            </w:r>
          </w:p>
          <w:p w14:paraId="79926458">
            <w:pPr>
              <w:pStyle w:val="46"/>
              <w:ind w:firstLine="480"/>
              <w:rPr>
                <w:color w:val="auto"/>
                <w:highlight w:val="none"/>
              </w:rPr>
            </w:pPr>
            <w:r>
              <w:rPr>
                <w:color w:val="auto"/>
                <w:highlight w:val="none"/>
              </w:rPr>
              <w:t>（二）废水</w:t>
            </w:r>
          </w:p>
          <w:p w14:paraId="3E8A27EB">
            <w:pPr>
              <w:pStyle w:val="46"/>
              <w:ind w:firstLine="480"/>
              <w:rPr>
                <w:color w:val="auto"/>
                <w:highlight w:val="none"/>
              </w:rPr>
            </w:pPr>
            <w:r>
              <w:rPr>
                <w:color w:val="auto"/>
                <w:highlight w:val="none"/>
              </w:rPr>
              <w:t>施工过程中施工人员排放的</w:t>
            </w:r>
            <w:r>
              <w:rPr>
                <w:rFonts w:hint="eastAsia"/>
                <w:color w:val="auto"/>
                <w:highlight w:val="none"/>
              </w:rPr>
              <w:t>生活污水</w:t>
            </w:r>
            <w:r>
              <w:rPr>
                <w:color w:val="auto"/>
                <w:highlight w:val="none"/>
              </w:rPr>
              <w:t>和生活垃圾对环境污染产生的影响。建设期的废水排放主要来自建筑施工人员的生活污水和施工废水。施工废水经沉淀池处理后回用不外排，生活污水排入</w:t>
            </w:r>
            <w:r>
              <w:rPr>
                <w:rFonts w:hint="eastAsia"/>
                <w:color w:val="auto"/>
                <w:highlight w:val="none"/>
              </w:rPr>
              <w:t>临时防渗旱厕</w:t>
            </w:r>
            <w:r>
              <w:rPr>
                <w:color w:val="auto"/>
                <w:highlight w:val="none"/>
              </w:rPr>
              <w:t>。</w:t>
            </w:r>
          </w:p>
          <w:p w14:paraId="117B5B65">
            <w:pPr>
              <w:pStyle w:val="46"/>
              <w:ind w:firstLine="480"/>
              <w:rPr>
                <w:color w:val="auto"/>
                <w:highlight w:val="none"/>
              </w:rPr>
            </w:pPr>
            <w:r>
              <w:rPr>
                <w:color w:val="auto"/>
                <w:highlight w:val="none"/>
              </w:rPr>
              <w:t>（三）噪声</w:t>
            </w:r>
          </w:p>
          <w:p w14:paraId="639DBB58">
            <w:pPr>
              <w:pStyle w:val="46"/>
              <w:ind w:firstLine="480"/>
              <w:rPr>
                <w:color w:val="auto"/>
                <w:highlight w:val="none"/>
              </w:rPr>
            </w:pPr>
            <w:r>
              <w:rPr>
                <w:color w:val="auto"/>
                <w:highlight w:val="none"/>
              </w:rPr>
              <w:t>施工期噪声主要为施工机械及设备安装噪声。噪声源主要为施工车辆以及施工设备产生的噪声。由于施工机械多在露天作业，噪声传播远，影响范围大但有时段性；施工结束后，其噪声影响也将随之消失。</w:t>
            </w:r>
          </w:p>
          <w:p w14:paraId="47CDA02E">
            <w:pPr>
              <w:pStyle w:val="46"/>
              <w:ind w:firstLine="480"/>
              <w:rPr>
                <w:color w:val="auto"/>
                <w:highlight w:val="none"/>
              </w:rPr>
            </w:pPr>
            <w:r>
              <w:rPr>
                <w:color w:val="auto"/>
                <w:highlight w:val="none"/>
              </w:rPr>
              <w:t>（四）固废</w:t>
            </w:r>
          </w:p>
          <w:p w14:paraId="05605C44">
            <w:pPr>
              <w:pStyle w:val="46"/>
              <w:ind w:firstLine="480"/>
              <w:rPr>
                <w:color w:val="auto"/>
                <w:highlight w:val="none"/>
              </w:rPr>
            </w:pPr>
            <w:r>
              <w:rPr>
                <w:color w:val="auto"/>
                <w:highlight w:val="none"/>
              </w:rPr>
              <w:t>施工期固体废弃物主要包括施工人员生活垃圾和建筑垃圾，生活垃圾由市政</w:t>
            </w:r>
            <w:r>
              <w:rPr>
                <w:rFonts w:hint="eastAsia"/>
                <w:color w:val="auto"/>
                <w:highlight w:val="none"/>
                <w:lang w:val="en-US" w:eastAsia="zh-CN"/>
              </w:rPr>
              <w:t>环卫</w:t>
            </w:r>
            <w:r>
              <w:rPr>
                <w:color w:val="auto"/>
                <w:highlight w:val="none"/>
              </w:rPr>
              <w:t>部门统一处理，</w:t>
            </w:r>
            <w:r>
              <w:rPr>
                <w:rFonts w:hint="eastAsia"/>
                <w:color w:val="auto"/>
                <w:sz w:val="24"/>
                <w:szCs w:val="24"/>
                <w:highlight w:val="none"/>
                <w:lang w:val="en-US" w:eastAsia="zh-CN"/>
              </w:rPr>
              <w:t>建筑垃圾分类处理，可回收利用的部分交由资源回收公司或建材公司综合利用，不可回收部分外运</w:t>
            </w:r>
            <w:r>
              <w:rPr>
                <w:color w:val="auto"/>
                <w:highlight w:val="none"/>
              </w:rPr>
              <w:t>至市政指定地点堆存。</w:t>
            </w:r>
          </w:p>
          <w:p w14:paraId="5F154648">
            <w:pPr>
              <w:pStyle w:val="46"/>
              <w:bidi w:val="0"/>
              <w:rPr>
                <w:rFonts w:hint="default"/>
                <w:b/>
                <w:bCs/>
                <w:color w:val="auto"/>
                <w:highlight w:val="none"/>
              </w:rPr>
            </w:pPr>
            <w:r>
              <w:rPr>
                <w:rFonts w:hint="default"/>
                <w:b/>
                <w:bCs/>
                <w:color w:val="auto"/>
                <w:highlight w:val="none"/>
                <w:lang w:val="en-US" w:eastAsia="zh-CN"/>
              </w:rPr>
              <w:t>二、</w:t>
            </w:r>
            <w:r>
              <w:rPr>
                <w:rFonts w:hint="default"/>
                <w:b/>
                <w:bCs/>
                <w:color w:val="auto"/>
                <w:highlight w:val="none"/>
              </w:rPr>
              <w:t>营运期</w:t>
            </w:r>
          </w:p>
          <w:p w14:paraId="3C04CD57">
            <w:pPr>
              <w:pStyle w:val="32"/>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本项目运营期工艺流程及产污环节详见图2-</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p>
          <w:p w14:paraId="036ED300">
            <w:pPr>
              <w:pStyle w:val="60"/>
              <w:bidi w:val="0"/>
              <w:rPr>
                <w:rFonts w:hint="default"/>
                <w:color w:val="auto"/>
                <w:highlight w:val="none"/>
                <w:lang w:val="en-US" w:eastAsia="zh-CN"/>
              </w:rPr>
            </w:pPr>
            <w:r>
              <w:rPr>
                <w:rFonts w:hint="eastAsia"/>
                <w:color w:val="auto"/>
                <w:highlight w:val="none"/>
                <w:lang w:val="en-US" w:eastAsia="zh-CN"/>
              </w:rPr>
              <w:drawing>
                <wp:inline distT="0" distB="0" distL="114300" distR="114300">
                  <wp:extent cx="3738880" cy="3599815"/>
                  <wp:effectExtent l="9525" t="9525" r="23495" b="10160"/>
                  <wp:docPr id="15" name="图片 15" descr="微信截图_2023111223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截图_20231112230230"/>
                          <pic:cNvPicPr>
                            <a:picLocks noChangeAspect="1"/>
                          </pic:cNvPicPr>
                        </pic:nvPicPr>
                        <pic:blipFill>
                          <a:blip r:embed="rId29"/>
                          <a:stretch>
                            <a:fillRect/>
                          </a:stretch>
                        </pic:blipFill>
                        <pic:spPr>
                          <a:xfrm>
                            <a:off x="0" y="0"/>
                            <a:ext cx="3738880" cy="3599815"/>
                          </a:xfrm>
                          <a:prstGeom prst="rect">
                            <a:avLst/>
                          </a:prstGeom>
                          <a:ln>
                            <a:solidFill>
                              <a:schemeClr val="tx1"/>
                            </a:solidFill>
                          </a:ln>
                        </pic:spPr>
                      </pic:pic>
                    </a:graphicData>
                  </a:graphic>
                </wp:inline>
              </w:drawing>
            </w:r>
          </w:p>
          <w:p w14:paraId="3BB52288">
            <w:pPr>
              <w:pStyle w:val="32"/>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图2-</w:t>
            </w:r>
            <w:r>
              <w:rPr>
                <w:rFonts w:hint="eastAsia" w:cs="Times New Roman"/>
                <w:b/>
                <w:bCs/>
                <w:color w:val="auto"/>
                <w:sz w:val="24"/>
                <w:szCs w:val="32"/>
                <w:highlight w:val="none"/>
                <w:lang w:val="en-US" w:eastAsia="zh-CN"/>
              </w:rPr>
              <w:t>3</w:t>
            </w:r>
            <w:r>
              <w:rPr>
                <w:rFonts w:hint="default" w:ascii="Times New Roman" w:hAnsi="Times New Roman" w:eastAsia="宋体" w:cs="Times New Roman"/>
                <w:b/>
                <w:bCs/>
                <w:color w:val="auto"/>
                <w:sz w:val="24"/>
                <w:szCs w:val="32"/>
                <w:highlight w:val="none"/>
                <w:lang w:val="en-US" w:eastAsia="zh-CN"/>
              </w:rPr>
              <w:t xml:space="preserve"> </w:t>
            </w:r>
            <w:r>
              <w:rPr>
                <w:rFonts w:hint="eastAsia" w:cs="Times New Roman"/>
                <w:b/>
                <w:bCs/>
                <w:color w:val="auto"/>
                <w:sz w:val="24"/>
                <w:szCs w:val="32"/>
                <w:highlight w:val="none"/>
                <w:lang w:val="en-US" w:eastAsia="zh-CN"/>
              </w:rPr>
              <w:t xml:space="preserve"> </w:t>
            </w:r>
            <w:r>
              <w:rPr>
                <w:rFonts w:hint="default" w:ascii="Times New Roman" w:hAnsi="Times New Roman" w:eastAsia="宋体" w:cs="Times New Roman"/>
                <w:b/>
                <w:bCs/>
                <w:color w:val="auto"/>
                <w:sz w:val="24"/>
                <w:szCs w:val="32"/>
                <w:highlight w:val="none"/>
                <w:lang w:val="en-US" w:eastAsia="zh-CN"/>
              </w:rPr>
              <w:t xml:space="preserve"> 运营期工艺流程及产污节点图</w:t>
            </w:r>
          </w:p>
          <w:p w14:paraId="1EF9B89E">
            <w:pPr>
              <w:pStyle w:val="52"/>
              <w:bidi w:val="0"/>
              <w:rPr>
                <w:rFonts w:hint="eastAsia"/>
                <w:color w:val="auto"/>
                <w:highlight w:val="none"/>
                <w:lang w:val="en-US" w:eastAsia="zh-CN"/>
              </w:rPr>
            </w:pPr>
            <w:r>
              <w:rPr>
                <w:rFonts w:hint="eastAsia"/>
                <w:color w:val="auto"/>
                <w:highlight w:val="none"/>
                <w:lang w:val="en-US" w:eastAsia="zh-CN"/>
              </w:rPr>
              <w:t>（1）进料：原粮经原料进入提升机输送进入初清筛。</w:t>
            </w:r>
          </w:p>
          <w:p w14:paraId="2B85D35A">
            <w:pPr>
              <w:pStyle w:val="46"/>
              <w:bidi w:val="0"/>
              <w:rPr>
                <w:rFonts w:hint="eastAsia"/>
                <w:color w:val="auto"/>
                <w:highlight w:val="none"/>
                <w:lang w:val="en-US" w:eastAsia="zh-CN"/>
              </w:rPr>
            </w:pPr>
            <w:r>
              <w:rPr>
                <w:rFonts w:hint="eastAsia"/>
                <w:color w:val="auto"/>
                <w:highlight w:val="none"/>
                <w:lang w:val="en-US" w:eastAsia="zh-CN"/>
              </w:rPr>
              <w:t>（2）筛选：经过筛选筛出原料中的大部分包装物碎片、大杂、石块等杂质，清理过后的粮食经提升机进入刮板输送机经过电动闸门分别进入烘干机进行处理。该工序产生的主要污染物为粉尘、噪声、固废。</w:t>
            </w:r>
          </w:p>
          <w:p w14:paraId="476133AE">
            <w:pPr>
              <w:pStyle w:val="46"/>
              <w:bidi w:val="0"/>
              <w:rPr>
                <w:rFonts w:hint="eastAsia"/>
                <w:color w:val="auto"/>
                <w:highlight w:val="none"/>
                <w:lang w:val="en-US" w:eastAsia="zh-CN"/>
              </w:rPr>
            </w:pPr>
            <w:r>
              <w:rPr>
                <w:rFonts w:hint="eastAsia"/>
                <w:color w:val="auto"/>
                <w:highlight w:val="none"/>
                <w:lang w:val="en-US" w:eastAsia="zh-CN"/>
              </w:rPr>
              <w:t>（3）烘干：</w:t>
            </w:r>
            <w:r>
              <w:rPr>
                <w:color w:val="auto"/>
                <w:highlight w:val="none"/>
              </w:rPr>
              <w:t>热风炉产生的烟气经换热器与外界大气中的清新空气进行热交换，加热的空气与粮食接触使粮食中的游离水分脱水达到烘干粮食的目的，烘干结束后进入输送工段（烘后）</w:t>
            </w:r>
            <w:r>
              <w:rPr>
                <w:rFonts w:hint="eastAsia"/>
                <w:color w:val="auto"/>
                <w:highlight w:val="none"/>
                <w:lang w:val="en-US" w:eastAsia="zh-CN"/>
              </w:rPr>
              <w:t>，热风炉废气经布袋除尘处理，干</w:t>
            </w:r>
            <w:r>
              <w:rPr>
                <w:color w:val="auto"/>
                <w:highlight w:val="none"/>
              </w:rPr>
              <w:t>粮</w:t>
            </w:r>
            <w:r>
              <w:rPr>
                <w:rFonts w:hint="eastAsia"/>
                <w:color w:val="auto"/>
                <w:highlight w:val="none"/>
                <w:lang w:val="en-US" w:eastAsia="zh-CN"/>
              </w:rPr>
              <w:t>冷却后由输送机将粮食送至成品库。该工序产生的主要污染物为燃烧烟气、粉尘、固废、噪声。</w:t>
            </w:r>
          </w:p>
          <w:p w14:paraId="79509BB4">
            <w:pPr>
              <w:pStyle w:val="46"/>
              <w:bidi w:val="0"/>
              <w:rPr>
                <w:rFonts w:hint="eastAsia"/>
                <w:color w:val="auto"/>
                <w:highlight w:val="none"/>
                <w:lang w:val="en-US" w:eastAsia="zh-CN"/>
              </w:rPr>
            </w:pPr>
            <w:r>
              <w:rPr>
                <w:rFonts w:hint="eastAsia"/>
                <w:color w:val="auto"/>
                <w:highlight w:val="none"/>
                <w:lang w:val="en-US" w:eastAsia="zh-CN"/>
              </w:rPr>
              <w:t>项目不设置</w:t>
            </w:r>
            <w:r>
              <w:rPr>
                <w:rFonts w:hint="eastAsia"/>
                <w:color w:val="auto"/>
                <w:highlight w:val="none"/>
              </w:rPr>
              <w:t>药剂熏蒸工序及原粮晒场</w:t>
            </w:r>
            <w:r>
              <w:rPr>
                <w:rFonts w:hint="eastAsia"/>
                <w:color w:val="auto"/>
                <w:highlight w:val="none"/>
                <w:lang w:eastAsia="zh-CN"/>
              </w:rPr>
              <w:t>，</w:t>
            </w:r>
            <w:r>
              <w:rPr>
                <w:rFonts w:hint="eastAsia"/>
                <w:color w:val="auto"/>
                <w:highlight w:val="none"/>
                <w:lang w:val="en-US" w:eastAsia="zh-CN"/>
              </w:rPr>
              <w:t>本项目</w:t>
            </w:r>
            <w:r>
              <w:rPr>
                <w:rFonts w:hint="default"/>
                <w:color w:val="auto"/>
                <w:highlight w:val="none"/>
                <w:lang w:val="en-US" w:eastAsia="zh-CN"/>
              </w:rPr>
              <w:t>玉米</w:t>
            </w:r>
            <w:r>
              <w:rPr>
                <w:rFonts w:hint="eastAsia"/>
                <w:color w:val="auto"/>
                <w:highlight w:val="none"/>
                <w:lang w:val="en-US" w:eastAsia="zh-CN"/>
              </w:rPr>
              <w:t>原粮为外购已脱粒玉米，脱粒玉米厂外已进行初步清理，不含玉米须。</w:t>
            </w:r>
          </w:p>
          <w:p w14:paraId="31848617">
            <w:pPr>
              <w:pStyle w:val="50"/>
              <w:bidi w:val="0"/>
              <w:rPr>
                <w:rFonts w:hint="default"/>
                <w:color w:val="auto"/>
                <w:highlight w:val="none"/>
              </w:rPr>
            </w:pPr>
            <w:r>
              <w:rPr>
                <w:rFonts w:hint="default"/>
                <w:color w:val="auto"/>
                <w:highlight w:val="none"/>
              </w:rPr>
              <w:t>表2-</w:t>
            </w:r>
            <w:r>
              <w:rPr>
                <w:rFonts w:hint="eastAsia"/>
                <w:color w:val="auto"/>
                <w:highlight w:val="none"/>
                <w:lang w:val="en-US" w:eastAsia="zh-CN"/>
              </w:rPr>
              <w:t>6</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w:t>
            </w:r>
            <w:r>
              <w:rPr>
                <w:rFonts w:hint="default"/>
                <w:color w:val="auto"/>
                <w:highlight w:val="none"/>
              </w:rPr>
              <w:t>项目运营期主要产污工序及污染物对照表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8"/>
              <w:gridCol w:w="780"/>
              <w:gridCol w:w="1336"/>
              <w:gridCol w:w="1744"/>
              <w:gridCol w:w="1319"/>
              <w:gridCol w:w="1591"/>
            </w:tblGrid>
            <w:tr w14:paraId="32BB0F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shd w:val="clear" w:color="auto" w:fill="auto"/>
                  <w:noWrap w:val="0"/>
                  <w:vAlign w:val="center"/>
                </w:tcPr>
                <w:p w14:paraId="2243C660">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520" w:type="pct"/>
                  <w:shd w:val="clear" w:color="auto" w:fill="auto"/>
                  <w:noWrap w:val="0"/>
                  <w:vAlign w:val="center"/>
                </w:tcPr>
                <w:p w14:paraId="018D34D0">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890" w:type="pct"/>
                  <w:shd w:val="clear" w:color="auto" w:fill="auto"/>
                  <w:noWrap w:val="0"/>
                  <w:vAlign w:val="center"/>
                </w:tcPr>
                <w:p w14:paraId="2B0AC0E3">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污染源名称</w:t>
                  </w:r>
                </w:p>
              </w:tc>
              <w:tc>
                <w:tcPr>
                  <w:tcW w:w="1162" w:type="pct"/>
                  <w:shd w:val="clear" w:color="auto" w:fill="auto"/>
                  <w:noWrap w:val="0"/>
                  <w:vAlign w:val="center"/>
                </w:tcPr>
                <w:p w14:paraId="11554332">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879" w:type="pct"/>
                  <w:shd w:val="clear" w:color="auto" w:fill="auto"/>
                  <w:noWrap w:val="0"/>
                  <w:vAlign w:val="center"/>
                </w:tcPr>
                <w:p w14:paraId="556DAC0C">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治理措施</w:t>
                  </w:r>
                </w:p>
              </w:tc>
              <w:tc>
                <w:tcPr>
                  <w:tcW w:w="1060" w:type="pct"/>
                  <w:shd w:val="clear" w:color="auto" w:fill="auto"/>
                  <w:noWrap w:val="0"/>
                  <w:vAlign w:val="center"/>
                </w:tcPr>
                <w:p w14:paraId="6E7E8191">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去向</w:t>
                  </w:r>
                </w:p>
              </w:tc>
            </w:tr>
            <w:tr w14:paraId="375816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shd w:val="clear" w:color="auto" w:fill="auto"/>
                  <w:noWrap w:val="0"/>
                  <w:vAlign w:val="center"/>
                </w:tcPr>
                <w:p w14:paraId="3A00678E">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520" w:type="pct"/>
                  <w:shd w:val="clear" w:color="auto" w:fill="auto"/>
                  <w:noWrap w:val="0"/>
                  <w:vAlign w:val="center"/>
                </w:tcPr>
                <w:p w14:paraId="773B0C6F">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890" w:type="pct"/>
                  <w:shd w:val="clear" w:color="auto" w:fill="auto"/>
                  <w:noWrap w:val="0"/>
                  <w:vAlign w:val="center"/>
                </w:tcPr>
                <w:p w14:paraId="07A9D856">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w:t>
                  </w:r>
                </w:p>
              </w:tc>
              <w:tc>
                <w:tcPr>
                  <w:tcW w:w="1162" w:type="pct"/>
                  <w:shd w:val="clear" w:color="auto" w:fill="auto"/>
                  <w:noWrap w:val="0"/>
                  <w:vAlign w:val="center"/>
                </w:tcPr>
                <w:p w14:paraId="2A8F8267">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COD、氨氮</w:t>
                  </w:r>
                </w:p>
              </w:tc>
              <w:tc>
                <w:tcPr>
                  <w:tcW w:w="879" w:type="pct"/>
                  <w:shd w:val="clear" w:color="auto" w:fill="auto"/>
                  <w:noWrap w:val="0"/>
                  <w:vAlign w:val="center"/>
                </w:tcPr>
                <w:p w14:paraId="0127D268">
                  <w:pPr>
                    <w:pStyle w:val="6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防渗旱厕</w:t>
                  </w:r>
                </w:p>
              </w:tc>
              <w:tc>
                <w:tcPr>
                  <w:tcW w:w="1060" w:type="pct"/>
                  <w:shd w:val="clear" w:color="auto" w:fill="auto"/>
                  <w:noWrap w:val="0"/>
                  <w:vAlign w:val="center"/>
                </w:tcPr>
                <w:p w14:paraId="40346418">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不外排</w:t>
                  </w:r>
                </w:p>
              </w:tc>
            </w:tr>
            <w:tr w14:paraId="1BBB9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vMerge w:val="restart"/>
                  <w:shd w:val="clear" w:color="auto" w:fill="auto"/>
                  <w:noWrap w:val="0"/>
                  <w:vAlign w:val="center"/>
                </w:tcPr>
                <w:p w14:paraId="29B95CF4">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520" w:type="pct"/>
                  <w:vMerge w:val="restart"/>
                  <w:shd w:val="clear" w:color="auto" w:fill="auto"/>
                  <w:noWrap w:val="0"/>
                  <w:vAlign w:val="center"/>
                </w:tcPr>
                <w:p w14:paraId="6ED2E8CF">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890" w:type="pct"/>
                  <w:shd w:val="clear" w:color="auto" w:fill="auto"/>
                  <w:noWrap w:val="0"/>
                  <w:vAlign w:val="center"/>
                </w:tcPr>
                <w:p w14:paraId="58248478">
                  <w:pPr>
                    <w:pStyle w:val="6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热风炉烟气</w:t>
                  </w:r>
                </w:p>
              </w:tc>
              <w:tc>
                <w:tcPr>
                  <w:tcW w:w="1162" w:type="pct"/>
                  <w:shd w:val="clear" w:color="auto" w:fill="auto"/>
                  <w:noWrap w:val="0"/>
                  <w:vAlign w:val="center"/>
                </w:tcPr>
                <w:p w14:paraId="7E5FA40F">
                  <w:pPr>
                    <w:pStyle w:val="6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烟尘、二氧化硫、氮氧化物、烟气黑度</w:t>
                  </w:r>
                </w:p>
              </w:tc>
              <w:tc>
                <w:tcPr>
                  <w:tcW w:w="879" w:type="pct"/>
                  <w:shd w:val="clear" w:color="auto" w:fill="auto"/>
                  <w:noWrap w:val="0"/>
                  <w:vAlign w:val="center"/>
                </w:tcPr>
                <w:p w14:paraId="15DCF93E">
                  <w:pPr>
                    <w:pStyle w:val="60"/>
                    <w:ind w:firstLine="0" w:firstLineChars="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布袋除尘器</w:t>
                  </w:r>
                </w:p>
              </w:tc>
              <w:tc>
                <w:tcPr>
                  <w:tcW w:w="1060" w:type="pct"/>
                  <w:shd w:val="clear" w:color="auto" w:fill="auto"/>
                  <w:noWrap w:val="0"/>
                  <w:vAlign w:val="center"/>
                </w:tcPr>
                <w:p w14:paraId="4B8E6B05">
                  <w:pPr>
                    <w:pStyle w:val="6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有组织排放</w:t>
                  </w:r>
                </w:p>
              </w:tc>
            </w:tr>
            <w:tr w14:paraId="575AE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vMerge w:val="continue"/>
                  <w:shd w:val="clear" w:color="auto" w:fill="auto"/>
                  <w:noWrap w:val="0"/>
                  <w:vAlign w:val="center"/>
                </w:tcPr>
                <w:p w14:paraId="2A5B9EE0">
                  <w:pPr>
                    <w:pStyle w:val="60"/>
                    <w:rPr>
                      <w:rFonts w:hint="default" w:ascii="Times New Roman" w:hAnsi="Times New Roman" w:cs="Times New Roman"/>
                      <w:color w:val="auto"/>
                      <w:highlight w:val="none"/>
                    </w:rPr>
                  </w:pPr>
                </w:p>
              </w:tc>
              <w:tc>
                <w:tcPr>
                  <w:tcW w:w="520" w:type="pct"/>
                  <w:vMerge w:val="continue"/>
                  <w:shd w:val="clear" w:color="auto" w:fill="auto"/>
                  <w:noWrap w:val="0"/>
                  <w:vAlign w:val="center"/>
                </w:tcPr>
                <w:p w14:paraId="1A80F6AB">
                  <w:pPr>
                    <w:pStyle w:val="60"/>
                    <w:rPr>
                      <w:rFonts w:hint="default" w:ascii="Times New Roman" w:hAnsi="Times New Roman" w:cs="Times New Roman"/>
                      <w:color w:val="auto"/>
                      <w:highlight w:val="none"/>
                    </w:rPr>
                  </w:pPr>
                </w:p>
              </w:tc>
              <w:tc>
                <w:tcPr>
                  <w:tcW w:w="890" w:type="pct"/>
                  <w:shd w:val="clear" w:color="auto" w:fill="auto"/>
                  <w:noWrap w:val="0"/>
                  <w:vAlign w:val="center"/>
                </w:tcPr>
                <w:p w14:paraId="06FA61B5">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生产、</w:t>
                  </w:r>
                  <w:r>
                    <w:rPr>
                      <w:rFonts w:hint="eastAsia" w:cs="Times New Roman"/>
                      <w:color w:val="auto"/>
                      <w:highlight w:val="none"/>
                      <w:lang w:eastAsia="zh-CN"/>
                    </w:rPr>
                    <w:t>装卸、输送</w:t>
                  </w:r>
                  <w:r>
                    <w:rPr>
                      <w:rFonts w:hint="default" w:ascii="Times New Roman" w:hAnsi="Times New Roman" w:cs="Times New Roman"/>
                      <w:color w:val="auto"/>
                      <w:highlight w:val="none"/>
                    </w:rPr>
                    <w:t>废气</w:t>
                  </w:r>
                </w:p>
              </w:tc>
              <w:tc>
                <w:tcPr>
                  <w:tcW w:w="1162" w:type="pct"/>
                  <w:shd w:val="clear" w:color="auto" w:fill="auto"/>
                  <w:noWrap w:val="0"/>
                  <w:vAlign w:val="center"/>
                </w:tcPr>
                <w:p w14:paraId="40D1A69E">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879" w:type="pct"/>
                  <w:shd w:val="clear" w:color="auto" w:fill="auto"/>
                  <w:noWrap w:val="0"/>
                  <w:vAlign w:val="center"/>
                </w:tcPr>
                <w:p w14:paraId="403C7B10">
                  <w:pPr>
                    <w:pStyle w:val="6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仓库</w:t>
                  </w:r>
                  <w:r>
                    <w:rPr>
                      <w:rFonts w:hint="eastAsia" w:cs="Times New Roman"/>
                      <w:color w:val="auto"/>
                      <w:highlight w:val="none"/>
                      <w:lang w:eastAsia="zh-CN"/>
                    </w:rPr>
                    <w:t>封闭</w:t>
                  </w:r>
                </w:p>
              </w:tc>
              <w:tc>
                <w:tcPr>
                  <w:tcW w:w="1060" w:type="pct"/>
                  <w:shd w:val="clear" w:color="auto" w:fill="auto"/>
                  <w:noWrap w:val="0"/>
                  <w:vAlign w:val="center"/>
                </w:tcPr>
                <w:p w14:paraId="114BB578">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无组织排放</w:t>
                  </w:r>
                </w:p>
              </w:tc>
            </w:tr>
            <w:tr w14:paraId="3483A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shd w:val="clear" w:color="auto" w:fill="auto"/>
                  <w:noWrap w:val="0"/>
                  <w:vAlign w:val="center"/>
                </w:tcPr>
                <w:p w14:paraId="55B6C8BA">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520" w:type="pct"/>
                  <w:shd w:val="clear" w:color="auto" w:fill="auto"/>
                  <w:noWrap w:val="0"/>
                  <w:vAlign w:val="center"/>
                </w:tcPr>
                <w:p w14:paraId="615B6810">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890" w:type="pct"/>
                  <w:shd w:val="clear" w:color="auto" w:fill="auto"/>
                  <w:noWrap w:val="0"/>
                  <w:vAlign w:val="center"/>
                </w:tcPr>
                <w:p w14:paraId="7828B980">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设备噪声</w:t>
                  </w:r>
                </w:p>
              </w:tc>
              <w:tc>
                <w:tcPr>
                  <w:tcW w:w="1162" w:type="pct"/>
                  <w:shd w:val="clear" w:color="auto" w:fill="auto"/>
                  <w:noWrap w:val="0"/>
                  <w:vAlign w:val="center"/>
                </w:tcPr>
                <w:p w14:paraId="38F89BBE">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879" w:type="pct"/>
                  <w:shd w:val="clear" w:color="auto" w:fill="auto"/>
                  <w:noWrap w:val="0"/>
                  <w:vAlign w:val="center"/>
                </w:tcPr>
                <w:p w14:paraId="1B0A4B21">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选用低噪声设备，基础减振等措施</w:t>
                  </w:r>
                </w:p>
              </w:tc>
              <w:tc>
                <w:tcPr>
                  <w:tcW w:w="1060" w:type="pct"/>
                  <w:shd w:val="clear" w:color="auto" w:fill="auto"/>
                  <w:noWrap w:val="0"/>
                  <w:vAlign w:val="center"/>
                </w:tcPr>
                <w:p w14:paraId="572A2B45">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72FB2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85" w:type="pct"/>
                  <w:vMerge w:val="restart"/>
                  <w:shd w:val="clear" w:color="auto" w:fill="auto"/>
                  <w:noWrap w:val="0"/>
                  <w:vAlign w:val="center"/>
                </w:tcPr>
                <w:p w14:paraId="5523B4B4">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520" w:type="pct"/>
                  <w:vMerge w:val="restart"/>
                  <w:shd w:val="clear" w:color="auto" w:fill="auto"/>
                  <w:noWrap w:val="0"/>
                  <w:vAlign w:val="center"/>
                </w:tcPr>
                <w:p w14:paraId="2D1F0447">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890" w:type="pct"/>
                  <w:shd w:val="clear" w:color="auto" w:fill="auto"/>
                  <w:noWrap w:val="0"/>
                  <w:vAlign w:val="center"/>
                </w:tcPr>
                <w:p w14:paraId="36AB11C6">
                  <w:pPr>
                    <w:pStyle w:val="6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生活垃圾</w:t>
                  </w:r>
                </w:p>
              </w:tc>
              <w:tc>
                <w:tcPr>
                  <w:tcW w:w="1162" w:type="pct"/>
                  <w:shd w:val="clear" w:color="auto" w:fill="auto"/>
                  <w:noWrap w:val="0"/>
                  <w:vAlign w:val="center"/>
                </w:tcPr>
                <w:p w14:paraId="0F6AAF90">
                  <w:pPr>
                    <w:pStyle w:val="60"/>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生活垃圾</w:t>
                  </w:r>
                </w:p>
              </w:tc>
              <w:tc>
                <w:tcPr>
                  <w:tcW w:w="879" w:type="pct"/>
                  <w:shd w:val="clear" w:color="auto" w:fill="auto"/>
                  <w:noWrap w:val="0"/>
                  <w:vAlign w:val="center"/>
                </w:tcPr>
                <w:p w14:paraId="658674E9">
                  <w:pPr>
                    <w:pStyle w:val="6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w:t>
                  </w:r>
                </w:p>
              </w:tc>
              <w:tc>
                <w:tcPr>
                  <w:tcW w:w="1060" w:type="pct"/>
                  <w:shd w:val="clear" w:color="auto" w:fill="auto"/>
                  <w:noWrap w:val="0"/>
                  <w:vAlign w:val="center"/>
                </w:tcPr>
                <w:p w14:paraId="1A6EE91D">
                  <w:pPr>
                    <w:pStyle w:val="6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交由市政环卫部门统一处理</w:t>
                  </w:r>
                </w:p>
              </w:tc>
            </w:tr>
            <w:tr w14:paraId="51956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85" w:type="pct"/>
                  <w:vMerge w:val="continue"/>
                  <w:shd w:val="clear" w:color="auto" w:fill="auto"/>
                  <w:noWrap w:val="0"/>
                  <w:vAlign w:val="center"/>
                </w:tcPr>
                <w:p w14:paraId="668F3C87">
                  <w:pPr>
                    <w:pStyle w:val="60"/>
                    <w:rPr>
                      <w:rFonts w:hint="default" w:ascii="Times New Roman" w:hAnsi="Times New Roman" w:cs="Times New Roman"/>
                      <w:color w:val="auto"/>
                      <w:highlight w:val="none"/>
                    </w:rPr>
                  </w:pPr>
                </w:p>
              </w:tc>
              <w:tc>
                <w:tcPr>
                  <w:tcW w:w="520" w:type="pct"/>
                  <w:vMerge w:val="continue"/>
                  <w:shd w:val="clear" w:color="auto" w:fill="auto"/>
                  <w:noWrap w:val="0"/>
                  <w:vAlign w:val="center"/>
                </w:tcPr>
                <w:p w14:paraId="58FA70AC">
                  <w:pPr>
                    <w:pStyle w:val="60"/>
                    <w:rPr>
                      <w:rFonts w:hint="default" w:ascii="Times New Roman" w:hAnsi="Times New Roman" w:cs="Times New Roman"/>
                      <w:color w:val="auto"/>
                      <w:highlight w:val="none"/>
                    </w:rPr>
                  </w:pPr>
                </w:p>
              </w:tc>
              <w:tc>
                <w:tcPr>
                  <w:tcW w:w="890" w:type="pct"/>
                  <w:vMerge w:val="restart"/>
                  <w:shd w:val="clear" w:color="auto" w:fill="auto"/>
                  <w:noWrap w:val="0"/>
                  <w:vAlign w:val="center"/>
                </w:tcPr>
                <w:p w14:paraId="5D51ED84">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一般固废</w:t>
                  </w:r>
                </w:p>
              </w:tc>
              <w:tc>
                <w:tcPr>
                  <w:tcW w:w="1162" w:type="pct"/>
                  <w:shd w:val="clear" w:color="auto" w:fill="auto"/>
                  <w:noWrap w:val="0"/>
                  <w:vAlign w:val="center"/>
                </w:tcPr>
                <w:p w14:paraId="3A24CEA2">
                  <w:pPr>
                    <w:pStyle w:val="60"/>
                    <w:rPr>
                      <w:rFonts w:hint="default" w:ascii="Times New Roman" w:hAnsi="Times New Roman" w:cs="Times New Roman"/>
                      <w:color w:val="auto"/>
                      <w:highlight w:val="none"/>
                    </w:rPr>
                  </w:pPr>
                  <w:r>
                    <w:rPr>
                      <w:rFonts w:hint="eastAsia"/>
                      <w:color w:val="auto"/>
                      <w:highlight w:val="none"/>
                      <w:lang w:eastAsia="zh-CN"/>
                    </w:rPr>
                    <w:t>装卸、输送、筛分、</w:t>
                  </w:r>
                  <w:r>
                    <w:rPr>
                      <w:rFonts w:hint="eastAsia"/>
                      <w:color w:val="auto"/>
                      <w:highlight w:val="none"/>
                      <w:lang w:val="en-US" w:eastAsia="zh-CN"/>
                    </w:rPr>
                    <w:t>烘干塔</w:t>
                  </w:r>
                  <w:r>
                    <w:rPr>
                      <w:rFonts w:hint="default" w:ascii="Times New Roman" w:hAnsi="Times New Roman" w:cs="Times New Roman"/>
                      <w:color w:val="auto"/>
                      <w:highlight w:val="none"/>
                    </w:rPr>
                    <w:t>收尘</w:t>
                  </w:r>
                </w:p>
              </w:tc>
              <w:tc>
                <w:tcPr>
                  <w:tcW w:w="879" w:type="pct"/>
                  <w:shd w:val="clear" w:color="auto" w:fill="auto"/>
                  <w:noWrap w:val="0"/>
                  <w:vAlign w:val="center"/>
                </w:tcPr>
                <w:p w14:paraId="01E1ABCC">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060" w:type="pct"/>
                  <w:shd w:val="clear" w:color="auto" w:fill="auto"/>
                  <w:noWrap w:val="0"/>
                  <w:vAlign w:val="center"/>
                </w:tcPr>
                <w:p w14:paraId="5206E5FB">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外售综合利用</w:t>
                  </w:r>
                </w:p>
              </w:tc>
            </w:tr>
            <w:tr w14:paraId="435FAD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vMerge w:val="continue"/>
                  <w:shd w:val="clear" w:color="auto" w:fill="auto"/>
                  <w:noWrap w:val="0"/>
                  <w:vAlign w:val="center"/>
                </w:tcPr>
                <w:p w14:paraId="2698B4EA">
                  <w:pPr>
                    <w:pStyle w:val="60"/>
                    <w:rPr>
                      <w:rFonts w:hint="default" w:ascii="Times New Roman" w:hAnsi="Times New Roman" w:cs="Times New Roman"/>
                      <w:color w:val="auto"/>
                      <w:highlight w:val="none"/>
                    </w:rPr>
                  </w:pPr>
                </w:p>
              </w:tc>
              <w:tc>
                <w:tcPr>
                  <w:tcW w:w="520" w:type="pct"/>
                  <w:vMerge w:val="continue"/>
                  <w:shd w:val="clear" w:color="auto" w:fill="auto"/>
                  <w:noWrap w:val="0"/>
                  <w:vAlign w:val="center"/>
                </w:tcPr>
                <w:p w14:paraId="31C6B262">
                  <w:pPr>
                    <w:pStyle w:val="60"/>
                    <w:rPr>
                      <w:rFonts w:hint="default" w:ascii="Times New Roman" w:hAnsi="Times New Roman" w:cs="Times New Roman"/>
                      <w:color w:val="auto"/>
                      <w:highlight w:val="none"/>
                    </w:rPr>
                  </w:pPr>
                </w:p>
              </w:tc>
              <w:tc>
                <w:tcPr>
                  <w:tcW w:w="890" w:type="pct"/>
                  <w:vMerge w:val="continue"/>
                  <w:shd w:val="clear" w:color="auto" w:fill="auto"/>
                  <w:noWrap w:val="0"/>
                  <w:vAlign w:val="center"/>
                </w:tcPr>
                <w:p w14:paraId="74CF4305">
                  <w:pPr>
                    <w:pStyle w:val="60"/>
                    <w:rPr>
                      <w:rFonts w:hint="default" w:ascii="Times New Roman" w:hAnsi="Times New Roman" w:cs="Times New Roman"/>
                      <w:color w:val="auto"/>
                      <w:highlight w:val="none"/>
                    </w:rPr>
                  </w:pPr>
                </w:p>
              </w:tc>
              <w:tc>
                <w:tcPr>
                  <w:tcW w:w="1162" w:type="pct"/>
                  <w:shd w:val="clear" w:color="auto" w:fill="auto"/>
                  <w:noWrap w:val="0"/>
                  <w:vAlign w:val="center"/>
                </w:tcPr>
                <w:p w14:paraId="11BC02AE">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杂质</w:t>
                  </w:r>
                </w:p>
              </w:tc>
              <w:tc>
                <w:tcPr>
                  <w:tcW w:w="879" w:type="pct"/>
                  <w:shd w:val="clear" w:color="auto" w:fill="auto"/>
                  <w:noWrap w:val="0"/>
                  <w:vAlign w:val="center"/>
                </w:tcPr>
                <w:p w14:paraId="6410FC33">
                  <w:pPr>
                    <w:pStyle w:val="6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060" w:type="pct"/>
                  <w:shd w:val="clear" w:color="auto" w:fill="auto"/>
                  <w:noWrap w:val="0"/>
                  <w:vAlign w:val="center"/>
                </w:tcPr>
                <w:p w14:paraId="600A4D71">
                  <w:pPr>
                    <w:pStyle w:val="60"/>
                    <w:rPr>
                      <w:rFonts w:hint="eastAsia"/>
                      <w:color w:val="auto"/>
                      <w:highlight w:val="none"/>
                    </w:rPr>
                  </w:pPr>
                  <w:r>
                    <w:rPr>
                      <w:rFonts w:hint="eastAsia" w:cs="Times New Roman"/>
                      <w:color w:val="auto"/>
                      <w:highlight w:val="none"/>
                      <w:lang w:val="en-US" w:eastAsia="zh-CN"/>
                    </w:rPr>
                    <w:t>分类</w:t>
                  </w:r>
                  <w:r>
                    <w:rPr>
                      <w:rFonts w:hint="default" w:ascii="Times New Roman" w:hAnsi="Times New Roman" w:cs="Times New Roman"/>
                      <w:color w:val="auto"/>
                      <w:highlight w:val="none"/>
                    </w:rPr>
                    <w:t>外售综合利用</w:t>
                  </w:r>
                </w:p>
              </w:tc>
            </w:tr>
            <w:tr w14:paraId="56EC1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vMerge w:val="continue"/>
                  <w:shd w:val="clear" w:color="auto" w:fill="auto"/>
                  <w:noWrap w:val="0"/>
                  <w:vAlign w:val="center"/>
                </w:tcPr>
                <w:p w14:paraId="6B2ABDCC">
                  <w:pPr>
                    <w:pStyle w:val="60"/>
                    <w:rPr>
                      <w:rFonts w:hint="default" w:ascii="Times New Roman" w:hAnsi="Times New Roman" w:cs="Times New Roman"/>
                      <w:color w:val="auto"/>
                      <w:highlight w:val="none"/>
                    </w:rPr>
                  </w:pPr>
                </w:p>
              </w:tc>
              <w:tc>
                <w:tcPr>
                  <w:tcW w:w="520" w:type="pct"/>
                  <w:vMerge w:val="continue"/>
                  <w:shd w:val="clear" w:color="auto" w:fill="auto"/>
                  <w:noWrap w:val="0"/>
                  <w:vAlign w:val="center"/>
                </w:tcPr>
                <w:p w14:paraId="5293AD69">
                  <w:pPr>
                    <w:pStyle w:val="60"/>
                    <w:rPr>
                      <w:rFonts w:hint="default" w:ascii="Times New Roman" w:hAnsi="Times New Roman" w:cs="Times New Roman"/>
                      <w:color w:val="auto"/>
                      <w:highlight w:val="none"/>
                    </w:rPr>
                  </w:pPr>
                </w:p>
              </w:tc>
              <w:tc>
                <w:tcPr>
                  <w:tcW w:w="890" w:type="pct"/>
                  <w:vMerge w:val="continue"/>
                  <w:shd w:val="clear" w:color="auto" w:fill="auto"/>
                  <w:noWrap w:val="0"/>
                  <w:vAlign w:val="center"/>
                </w:tcPr>
                <w:p w14:paraId="3B4A37AE">
                  <w:pPr>
                    <w:pStyle w:val="60"/>
                    <w:rPr>
                      <w:rFonts w:hint="default" w:ascii="Times New Roman" w:hAnsi="Times New Roman" w:cs="Times New Roman"/>
                      <w:color w:val="auto"/>
                      <w:highlight w:val="none"/>
                    </w:rPr>
                  </w:pPr>
                </w:p>
              </w:tc>
              <w:tc>
                <w:tcPr>
                  <w:tcW w:w="1162" w:type="pct"/>
                  <w:shd w:val="clear" w:color="auto" w:fill="auto"/>
                  <w:noWrap w:val="0"/>
                  <w:vAlign w:val="center"/>
                </w:tcPr>
                <w:p w14:paraId="4BF1D296">
                  <w:pPr>
                    <w:pStyle w:val="6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废布袋</w:t>
                  </w:r>
                </w:p>
              </w:tc>
              <w:tc>
                <w:tcPr>
                  <w:tcW w:w="879" w:type="pct"/>
                  <w:shd w:val="clear" w:color="auto" w:fill="auto"/>
                  <w:noWrap w:val="0"/>
                  <w:vAlign w:val="center"/>
                </w:tcPr>
                <w:p w14:paraId="667343E2">
                  <w:pPr>
                    <w:pStyle w:val="6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060" w:type="pct"/>
                  <w:shd w:val="clear" w:color="auto" w:fill="auto"/>
                  <w:noWrap w:val="0"/>
                  <w:vAlign w:val="center"/>
                </w:tcPr>
                <w:p w14:paraId="32E8D495">
                  <w:pPr>
                    <w:pStyle w:val="6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厂家更换回收</w:t>
                  </w:r>
                </w:p>
              </w:tc>
            </w:tr>
            <w:tr w14:paraId="7FBE71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5" w:type="pct"/>
                  <w:vMerge w:val="continue"/>
                  <w:shd w:val="clear" w:color="auto" w:fill="auto"/>
                  <w:noWrap w:val="0"/>
                  <w:vAlign w:val="center"/>
                </w:tcPr>
                <w:p w14:paraId="141BE18C">
                  <w:pPr>
                    <w:pStyle w:val="60"/>
                    <w:rPr>
                      <w:rFonts w:hint="default" w:ascii="Times New Roman" w:hAnsi="Times New Roman" w:cs="Times New Roman"/>
                      <w:color w:val="auto"/>
                      <w:highlight w:val="none"/>
                    </w:rPr>
                  </w:pPr>
                </w:p>
              </w:tc>
              <w:tc>
                <w:tcPr>
                  <w:tcW w:w="520" w:type="pct"/>
                  <w:vMerge w:val="continue"/>
                  <w:shd w:val="clear" w:color="auto" w:fill="auto"/>
                  <w:noWrap w:val="0"/>
                  <w:vAlign w:val="center"/>
                </w:tcPr>
                <w:p w14:paraId="5EFBED58">
                  <w:pPr>
                    <w:pStyle w:val="60"/>
                    <w:rPr>
                      <w:rFonts w:hint="default" w:ascii="Times New Roman" w:hAnsi="Times New Roman" w:cs="Times New Roman"/>
                      <w:color w:val="auto"/>
                      <w:highlight w:val="none"/>
                    </w:rPr>
                  </w:pPr>
                </w:p>
              </w:tc>
              <w:tc>
                <w:tcPr>
                  <w:tcW w:w="890" w:type="pct"/>
                  <w:vMerge w:val="continue"/>
                  <w:shd w:val="clear" w:color="auto" w:fill="auto"/>
                  <w:noWrap w:val="0"/>
                  <w:vAlign w:val="center"/>
                </w:tcPr>
                <w:p w14:paraId="3032E448">
                  <w:pPr>
                    <w:pStyle w:val="60"/>
                    <w:rPr>
                      <w:rFonts w:hint="default" w:ascii="Times New Roman" w:hAnsi="Times New Roman" w:cs="Times New Roman"/>
                      <w:color w:val="auto"/>
                      <w:highlight w:val="none"/>
                    </w:rPr>
                  </w:pPr>
                </w:p>
              </w:tc>
              <w:tc>
                <w:tcPr>
                  <w:tcW w:w="1162" w:type="pct"/>
                  <w:shd w:val="clear" w:color="auto" w:fill="auto"/>
                  <w:noWrap w:val="0"/>
                  <w:vAlign w:val="center"/>
                </w:tcPr>
                <w:p w14:paraId="42ABD887">
                  <w:pPr>
                    <w:pStyle w:val="6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热风炉灰渣</w:t>
                  </w:r>
                </w:p>
                <w:p w14:paraId="4DE28DCD">
                  <w:pPr>
                    <w:pStyle w:val="6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炉渣+除尘灰</w:t>
                  </w:r>
                  <w:r>
                    <w:rPr>
                      <w:rFonts w:hint="default" w:ascii="Times New Roman" w:hAnsi="Times New Roman" w:cs="Times New Roman"/>
                      <w:color w:val="auto"/>
                      <w:szCs w:val="21"/>
                      <w:highlight w:val="none"/>
                      <w:lang w:eastAsia="zh-CN"/>
                    </w:rPr>
                    <w:t>）</w:t>
                  </w:r>
                </w:p>
              </w:tc>
              <w:tc>
                <w:tcPr>
                  <w:tcW w:w="879" w:type="pct"/>
                  <w:shd w:val="clear" w:color="auto" w:fill="auto"/>
                  <w:noWrap w:val="0"/>
                  <w:vAlign w:val="center"/>
                </w:tcPr>
                <w:p w14:paraId="69167219">
                  <w:pPr>
                    <w:pStyle w:val="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060" w:type="pct"/>
                  <w:shd w:val="clear" w:color="auto" w:fill="auto"/>
                  <w:noWrap w:val="0"/>
                  <w:vAlign w:val="center"/>
                </w:tcPr>
                <w:p w14:paraId="4120B88B">
                  <w:pPr>
                    <w:pStyle w:val="6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外售综合利用</w:t>
                  </w:r>
                </w:p>
              </w:tc>
            </w:tr>
          </w:tbl>
          <w:p w14:paraId="48562965">
            <w:pPr>
              <w:pStyle w:val="36"/>
              <w:ind w:firstLine="0" w:firstLineChars="0"/>
              <w:rPr>
                <w:rFonts w:hint="default" w:ascii="Times New Roman" w:hAnsi="Times New Roman" w:cs="Times New Roman"/>
                <w:color w:val="auto"/>
                <w:highlight w:val="none"/>
              </w:rPr>
            </w:pPr>
          </w:p>
        </w:tc>
      </w:tr>
      <w:tr w14:paraId="13137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23" w:hRule="atLeast"/>
          <w:jc w:val="center"/>
        </w:trPr>
        <w:tc>
          <w:tcPr>
            <w:tcW w:w="474" w:type="pct"/>
            <w:noWrap w:val="0"/>
            <w:vAlign w:val="center"/>
          </w:tcPr>
          <w:p w14:paraId="53B34A99">
            <w:pPr>
              <w:wordWrap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与项目有关的现有环境污染问题</w:t>
            </w:r>
          </w:p>
        </w:tc>
        <w:tc>
          <w:tcPr>
            <w:tcW w:w="4525" w:type="pct"/>
            <w:noWrap w:val="0"/>
            <w:vAlign w:val="center"/>
          </w:tcPr>
          <w:p w14:paraId="57236BE0">
            <w:pPr>
              <w:pStyle w:val="45"/>
              <w:rPr>
                <w:rFonts w:hint="default" w:ascii="Times New Roman" w:hAnsi="Times New Roman" w:cs="Times New Roman"/>
                <w:color w:val="auto"/>
                <w:highlight w:val="none"/>
              </w:rPr>
            </w:pPr>
            <w:r>
              <w:rPr>
                <w:rFonts w:hint="eastAsia"/>
                <w:color w:val="auto"/>
                <w:highlight w:val="none"/>
              </w:rPr>
              <w:t>本项目属于新建项目，不存在与项目有关的原有环境污染问题。</w:t>
            </w:r>
          </w:p>
        </w:tc>
      </w:tr>
    </w:tbl>
    <w:p w14:paraId="006123F4">
      <w:pPr>
        <w:jc w:val="center"/>
        <w:rPr>
          <w:rFonts w:hint="default" w:ascii="Times New Roman" w:hAnsi="Times New Roman" w:cs="Times New Roman"/>
          <w:snapToGrid w:val="0"/>
          <w:color w:val="auto"/>
          <w:sz w:val="36"/>
          <w:szCs w:val="36"/>
          <w:highlight w:val="none"/>
        </w:rPr>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14:paraId="131E7658">
      <w:pPr>
        <w:adjustRightInd w:val="0"/>
        <w:snapToGrid w:val="0"/>
        <w:spacing w:line="14" w:lineRule="auto"/>
        <w:jc w:val="center"/>
        <w:rPr>
          <w:rFonts w:hint="default" w:ascii="Times New Roman" w:hAnsi="Times New Roman" w:cs="Times New Roman"/>
          <w:snapToGrid w:val="0"/>
          <w:color w:val="auto"/>
          <w:sz w:val="30"/>
          <w:szCs w:val="30"/>
          <w:highlight w:val="none"/>
        </w:rPr>
      </w:pPr>
    </w:p>
    <w:p w14:paraId="7DA64F4D">
      <w:pPr>
        <w:wordWrap w:val="0"/>
        <w:topLinePunct/>
        <w:jc w:val="center"/>
        <w:outlineLvl w:val="0"/>
        <w:rPr>
          <w:rFonts w:hint="default" w:ascii="Times New Roman" w:hAnsi="Times New Roman" w:cs="Times New Roman"/>
          <w:b/>
          <w:snapToGrid w:val="0"/>
          <w:color w:val="auto"/>
          <w:sz w:val="30"/>
          <w:szCs w:val="30"/>
          <w:highlight w:val="none"/>
        </w:rPr>
      </w:pPr>
      <w:bookmarkStart w:id="9" w:name="_Toc23734"/>
      <w:r>
        <w:rPr>
          <w:rFonts w:hint="default" w:ascii="Times New Roman" w:hAnsi="Times New Roman" w:cs="Times New Roman"/>
          <w:b/>
          <w:snapToGrid w:val="0"/>
          <w:color w:val="auto"/>
          <w:sz w:val="30"/>
          <w:szCs w:val="30"/>
          <w:highlight w:val="none"/>
        </w:rPr>
        <w:t>三、区域环境质量现状、环境保护目标及评价标准</w:t>
      </w:r>
      <w:bookmarkEnd w:id="9"/>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7703"/>
      </w:tblGrid>
      <w:tr w14:paraId="052D56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81" w:type="pct"/>
            <w:noWrap w:val="0"/>
            <w:vAlign w:val="center"/>
          </w:tcPr>
          <w:p w14:paraId="1192A2AB">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区域</w:t>
            </w:r>
          </w:p>
          <w:p w14:paraId="051C9139">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36D3CE95">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质量</w:t>
            </w:r>
          </w:p>
          <w:p w14:paraId="352B2E1B">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现状</w:t>
            </w:r>
          </w:p>
        </w:tc>
        <w:tc>
          <w:tcPr>
            <w:tcW w:w="4518" w:type="pct"/>
            <w:noWrap w:val="0"/>
            <w:vAlign w:val="center"/>
          </w:tcPr>
          <w:p w14:paraId="50290D24">
            <w:pPr>
              <w:pStyle w:val="59"/>
              <w:spacing w:before="120" w:beforeLines="50"/>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1.</w:t>
            </w:r>
            <w:r>
              <w:rPr>
                <w:rFonts w:hint="default" w:ascii="Times New Roman" w:hAnsi="Times New Roman" w:cs="Times New Roman"/>
                <w:b/>
                <w:bCs/>
                <w:color w:val="auto"/>
                <w:highlight w:val="none"/>
              </w:rPr>
              <w:t>大气环境</w:t>
            </w:r>
          </w:p>
          <w:p w14:paraId="29FC2157">
            <w:pPr>
              <w:pStyle w:val="46"/>
              <w:ind w:firstLine="48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（1）</w:t>
            </w:r>
            <w:r>
              <w:rPr>
                <w:rFonts w:hint="eastAsia"/>
                <w:color w:val="auto"/>
                <w:sz w:val="24"/>
                <w:szCs w:val="24"/>
                <w:highlight w:val="none"/>
              </w:rPr>
              <w:t>达标区判定</w:t>
            </w:r>
          </w:p>
          <w:p w14:paraId="6E0BC181">
            <w:pPr>
              <w:keepNext w:val="0"/>
              <w:keepLines w:val="0"/>
              <w:pageBreakBefore w:val="0"/>
              <w:widowControl w:val="0"/>
              <w:suppressLineNumbers w:val="0"/>
              <w:kinsoku/>
              <w:wordWrap w:val="0"/>
              <w:overflowPunct/>
              <w:topLinePunct/>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u w:val="none"/>
                <w:lang w:val="en-US" w:eastAsia="zh-CN" w:bidi="ar-SA"/>
              </w:rPr>
            </w:pPr>
            <w:r>
              <w:rPr>
                <w:rFonts w:hint="default" w:ascii="Times New Roman" w:hAnsi="Times New Roman" w:eastAsia="宋体" w:cs="Times New Roman"/>
                <w:snapToGrid w:val="0"/>
                <w:color w:val="auto"/>
                <w:sz w:val="24"/>
                <w:szCs w:val="24"/>
                <w:highlight w:val="none"/>
                <w:u w:val="none"/>
                <w:lang w:val="en-US" w:eastAsia="zh-CN" w:bidi="ar-SA"/>
              </w:rPr>
              <w:t>根据《2025年黑龙江省生态环境质量状况》，2025年</w:t>
            </w:r>
            <w:r>
              <w:rPr>
                <w:rFonts w:hint="default" w:ascii="Times New Roman" w:hAnsi="Times New Roman" w:eastAsia="宋体" w:cs="Times New Roman"/>
                <w:color w:val="auto"/>
                <w:kern w:val="0"/>
                <w:sz w:val="24"/>
                <w:szCs w:val="24"/>
                <w:lang w:val="en-US" w:eastAsia="zh-CN" w:bidi="ar"/>
              </w:rPr>
              <w:t>大兴安岭地区空气质量级别达二级标准，达标天数为364天</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99.7%</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。PM</w:t>
            </w:r>
            <w:r>
              <w:rPr>
                <w:rFonts w:hint="default" w:ascii="Times New Roman" w:hAnsi="Times New Roman" w:eastAsia="宋体" w:cs="Times New Roman"/>
                <w:color w:val="auto"/>
                <w:kern w:val="0"/>
                <w:sz w:val="24"/>
                <w:szCs w:val="24"/>
                <w:vertAlign w:val="subscript"/>
                <w:lang w:val="en-US" w:eastAsia="zh-CN" w:bidi="ar"/>
              </w:rPr>
              <w:t>2.5</w:t>
            </w:r>
            <w:r>
              <w:rPr>
                <w:rFonts w:hint="default" w:ascii="Times New Roman" w:hAnsi="Times New Roman" w:eastAsia="宋体" w:cs="Times New Roman"/>
                <w:color w:val="auto"/>
                <w:kern w:val="0"/>
                <w:sz w:val="24"/>
                <w:szCs w:val="24"/>
                <w:lang w:val="en-US" w:eastAsia="zh-CN" w:bidi="ar"/>
              </w:rPr>
              <w:t>、PM</w:t>
            </w:r>
            <w:r>
              <w:rPr>
                <w:rFonts w:hint="default" w:ascii="Times New Roman" w:hAnsi="Times New Roman" w:eastAsia="宋体" w:cs="Times New Roman"/>
                <w:color w:val="auto"/>
                <w:kern w:val="0"/>
                <w:sz w:val="24"/>
                <w:szCs w:val="24"/>
                <w:vertAlign w:val="subscript"/>
                <w:lang w:val="en-US" w:eastAsia="zh-CN" w:bidi="ar"/>
              </w:rPr>
              <w:t>10</w:t>
            </w:r>
            <w:r>
              <w:rPr>
                <w:rFonts w:hint="default" w:ascii="Times New Roman" w:hAnsi="Times New Roman" w:eastAsia="宋体" w:cs="Times New Roman"/>
                <w:color w:val="auto"/>
                <w:kern w:val="0"/>
                <w:sz w:val="24"/>
                <w:szCs w:val="24"/>
                <w:lang w:val="en-US" w:eastAsia="zh-CN" w:bidi="ar"/>
              </w:rPr>
              <w:t>、SO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、NO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、CO-95per和O</w:t>
            </w:r>
            <w:r>
              <w:rPr>
                <w:rFonts w:hint="default" w:ascii="Times New Roman" w:hAnsi="Times New Roman" w:eastAsia="宋体" w:cs="Times New Roman"/>
                <w:color w:val="auto"/>
                <w:kern w:val="0"/>
                <w:sz w:val="24"/>
                <w:szCs w:val="24"/>
                <w:vertAlign w:val="subscript"/>
                <w:lang w:val="en-US" w:eastAsia="zh-CN" w:bidi="ar"/>
              </w:rPr>
              <w:t>3</w:t>
            </w:r>
            <w:r>
              <w:rPr>
                <w:rFonts w:hint="default" w:ascii="Times New Roman" w:hAnsi="Times New Roman" w:eastAsia="宋体" w:cs="Times New Roman"/>
                <w:color w:val="auto"/>
                <w:kern w:val="0"/>
                <w:sz w:val="24"/>
                <w:szCs w:val="24"/>
                <w:lang w:val="en-US" w:eastAsia="zh-CN" w:bidi="ar"/>
              </w:rPr>
              <w:t>-8h-90per年均浓度分别为14μg/m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、21μg/m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、6μg/m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、8μg/m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、0.6mg/m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和92μg/m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snapToGrid w:val="0"/>
                <w:color w:val="auto"/>
                <w:sz w:val="24"/>
                <w:szCs w:val="20"/>
                <w:highlight w:val="none"/>
                <w:u w:val="none"/>
                <w:lang w:val="en-US" w:eastAsia="zh-CN" w:bidi="ar-SA"/>
              </w:rPr>
              <w:t>。</w:t>
            </w:r>
            <w:r>
              <w:rPr>
                <w:rFonts w:hint="default" w:ascii="Times New Roman" w:hAnsi="Times New Roman" w:eastAsia="宋体" w:cs="Times New Roman"/>
                <w:color w:val="auto"/>
                <w:sz w:val="24"/>
                <w:szCs w:val="24"/>
                <w:highlight w:val="none"/>
                <w:u w:val="none"/>
                <w:lang w:val="en-US" w:eastAsia="zh-CN" w:bidi="ar-SA"/>
              </w:rPr>
              <w:t>各污染物平均浓度均低于《环境空气质量标准》（GB3095-2026）表1中过渡阶段浓度限值的二级标准限值。</w:t>
            </w:r>
          </w:p>
          <w:p w14:paraId="280F0D58">
            <w:pPr>
              <w:pStyle w:val="52"/>
              <w:keepNext w:val="0"/>
              <w:keepLines w:val="0"/>
              <w:pageBreakBefore w:val="0"/>
              <w:widowControl w:val="0"/>
              <w:kinsoku/>
              <w:wordWrap w:val="0"/>
              <w:overflowPunct/>
              <w:topLinePunct/>
              <w:autoSpaceDE/>
              <w:autoSpaceDN/>
              <w:bidi w:val="0"/>
              <w:adjustRightInd/>
              <w:snapToGrid/>
              <w:spacing w:before="0" w:beforeLines="0"/>
              <w:textAlignment w:val="auto"/>
              <w:rPr>
                <w:rFonts w:hint="eastAsia"/>
                <w:color w:val="auto"/>
                <w:highlight w:val="none"/>
                <w:lang w:eastAsia="zh-CN"/>
              </w:rPr>
            </w:pPr>
            <w:r>
              <w:rPr>
                <w:rFonts w:hint="default"/>
                <w:color w:val="auto"/>
                <w:highlight w:val="none"/>
              </w:rPr>
              <w:t>《环境空气质量标准》（GB3095-20</w:t>
            </w:r>
            <w:r>
              <w:rPr>
                <w:rFonts w:hint="eastAsia"/>
                <w:color w:val="auto"/>
                <w:highlight w:val="none"/>
                <w:lang w:val="en-US" w:eastAsia="zh-CN"/>
              </w:rPr>
              <w:t>26</w:t>
            </w:r>
            <w:r>
              <w:rPr>
                <w:rFonts w:hint="default"/>
                <w:color w:val="auto"/>
                <w:highlight w:val="none"/>
              </w:rPr>
              <w:t>）</w:t>
            </w:r>
            <w:r>
              <w:rPr>
                <w:rFonts w:hint="eastAsia"/>
                <w:color w:val="auto"/>
                <w:highlight w:val="none"/>
                <w:lang w:val="en-US" w:eastAsia="zh-CN"/>
              </w:rPr>
              <w:t>于2026年3月1日起实施，自标准实施之日起至2030年12月31日，环境空气污染物基本项目实施过渡阶段浓度限值；2031年1月1日起，在全国范围内实施基本项目浓度限值。</w:t>
            </w:r>
            <w:r>
              <w:rPr>
                <w:rFonts w:hint="default"/>
                <w:color w:val="auto"/>
                <w:highlight w:val="none"/>
              </w:rPr>
              <w:t>本项目常规污染物（SO</w:t>
            </w:r>
            <w:r>
              <w:rPr>
                <w:rFonts w:hint="default"/>
                <w:color w:val="auto"/>
                <w:highlight w:val="none"/>
                <w:vertAlign w:val="subscript"/>
              </w:rPr>
              <w:t>2</w:t>
            </w:r>
            <w:r>
              <w:rPr>
                <w:rFonts w:hint="default"/>
                <w:color w:val="auto"/>
                <w:highlight w:val="none"/>
              </w:rPr>
              <w:t>、NO</w:t>
            </w:r>
            <w:r>
              <w:rPr>
                <w:rFonts w:hint="default"/>
                <w:color w:val="auto"/>
                <w:highlight w:val="none"/>
                <w:vertAlign w:val="subscript"/>
              </w:rPr>
              <w:t>2</w:t>
            </w:r>
            <w:r>
              <w:rPr>
                <w:rFonts w:hint="default"/>
                <w:color w:val="auto"/>
                <w:highlight w:val="none"/>
              </w:rPr>
              <w:t>、PM</w:t>
            </w:r>
            <w:r>
              <w:rPr>
                <w:rFonts w:hint="default"/>
                <w:color w:val="auto"/>
                <w:highlight w:val="none"/>
                <w:vertAlign w:val="subscript"/>
              </w:rPr>
              <w:t>10</w:t>
            </w:r>
            <w:r>
              <w:rPr>
                <w:rFonts w:hint="default"/>
                <w:color w:val="auto"/>
                <w:highlight w:val="none"/>
              </w:rPr>
              <w:t>、PM</w:t>
            </w:r>
            <w:r>
              <w:rPr>
                <w:rFonts w:hint="default"/>
                <w:color w:val="auto"/>
                <w:highlight w:val="none"/>
                <w:vertAlign w:val="subscript"/>
              </w:rPr>
              <w:t>2.5</w:t>
            </w:r>
            <w:r>
              <w:rPr>
                <w:rFonts w:hint="default"/>
                <w:color w:val="auto"/>
                <w:highlight w:val="none"/>
              </w:rPr>
              <w:t>、O</w:t>
            </w:r>
            <w:r>
              <w:rPr>
                <w:rFonts w:hint="default"/>
                <w:color w:val="auto"/>
                <w:highlight w:val="none"/>
                <w:vertAlign w:val="subscript"/>
              </w:rPr>
              <w:t>3</w:t>
            </w:r>
            <w:r>
              <w:rPr>
                <w:rFonts w:hint="default"/>
                <w:color w:val="auto"/>
                <w:highlight w:val="none"/>
              </w:rPr>
              <w:t>、CO）区域空气质量现状评价</w:t>
            </w:r>
            <w:r>
              <w:rPr>
                <w:rFonts w:hint="eastAsia"/>
                <w:color w:val="auto"/>
                <w:highlight w:val="none"/>
                <w:lang w:eastAsia="zh-CN"/>
              </w:rPr>
              <w:t>（</w:t>
            </w:r>
            <w:r>
              <w:rPr>
                <w:rFonts w:hint="default"/>
                <w:color w:val="auto"/>
                <w:highlight w:val="none"/>
              </w:rPr>
              <w:t>《环境空气质量标准》（GB3095-20</w:t>
            </w:r>
            <w:r>
              <w:rPr>
                <w:rFonts w:hint="eastAsia"/>
                <w:color w:val="auto"/>
                <w:highlight w:val="none"/>
                <w:lang w:val="en-US" w:eastAsia="zh-CN"/>
              </w:rPr>
              <w:t>26</w:t>
            </w:r>
            <w:r>
              <w:rPr>
                <w:rFonts w:hint="default"/>
                <w:color w:val="auto"/>
                <w:highlight w:val="none"/>
              </w:rPr>
              <w:t>）</w:t>
            </w:r>
            <w:r>
              <w:rPr>
                <w:rFonts w:hint="eastAsia"/>
                <w:color w:val="auto"/>
                <w:highlight w:val="none"/>
                <w:lang w:val="en-US" w:eastAsia="zh-CN"/>
              </w:rPr>
              <w:t>过渡阶段浓度限值二级标准</w:t>
            </w:r>
            <w:r>
              <w:rPr>
                <w:rFonts w:hint="eastAsia"/>
                <w:color w:val="auto"/>
                <w:highlight w:val="none"/>
                <w:lang w:eastAsia="zh-CN"/>
              </w:rPr>
              <w:t>）</w:t>
            </w:r>
            <w:r>
              <w:rPr>
                <w:rFonts w:hint="default"/>
                <w:color w:val="auto"/>
                <w:highlight w:val="none"/>
              </w:rPr>
              <w:t>情况见下表</w:t>
            </w:r>
            <w:r>
              <w:rPr>
                <w:rFonts w:hint="eastAsia"/>
                <w:color w:val="auto"/>
                <w:highlight w:val="none"/>
                <w:lang w:eastAsia="zh-CN"/>
              </w:rPr>
              <w:t>：</w:t>
            </w:r>
          </w:p>
          <w:p w14:paraId="2FA72678">
            <w:pPr>
              <w:pStyle w:val="50"/>
              <w:bidi w:val="0"/>
              <w:rPr>
                <w:rFonts w:hint="default"/>
                <w:color w:val="auto"/>
                <w:highlight w:val="none"/>
              </w:rPr>
            </w:pPr>
            <w:r>
              <w:rPr>
                <w:rFonts w:hint="default"/>
                <w:color w:val="auto"/>
                <w:highlight w:val="none"/>
              </w:rPr>
              <w:t>表3-1</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w:t>
            </w:r>
            <w:r>
              <w:rPr>
                <w:rFonts w:hint="default"/>
                <w:color w:val="auto"/>
                <w:highlight w:val="none"/>
              </w:rPr>
              <w:t>202</w:t>
            </w:r>
            <w:r>
              <w:rPr>
                <w:rFonts w:hint="eastAsia"/>
                <w:color w:val="auto"/>
                <w:highlight w:val="none"/>
                <w:lang w:val="en-US" w:eastAsia="zh-CN"/>
              </w:rPr>
              <w:t>5</w:t>
            </w:r>
            <w:r>
              <w:rPr>
                <w:rFonts w:hint="default"/>
                <w:color w:val="auto"/>
                <w:highlight w:val="none"/>
              </w:rPr>
              <w:t>年</w:t>
            </w:r>
            <w:r>
              <w:rPr>
                <w:rFonts w:hint="default" w:ascii="Times New Roman" w:hAnsi="Times New Roman" w:eastAsia="宋体" w:cs="Times New Roman"/>
                <w:color w:val="auto"/>
                <w:kern w:val="0"/>
                <w:sz w:val="24"/>
                <w:szCs w:val="24"/>
                <w:lang w:val="en-US" w:eastAsia="zh-CN" w:bidi="ar"/>
              </w:rPr>
              <w:t>大兴安岭地区</w:t>
            </w:r>
            <w:r>
              <w:rPr>
                <w:rFonts w:hint="default"/>
                <w:color w:val="auto"/>
                <w:highlight w:val="none"/>
              </w:rPr>
              <w:t>环境空气质量现状评价表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416"/>
              <w:gridCol w:w="1299"/>
              <w:gridCol w:w="1175"/>
              <w:gridCol w:w="1006"/>
              <w:gridCol w:w="836"/>
            </w:tblGrid>
            <w:tr w14:paraId="50C371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1CFA03E2">
                  <w:pPr>
                    <w:pStyle w:val="60"/>
                    <w:bidi w:val="0"/>
                    <w:rPr>
                      <w:color w:val="auto"/>
                      <w:highlight w:val="none"/>
                      <w:lang w:eastAsia="zh-CN"/>
                    </w:rPr>
                  </w:pPr>
                  <w:r>
                    <w:rPr>
                      <w:color w:val="auto"/>
                      <w:highlight w:val="none"/>
                      <w:lang w:eastAsia="zh-CN"/>
                    </w:rPr>
                    <w:t>污染物</w:t>
                  </w:r>
                </w:p>
              </w:tc>
              <w:tc>
                <w:tcPr>
                  <w:tcW w:w="1612" w:type="pct"/>
                  <w:tcBorders>
                    <w:tl2br w:val="nil"/>
                    <w:tr2bl w:val="nil"/>
                  </w:tcBorders>
                  <w:vAlign w:val="center"/>
                </w:tcPr>
                <w:p w14:paraId="6656E723">
                  <w:pPr>
                    <w:pStyle w:val="60"/>
                    <w:bidi w:val="0"/>
                    <w:rPr>
                      <w:color w:val="auto"/>
                      <w:highlight w:val="none"/>
                      <w:lang w:eastAsia="zh-CN"/>
                    </w:rPr>
                  </w:pPr>
                  <w:r>
                    <w:rPr>
                      <w:color w:val="auto"/>
                      <w:highlight w:val="none"/>
                      <w:lang w:eastAsia="zh-CN"/>
                    </w:rPr>
                    <w:t>年评价指标</w:t>
                  </w:r>
                </w:p>
              </w:tc>
              <w:tc>
                <w:tcPr>
                  <w:tcW w:w="867" w:type="pct"/>
                  <w:tcBorders>
                    <w:tl2br w:val="nil"/>
                    <w:tr2bl w:val="nil"/>
                  </w:tcBorders>
                  <w:vAlign w:val="center"/>
                </w:tcPr>
                <w:p w14:paraId="0024E41A">
                  <w:pPr>
                    <w:pStyle w:val="60"/>
                    <w:bidi w:val="0"/>
                    <w:rPr>
                      <w:color w:val="auto"/>
                      <w:highlight w:val="none"/>
                      <w:lang w:eastAsia="zh-CN"/>
                    </w:rPr>
                  </w:pPr>
                  <w:r>
                    <w:rPr>
                      <w:color w:val="auto"/>
                      <w:highlight w:val="none"/>
                      <w:lang w:eastAsia="zh-CN"/>
                    </w:rPr>
                    <w:t>现状浓度</w:t>
                  </w:r>
                </w:p>
                <w:p w14:paraId="022B0020">
                  <w:pPr>
                    <w:pStyle w:val="60"/>
                    <w:bidi w:val="0"/>
                    <w:rPr>
                      <w:color w:val="auto"/>
                      <w:highlight w:val="none"/>
                      <w:lang w:eastAsia="zh-CN"/>
                    </w:rPr>
                  </w:pPr>
                  <w:r>
                    <w:rPr>
                      <w:rFonts w:hint="eastAsia"/>
                      <w:color w:val="auto"/>
                      <w:highlight w:val="none"/>
                      <w:lang w:eastAsia="zh-CN"/>
                    </w:rPr>
                    <w:t>(</w:t>
                  </w:r>
                  <w:r>
                    <w:rPr>
                      <w:color w:val="auto"/>
                      <w:highlight w:val="none"/>
                      <w:lang w:eastAsia="zh-CN"/>
                    </w:rPr>
                    <w:t>μg/m</w:t>
                  </w:r>
                  <w:r>
                    <w:rPr>
                      <w:color w:val="auto"/>
                      <w:highlight w:val="none"/>
                      <w:vertAlign w:val="superscript"/>
                      <w:lang w:eastAsia="zh-CN"/>
                    </w:rPr>
                    <w:t>3</w:t>
                  </w:r>
                  <w:r>
                    <w:rPr>
                      <w:rFonts w:hint="eastAsia"/>
                      <w:color w:val="auto"/>
                      <w:highlight w:val="none"/>
                      <w:vertAlign w:val="superscript"/>
                      <w:lang w:eastAsia="zh-CN"/>
                    </w:rPr>
                    <w:t>)</w:t>
                  </w:r>
                </w:p>
              </w:tc>
              <w:tc>
                <w:tcPr>
                  <w:tcW w:w="784" w:type="pct"/>
                  <w:tcBorders>
                    <w:tl2br w:val="nil"/>
                    <w:tr2bl w:val="nil"/>
                  </w:tcBorders>
                  <w:vAlign w:val="center"/>
                </w:tcPr>
                <w:p w14:paraId="6C1019F5">
                  <w:pPr>
                    <w:pStyle w:val="60"/>
                    <w:bidi w:val="0"/>
                    <w:rPr>
                      <w:color w:val="auto"/>
                      <w:highlight w:val="none"/>
                      <w:lang w:eastAsia="zh-CN"/>
                    </w:rPr>
                  </w:pPr>
                  <w:r>
                    <w:rPr>
                      <w:rFonts w:hint="eastAsia"/>
                      <w:color w:val="auto"/>
                      <w:highlight w:val="none"/>
                      <w:lang w:eastAsia="zh-CN"/>
                    </w:rPr>
                    <w:t>过渡阶段浓度限值二级</w:t>
                  </w:r>
                  <w:r>
                    <w:rPr>
                      <w:color w:val="auto"/>
                      <w:highlight w:val="none"/>
                      <w:lang w:eastAsia="zh-CN"/>
                    </w:rPr>
                    <w:t>标准值</w:t>
                  </w:r>
                </w:p>
                <w:p w14:paraId="32377225">
                  <w:pPr>
                    <w:pStyle w:val="60"/>
                    <w:bidi w:val="0"/>
                    <w:rPr>
                      <w:color w:val="auto"/>
                      <w:highlight w:val="none"/>
                      <w:lang w:eastAsia="zh-CN"/>
                    </w:rPr>
                  </w:pPr>
                  <w:r>
                    <w:rPr>
                      <w:rFonts w:hint="eastAsia"/>
                      <w:color w:val="auto"/>
                      <w:highlight w:val="none"/>
                      <w:lang w:eastAsia="zh-CN"/>
                    </w:rPr>
                    <w:t>(</w:t>
                  </w:r>
                  <w:r>
                    <w:rPr>
                      <w:color w:val="auto"/>
                      <w:highlight w:val="none"/>
                      <w:lang w:eastAsia="zh-CN"/>
                    </w:rPr>
                    <w:t>μg/m</w:t>
                  </w:r>
                  <w:r>
                    <w:rPr>
                      <w:color w:val="auto"/>
                      <w:highlight w:val="none"/>
                      <w:vertAlign w:val="superscript"/>
                      <w:lang w:eastAsia="zh-CN"/>
                    </w:rPr>
                    <w:t>3</w:t>
                  </w:r>
                  <w:r>
                    <w:rPr>
                      <w:rFonts w:hint="eastAsia"/>
                      <w:color w:val="auto"/>
                      <w:highlight w:val="none"/>
                      <w:vertAlign w:val="superscript"/>
                      <w:lang w:eastAsia="zh-CN"/>
                    </w:rPr>
                    <w:t>)</w:t>
                  </w:r>
                </w:p>
              </w:tc>
              <w:tc>
                <w:tcPr>
                  <w:tcW w:w="671" w:type="pct"/>
                  <w:tcBorders>
                    <w:tl2br w:val="nil"/>
                    <w:tr2bl w:val="nil"/>
                  </w:tcBorders>
                  <w:vAlign w:val="center"/>
                </w:tcPr>
                <w:p w14:paraId="0F7ACD61">
                  <w:pPr>
                    <w:pStyle w:val="60"/>
                    <w:bidi w:val="0"/>
                    <w:rPr>
                      <w:color w:val="auto"/>
                      <w:highlight w:val="none"/>
                      <w:lang w:eastAsia="zh-CN"/>
                    </w:rPr>
                  </w:pPr>
                  <w:r>
                    <w:rPr>
                      <w:color w:val="auto"/>
                      <w:highlight w:val="none"/>
                      <w:lang w:eastAsia="zh-CN"/>
                    </w:rPr>
                    <w:t>占标率（%）</w:t>
                  </w:r>
                </w:p>
              </w:tc>
              <w:tc>
                <w:tcPr>
                  <w:tcW w:w="558" w:type="pct"/>
                  <w:tcBorders>
                    <w:tl2br w:val="nil"/>
                    <w:tr2bl w:val="nil"/>
                  </w:tcBorders>
                  <w:vAlign w:val="center"/>
                </w:tcPr>
                <w:p w14:paraId="331AF223">
                  <w:pPr>
                    <w:pStyle w:val="60"/>
                    <w:bidi w:val="0"/>
                    <w:rPr>
                      <w:color w:val="auto"/>
                      <w:highlight w:val="none"/>
                      <w:lang w:eastAsia="zh-CN"/>
                    </w:rPr>
                  </w:pPr>
                  <w:r>
                    <w:rPr>
                      <w:color w:val="auto"/>
                      <w:highlight w:val="none"/>
                      <w:lang w:eastAsia="zh-CN"/>
                    </w:rPr>
                    <w:t>达标情况</w:t>
                  </w:r>
                </w:p>
              </w:tc>
            </w:tr>
            <w:tr w14:paraId="4420C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162484F3">
                  <w:pPr>
                    <w:pStyle w:val="60"/>
                    <w:bidi w:val="0"/>
                    <w:rPr>
                      <w:color w:val="auto"/>
                      <w:highlight w:val="none"/>
                      <w:lang w:eastAsia="zh-CN"/>
                    </w:rPr>
                  </w:pPr>
                  <w:r>
                    <w:rPr>
                      <w:color w:val="auto"/>
                      <w:highlight w:val="none"/>
                      <w:lang w:eastAsia="zh-CN"/>
                    </w:rPr>
                    <w:t>PM</w:t>
                  </w:r>
                  <w:r>
                    <w:rPr>
                      <w:color w:val="auto"/>
                      <w:highlight w:val="none"/>
                      <w:vertAlign w:val="subscript"/>
                      <w:lang w:eastAsia="zh-CN"/>
                    </w:rPr>
                    <w:t>2.5</w:t>
                  </w:r>
                </w:p>
              </w:tc>
              <w:tc>
                <w:tcPr>
                  <w:tcW w:w="1612" w:type="pct"/>
                  <w:tcBorders>
                    <w:tl2br w:val="nil"/>
                    <w:tr2bl w:val="nil"/>
                  </w:tcBorders>
                  <w:vAlign w:val="center"/>
                </w:tcPr>
                <w:p w14:paraId="6EC86F90">
                  <w:pPr>
                    <w:pStyle w:val="60"/>
                    <w:bidi w:val="0"/>
                    <w:rPr>
                      <w:color w:val="auto"/>
                      <w:highlight w:val="none"/>
                      <w:lang w:eastAsia="zh-CN"/>
                    </w:rPr>
                  </w:pPr>
                  <w:r>
                    <w:rPr>
                      <w:color w:val="auto"/>
                      <w:highlight w:val="none"/>
                      <w:lang w:eastAsia="zh-CN"/>
                    </w:rPr>
                    <w:t>年平均质量浓度</w:t>
                  </w:r>
                </w:p>
              </w:tc>
              <w:tc>
                <w:tcPr>
                  <w:tcW w:w="1299" w:type="dxa"/>
                  <w:tcBorders>
                    <w:tl2br w:val="nil"/>
                    <w:tr2bl w:val="nil"/>
                  </w:tcBorders>
                  <w:vAlign w:val="center"/>
                </w:tcPr>
                <w:p w14:paraId="2289E1AE">
                  <w:pPr>
                    <w:pStyle w:val="60"/>
                    <w:bidi w:val="0"/>
                    <w:ind w:firstLine="0" w:firstLineChars="0"/>
                    <w:rPr>
                      <w:rFonts w:hint="default"/>
                      <w:color w:val="auto"/>
                      <w:highlight w:val="none"/>
                      <w:lang w:val="en-US" w:eastAsia="zh-CN"/>
                    </w:rPr>
                  </w:pPr>
                  <w:r>
                    <w:rPr>
                      <w:rFonts w:hint="eastAsia"/>
                      <w:color w:val="auto"/>
                      <w:highlight w:val="none"/>
                      <w:lang w:val="en-US" w:eastAsia="zh-CN"/>
                    </w:rPr>
                    <w:t>14</w:t>
                  </w:r>
                </w:p>
              </w:tc>
              <w:tc>
                <w:tcPr>
                  <w:tcW w:w="784" w:type="pct"/>
                  <w:tcBorders>
                    <w:tl2br w:val="nil"/>
                    <w:tr2bl w:val="nil"/>
                  </w:tcBorders>
                  <w:vAlign w:val="center"/>
                </w:tcPr>
                <w:p w14:paraId="32829186">
                  <w:pPr>
                    <w:pStyle w:val="60"/>
                    <w:bidi w:val="0"/>
                    <w:rPr>
                      <w:rFonts w:hint="default"/>
                      <w:color w:val="auto"/>
                      <w:highlight w:val="none"/>
                      <w:lang w:val="en-US" w:eastAsia="zh-CN"/>
                    </w:rPr>
                  </w:pPr>
                  <w:r>
                    <w:rPr>
                      <w:rFonts w:hint="default"/>
                      <w:color w:val="auto"/>
                      <w:highlight w:val="none"/>
                      <w:lang w:val="en-US" w:eastAsia="zh-CN"/>
                    </w:rPr>
                    <w:t>30</w:t>
                  </w:r>
                </w:p>
              </w:tc>
              <w:tc>
                <w:tcPr>
                  <w:tcW w:w="1006" w:type="dxa"/>
                  <w:tcBorders>
                    <w:tl2br w:val="nil"/>
                    <w:tr2bl w:val="nil"/>
                  </w:tcBorders>
                  <w:vAlign w:val="center"/>
                </w:tcPr>
                <w:p w14:paraId="246E2F00">
                  <w:pPr>
                    <w:pStyle w:val="48"/>
                    <w:bidi w:val="0"/>
                    <w:rPr>
                      <w:lang w:eastAsia="zh-CN"/>
                    </w:rPr>
                  </w:pPr>
                  <w:r>
                    <w:rPr>
                      <w:rFonts w:hint="eastAsia"/>
                      <w:lang w:val="en-US" w:eastAsia="zh-CN"/>
                    </w:rPr>
                    <w:t>46.7</w:t>
                  </w:r>
                </w:p>
              </w:tc>
              <w:tc>
                <w:tcPr>
                  <w:tcW w:w="558" w:type="pct"/>
                  <w:tcBorders>
                    <w:tl2br w:val="nil"/>
                    <w:tr2bl w:val="nil"/>
                  </w:tcBorders>
                  <w:vAlign w:val="center"/>
                </w:tcPr>
                <w:p w14:paraId="7506F61C">
                  <w:pPr>
                    <w:pStyle w:val="60"/>
                    <w:bidi w:val="0"/>
                    <w:rPr>
                      <w:color w:val="auto"/>
                      <w:highlight w:val="none"/>
                      <w:lang w:eastAsia="zh-CN"/>
                    </w:rPr>
                  </w:pPr>
                  <w:r>
                    <w:rPr>
                      <w:color w:val="auto"/>
                      <w:highlight w:val="none"/>
                      <w:lang w:eastAsia="zh-CN"/>
                    </w:rPr>
                    <w:t>达标</w:t>
                  </w:r>
                </w:p>
              </w:tc>
            </w:tr>
            <w:tr w14:paraId="39C977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00AAD234">
                  <w:pPr>
                    <w:pStyle w:val="60"/>
                    <w:bidi w:val="0"/>
                    <w:rPr>
                      <w:color w:val="auto"/>
                      <w:highlight w:val="none"/>
                      <w:lang w:eastAsia="zh-CN"/>
                    </w:rPr>
                  </w:pPr>
                  <w:r>
                    <w:rPr>
                      <w:color w:val="auto"/>
                      <w:highlight w:val="none"/>
                      <w:lang w:eastAsia="zh-CN"/>
                    </w:rPr>
                    <w:t>PM</w:t>
                  </w:r>
                  <w:r>
                    <w:rPr>
                      <w:color w:val="auto"/>
                      <w:highlight w:val="none"/>
                      <w:vertAlign w:val="subscript"/>
                      <w:lang w:eastAsia="zh-CN"/>
                    </w:rPr>
                    <w:t>10</w:t>
                  </w:r>
                </w:p>
              </w:tc>
              <w:tc>
                <w:tcPr>
                  <w:tcW w:w="1612" w:type="pct"/>
                  <w:tcBorders>
                    <w:tl2br w:val="nil"/>
                    <w:tr2bl w:val="nil"/>
                  </w:tcBorders>
                  <w:vAlign w:val="center"/>
                </w:tcPr>
                <w:p w14:paraId="65B5A2E8">
                  <w:pPr>
                    <w:pStyle w:val="60"/>
                    <w:bidi w:val="0"/>
                    <w:rPr>
                      <w:color w:val="auto"/>
                      <w:highlight w:val="none"/>
                      <w:lang w:eastAsia="zh-CN"/>
                    </w:rPr>
                  </w:pPr>
                  <w:r>
                    <w:rPr>
                      <w:color w:val="auto"/>
                      <w:highlight w:val="none"/>
                      <w:lang w:eastAsia="zh-CN"/>
                    </w:rPr>
                    <w:t>年平均质量浓度</w:t>
                  </w:r>
                </w:p>
              </w:tc>
              <w:tc>
                <w:tcPr>
                  <w:tcW w:w="1299" w:type="dxa"/>
                  <w:tcBorders>
                    <w:tl2br w:val="nil"/>
                    <w:tr2bl w:val="nil"/>
                  </w:tcBorders>
                  <w:vAlign w:val="center"/>
                </w:tcPr>
                <w:p w14:paraId="30DB3DCA">
                  <w:pPr>
                    <w:pStyle w:val="60"/>
                    <w:bidi w:val="0"/>
                    <w:ind w:firstLine="0" w:firstLineChars="0"/>
                    <w:rPr>
                      <w:rFonts w:hint="default"/>
                      <w:color w:val="auto"/>
                      <w:highlight w:val="none"/>
                      <w:lang w:val="en-US" w:eastAsia="zh-CN"/>
                    </w:rPr>
                  </w:pPr>
                  <w:r>
                    <w:rPr>
                      <w:rFonts w:hint="eastAsia"/>
                      <w:color w:val="auto"/>
                      <w:highlight w:val="none"/>
                      <w:lang w:val="en-US" w:eastAsia="zh-CN"/>
                    </w:rPr>
                    <w:t>21</w:t>
                  </w:r>
                </w:p>
              </w:tc>
              <w:tc>
                <w:tcPr>
                  <w:tcW w:w="784" w:type="pct"/>
                  <w:tcBorders>
                    <w:tl2br w:val="nil"/>
                    <w:tr2bl w:val="nil"/>
                  </w:tcBorders>
                  <w:vAlign w:val="center"/>
                </w:tcPr>
                <w:p w14:paraId="60495D16">
                  <w:pPr>
                    <w:pStyle w:val="60"/>
                    <w:bidi w:val="0"/>
                    <w:rPr>
                      <w:rFonts w:hint="default"/>
                      <w:color w:val="auto"/>
                      <w:highlight w:val="none"/>
                      <w:lang w:val="en-US" w:eastAsia="zh-CN"/>
                    </w:rPr>
                  </w:pPr>
                  <w:r>
                    <w:rPr>
                      <w:rFonts w:hint="default"/>
                      <w:color w:val="auto"/>
                      <w:highlight w:val="none"/>
                      <w:lang w:val="en-US" w:eastAsia="zh-CN"/>
                    </w:rPr>
                    <w:t>60</w:t>
                  </w:r>
                </w:p>
              </w:tc>
              <w:tc>
                <w:tcPr>
                  <w:tcW w:w="1006" w:type="dxa"/>
                  <w:tcBorders>
                    <w:tl2br w:val="nil"/>
                    <w:tr2bl w:val="nil"/>
                  </w:tcBorders>
                  <w:vAlign w:val="center"/>
                </w:tcPr>
                <w:p w14:paraId="206F2AE0">
                  <w:pPr>
                    <w:pStyle w:val="48"/>
                    <w:bidi w:val="0"/>
                    <w:rPr>
                      <w:lang w:eastAsia="zh-CN"/>
                    </w:rPr>
                  </w:pPr>
                  <w:r>
                    <w:rPr>
                      <w:rFonts w:hint="eastAsia"/>
                      <w:lang w:val="en-US" w:eastAsia="zh-CN"/>
                    </w:rPr>
                    <w:t>35.0</w:t>
                  </w:r>
                </w:p>
              </w:tc>
              <w:tc>
                <w:tcPr>
                  <w:tcW w:w="558" w:type="pct"/>
                  <w:tcBorders>
                    <w:tl2br w:val="nil"/>
                    <w:tr2bl w:val="nil"/>
                  </w:tcBorders>
                  <w:vAlign w:val="center"/>
                </w:tcPr>
                <w:p w14:paraId="07A8B411">
                  <w:pPr>
                    <w:pStyle w:val="60"/>
                    <w:bidi w:val="0"/>
                    <w:rPr>
                      <w:color w:val="auto"/>
                      <w:highlight w:val="none"/>
                      <w:lang w:eastAsia="zh-CN"/>
                    </w:rPr>
                  </w:pPr>
                  <w:r>
                    <w:rPr>
                      <w:color w:val="auto"/>
                      <w:highlight w:val="none"/>
                      <w:lang w:eastAsia="zh-CN"/>
                    </w:rPr>
                    <w:t>达标</w:t>
                  </w:r>
                </w:p>
              </w:tc>
            </w:tr>
            <w:tr w14:paraId="733A5E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394D7CB9">
                  <w:pPr>
                    <w:pStyle w:val="60"/>
                    <w:bidi w:val="0"/>
                    <w:rPr>
                      <w:color w:val="auto"/>
                      <w:highlight w:val="none"/>
                      <w:lang w:eastAsia="zh-CN"/>
                    </w:rPr>
                  </w:pPr>
                  <w:r>
                    <w:rPr>
                      <w:color w:val="auto"/>
                      <w:highlight w:val="none"/>
                      <w:lang w:eastAsia="zh-CN"/>
                    </w:rPr>
                    <w:t>SO</w:t>
                  </w:r>
                  <w:r>
                    <w:rPr>
                      <w:color w:val="auto"/>
                      <w:highlight w:val="none"/>
                      <w:vertAlign w:val="subscript"/>
                      <w:lang w:eastAsia="zh-CN"/>
                    </w:rPr>
                    <w:t>2</w:t>
                  </w:r>
                </w:p>
              </w:tc>
              <w:tc>
                <w:tcPr>
                  <w:tcW w:w="1612" w:type="pct"/>
                  <w:tcBorders>
                    <w:tl2br w:val="nil"/>
                    <w:tr2bl w:val="nil"/>
                  </w:tcBorders>
                  <w:vAlign w:val="center"/>
                </w:tcPr>
                <w:p w14:paraId="6EBA0C17">
                  <w:pPr>
                    <w:pStyle w:val="60"/>
                    <w:bidi w:val="0"/>
                    <w:rPr>
                      <w:color w:val="auto"/>
                      <w:highlight w:val="none"/>
                      <w:lang w:eastAsia="zh-CN"/>
                    </w:rPr>
                  </w:pPr>
                  <w:r>
                    <w:rPr>
                      <w:color w:val="auto"/>
                      <w:highlight w:val="none"/>
                      <w:lang w:eastAsia="zh-CN"/>
                    </w:rPr>
                    <w:t>年平均质量浓度</w:t>
                  </w:r>
                </w:p>
              </w:tc>
              <w:tc>
                <w:tcPr>
                  <w:tcW w:w="1299" w:type="dxa"/>
                  <w:tcBorders>
                    <w:tl2br w:val="nil"/>
                    <w:tr2bl w:val="nil"/>
                  </w:tcBorders>
                  <w:vAlign w:val="center"/>
                </w:tcPr>
                <w:p w14:paraId="05BF4EF1">
                  <w:pPr>
                    <w:pStyle w:val="60"/>
                    <w:bidi w:val="0"/>
                    <w:ind w:firstLine="0" w:firstLineChars="0"/>
                    <w:rPr>
                      <w:rFonts w:hint="default"/>
                      <w:color w:val="auto"/>
                      <w:highlight w:val="none"/>
                      <w:lang w:val="en-US" w:eastAsia="zh-CN"/>
                    </w:rPr>
                  </w:pPr>
                  <w:r>
                    <w:rPr>
                      <w:rFonts w:hint="eastAsia"/>
                      <w:color w:val="auto"/>
                      <w:highlight w:val="none"/>
                      <w:lang w:val="en-US" w:eastAsia="zh-CN"/>
                    </w:rPr>
                    <w:t>6</w:t>
                  </w:r>
                </w:p>
              </w:tc>
              <w:tc>
                <w:tcPr>
                  <w:tcW w:w="784" w:type="pct"/>
                  <w:tcBorders>
                    <w:tl2br w:val="nil"/>
                    <w:tr2bl w:val="nil"/>
                  </w:tcBorders>
                  <w:vAlign w:val="center"/>
                </w:tcPr>
                <w:p w14:paraId="27145BC5">
                  <w:pPr>
                    <w:pStyle w:val="60"/>
                    <w:bidi w:val="0"/>
                    <w:rPr>
                      <w:rFonts w:hint="default"/>
                      <w:color w:val="auto"/>
                      <w:highlight w:val="none"/>
                      <w:lang w:val="en-US" w:eastAsia="zh-CN"/>
                    </w:rPr>
                  </w:pPr>
                  <w:r>
                    <w:rPr>
                      <w:rFonts w:hint="default"/>
                      <w:color w:val="auto"/>
                      <w:highlight w:val="none"/>
                      <w:lang w:val="en-US" w:eastAsia="zh-CN"/>
                    </w:rPr>
                    <w:t>60</w:t>
                  </w:r>
                </w:p>
              </w:tc>
              <w:tc>
                <w:tcPr>
                  <w:tcW w:w="1006" w:type="dxa"/>
                  <w:tcBorders>
                    <w:tl2br w:val="nil"/>
                    <w:tr2bl w:val="nil"/>
                  </w:tcBorders>
                  <w:vAlign w:val="center"/>
                </w:tcPr>
                <w:p w14:paraId="6FD1F93B">
                  <w:pPr>
                    <w:pStyle w:val="48"/>
                    <w:bidi w:val="0"/>
                    <w:rPr>
                      <w:lang w:eastAsia="zh-CN"/>
                    </w:rPr>
                  </w:pPr>
                  <w:r>
                    <w:rPr>
                      <w:rFonts w:hint="eastAsia"/>
                      <w:lang w:val="en-US" w:eastAsia="zh-CN"/>
                    </w:rPr>
                    <w:t>10.0</w:t>
                  </w:r>
                </w:p>
              </w:tc>
              <w:tc>
                <w:tcPr>
                  <w:tcW w:w="558" w:type="pct"/>
                  <w:tcBorders>
                    <w:tl2br w:val="nil"/>
                    <w:tr2bl w:val="nil"/>
                  </w:tcBorders>
                  <w:vAlign w:val="center"/>
                </w:tcPr>
                <w:p w14:paraId="0709BB6D">
                  <w:pPr>
                    <w:pStyle w:val="60"/>
                    <w:bidi w:val="0"/>
                    <w:rPr>
                      <w:color w:val="auto"/>
                      <w:highlight w:val="none"/>
                      <w:lang w:eastAsia="zh-CN"/>
                    </w:rPr>
                  </w:pPr>
                  <w:r>
                    <w:rPr>
                      <w:color w:val="auto"/>
                      <w:highlight w:val="none"/>
                      <w:lang w:eastAsia="zh-CN"/>
                    </w:rPr>
                    <w:t>达标</w:t>
                  </w:r>
                </w:p>
              </w:tc>
            </w:tr>
            <w:tr w14:paraId="52E0BD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60260FDF">
                  <w:pPr>
                    <w:pStyle w:val="60"/>
                    <w:bidi w:val="0"/>
                    <w:rPr>
                      <w:color w:val="auto"/>
                      <w:highlight w:val="none"/>
                      <w:lang w:eastAsia="zh-CN"/>
                    </w:rPr>
                  </w:pPr>
                  <w:r>
                    <w:rPr>
                      <w:color w:val="auto"/>
                      <w:highlight w:val="none"/>
                      <w:lang w:eastAsia="zh-CN"/>
                    </w:rPr>
                    <w:t>NO</w:t>
                  </w:r>
                  <w:r>
                    <w:rPr>
                      <w:color w:val="auto"/>
                      <w:highlight w:val="none"/>
                      <w:vertAlign w:val="subscript"/>
                      <w:lang w:eastAsia="zh-CN"/>
                    </w:rPr>
                    <w:t>2</w:t>
                  </w:r>
                </w:p>
              </w:tc>
              <w:tc>
                <w:tcPr>
                  <w:tcW w:w="1612" w:type="pct"/>
                  <w:tcBorders>
                    <w:tl2br w:val="nil"/>
                    <w:tr2bl w:val="nil"/>
                  </w:tcBorders>
                  <w:vAlign w:val="center"/>
                </w:tcPr>
                <w:p w14:paraId="5D90834C">
                  <w:pPr>
                    <w:pStyle w:val="60"/>
                    <w:bidi w:val="0"/>
                    <w:rPr>
                      <w:color w:val="auto"/>
                      <w:highlight w:val="none"/>
                      <w:lang w:eastAsia="zh-CN"/>
                    </w:rPr>
                  </w:pPr>
                  <w:r>
                    <w:rPr>
                      <w:color w:val="auto"/>
                      <w:highlight w:val="none"/>
                      <w:lang w:eastAsia="zh-CN"/>
                    </w:rPr>
                    <w:t>年平均质量浓度</w:t>
                  </w:r>
                </w:p>
              </w:tc>
              <w:tc>
                <w:tcPr>
                  <w:tcW w:w="1299" w:type="dxa"/>
                  <w:tcBorders>
                    <w:tl2br w:val="nil"/>
                    <w:tr2bl w:val="nil"/>
                  </w:tcBorders>
                  <w:vAlign w:val="center"/>
                </w:tcPr>
                <w:p w14:paraId="19CE4ECE">
                  <w:pPr>
                    <w:pStyle w:val="60"/>
                    <w:bidi w:val="0"/>
                    <w:ind w:firstLine="0" w:firstLineChars="0"/>
                    <w:rPr>
                      <w:rFonts w:hint="default"/>
                      <w:color w:val="auto"/>
                      <w:highlight w:val="none"/>
                      <w:lang w:val="en-US" w:eastAsia="zh-CN"/>
                    </w:rPr>
                  </w:pPr>
                  <w:r>
                    <w:rPr>
                      <w:rFonts w:hint="eastAsia"/>
                      <w:color w:val="auto"/>
                      <w:highlight w:val="none"/>
                      <w:lang w:val="en-US" w:eastAsia="zh-CN"/>
                    </w:rPr>
                    <w:t>8</w:t>
                  </w:r>
                </w:p>
              </w:tc>
              <w:tc>
                <w:tcPr>
                  <w:tcW w:w="784" w:type="pct"/>
                  <w:tcBorders>
                    <w:tl2br w:val="nil"/>
                    <w:tr2bl w:val="nil"/>
                  </w:tcBorders>
                  <w:vAlign w:val="center"/>
                </w:tcPr>
                <w:p w14:paraId="0D6DEAC8">
                  <w:pPr>
                    <w:pStyle w:val="60"/>
                    <w:bidi w:val="0"/>
                    <w:rPr>
                      <w:rFonts w:hint="default"/>
                      <w:color w:val="auto"/>
                      <w:highlight w:val="none"/>
                      <w:lang w:val="en-US" w:eastAsia="zh-CN"/>
                    </w:rPr>
                  </w:pPr>
                  <w:r>
                    <w:rPr>
                      <w:rFonts w:hint="default"/>
                      <w:color w:val="auto"/>
                      <w:highlight w:val="none"/>
                      <w:lang w:val="en-US" w:eastAsia="zh-CN"/>
                    </w:rPr>
                    <w:t>40</w:t>
                  </w:r>
                </w:p>
              </w:tc>
              <w:tc>
                <w:tcPr>
                  <w:tcW w:w="1006" w:type="dxa"/>
                  <w:tcBorders>
                    <w:tl2br w:val="nil"/>
                    <w:tr2bl w:val="nil"/>
                  </w:tcBorders>
                  <w:vAlign w:val="center"/>
                </w:tcPr>
                <w:p w14:paraId="20008110">
                  <w:pPr>
                    <w:pStyle w:val="48"/>
                    <w:bidi w:val="0"/>
                    <w:rPr>
                      <w:lang w:eastAsia="zh-CN"/>
                    </w:rPr>
                  </w:pPr>
                  <w:r>
                    <w:rPr>
                      <w:rFonts w:hint="eastAsia"/>
                      <w:lang w:val="en-US" w:eastAsia="zh-CN"/>
                    </w:rPr>
                    <w:t>20.0</w:t>
                  </w:r>
                </w:p>
              </w:tc>
              <w:tc>
                <w:tcPr>
                  <w:tcW w:w="558" w:type="pct"/>
                  <w:tcBorders>
                    <w:tl2br w:val="nil"/>
                    <w:tr2bl w:val="nil"/>
                  </w:tcBorders>
                  <w:vAlign w:val="center"/>
                </w:tcPr>
                <w:p w14:paraId="6B92CFCF">
                  <w:pPr>
                    <w:pStyle w:val="60"/>
                    <w:bidi w:val="0"/>
                    <w:rPr>
                      <w:color w:val="auto"/>
                      <w:highlight w:val="none"/>
                      <w:lang w:eastAsia="zh-CN"/>
                    </w:rPr>
                  </w:pPr>
                  <w:r>
                    <w:rPr>
                      <w:color w:val="auto"/>
                      <w:highlight w:val="none"/>
                      <w:lang w:eastAsia="zh-CN"/>
                    </w:rPr>
                    <w:t>达标</w:t>
                  </w:r>
                </w:p>
              </w:tc>
            </w:tr>
            <w:tr w14:paraId="3946C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1E22AB50">
                  <w:pPr>
                    <w:pStyle w:val="60"/>
                    <w:bidi w:val="0"/>
                    <w:rPr>
                      <w:color w:val="auto"/>
                      <w:highlight w:val="none"/>
                      <w:lang w:eastAsia="zh-CN"/>
                    </w:rPr>
                  </w:pPr>
                  <w:r>
                    <w:rPr>
                      <w:color w:val="auto"/>
                      <w:highlight w:val="none"/>
                      <w:lang w:eastAsia="zh-CN"/>
                    </w:rPr>
                    <w:t>CO</w:t>
                  </w:r>
                </w:p>
              </w:tc>
              <w:tc>
                <w:tcPr>
                  <w:tcW w:w="1612" w:type="pct"/>
                  <w:tcBorders>
                    <w:tl2br w:val="nil"/>
                    <w:tr2bl w:val="nil"/>
                  </w:tcBorders>
                  <w:vAlign w:val="center"/>
                </w:tcPr>
                <w:p w14:paraId="162FA520">
                  <w:pPr>
                    <w:pStyle w:val="60"/>
                    <w:bidi w:val="0"/>
                    <w:rPr>
                      <w:color w:val="auto"/>
                      <w:highlight w:val="none"/>
                      <w:lang w:eastAsia="zh-CN"/>
                    </w:rPr>
                  </w:pPr>
                  <w:r>
                    <w:rPr>
                      <w:color w:val="auto"/>
                      <w:highlight w:val="none"/>
                      <w:lang w:eastAsia="zh-CN"/>
                    </w:rPr>
                    <w:t>第95百分位数日平均质量浓度</w:t>
                  </w:r>
                </w:p>
              </w:tc>
              <w:tc>
                <w:tcPr>
                  <w:tcW w:w="1299" w:type="dxa"/>
                  <w:tcBorders>
                    <w:tl2br w:val="nil"/>
                    <w:tr2bl w:val="nil"/>
                  </w:tcBorders>
                  <w:vAlign w:val="center"/>
                </w:tcPr>
                <w:p w14:paraId="3A051F3F">
                  <w:pPr>
                    <w:pStyle w:val="60"/>
                    <w:bidi w:val="0"/>
                    <w:ind w:firstLine="0" w:firstLineChars="0"/>
                    <w:rPr>
                      <w:rFonts w:hint="default"/>
                      <w:color w:val="auto"/>
                      <w:highlight w:val="none"/>
                      <w:lang w:val="en-US" w:eastAsia="zh-CN"/>
                    </w:rPr>
                  </w:pPr>
                  <w:r>
                    <w:rPr>
                      <w:rFonts w:hint="eastAsia"/>
                      <w:color w:val="auto"/>
                      <w:highlight w:val="none"/>
                      <w:lang w:val="en-US" w:eastAsia="zh-CN"/>
                    </w:rPr>
                    <w:t>600</w:t>
                  </w:r>
                </w:p>
              </w:tc>
              <w:tc>
                <w:tcPr>
                  <w:tcW w:w="784" w:type="pct"/>
                  <w:tcBorders>
                    <w:tl2br w:val="nil"/>
                    <w:tr2bl w:val="nil"/>
                  </w:tcBorders>
                  <w:vAlign w:val="center"/>
                </w:tcPr>
                <w:p w14:paraId="6ADE1551">
                  <w:pPr>
                    <w:pStyle w:val="60"/>
                    <w:bidi w:val="0"/>
                    <w:rPr>
                      <w:color w:val="auto"/>
                      <w:highlight w:val="none"/>
                      <w:lang w:eastAsia="zh-CN"/>
                    </w:rPr>
                  </w:pPr>
                  <w:r>
                    <w:rPr>
                      <w:rFonts w:hint="default"/>
                      <w:color w:val="auto"/>
                      <w:highlight w:val="none"/>
                      <w:lang w:val="en-US" w:eastAsia="zh-CN"/>
                    </w:rPr>
                    <w:t>4000</w:t>
                  </w:r>
                </w:p>
              </w:tc>
              <w:tc>
                <w:tcPr>
                  <w:tcW w:w="1006" w:type="dxa"/>
                  <w:tcBorders>
                    <w:tl2br w:val="nil"/>
                    <w:tr2bl w:val="nil"/>
                  </w:tcBorders>
                  <w:vAlign w:val="center"/>
                </w:tcPr>
                <w:p w14:paraId="1587A759">
                  <w:pPr>
                    <w:pStyle w:val="48"/>
                    <w:bidi w:val="0"/>
                    <w:rPr>
                      <w:lang w:eastAsia="zh-CN"/>
                    </w:rPr>
                  </w:pPr>
                  <w:r>
                    <w:rPr>
                      <w:rFonts w:hint="eastAsia"/>
                      <w:lang w:val="en-US" w:eastAsia="zh-CN"/>
                    </w:rPr>
                    <w:t>15.0</w:t>
                  </w:r>
                </w:p>
              </w:tc>
              <w:tc>
                <w:tcPr>
                  <w:tcW w:w="558" w:type="pct"/>
                  <w:tcBorders>
                    <w:tl2br w:val="nil"/>
                    <w:tr2bl w:val="nil"/>
                  </w:tcBorders>
                  <w:vAlign w:val="center"/>
                </w:tcPr>
                <w:p w14:paraId="4EDEFBD9">
                  <w:pPr>
                    <w:pStyle w:val="60"/>
                    <w:bidi w:val="0"/>
                    <w:rPr>
                      <w:color w:val="auto"/>
                      <w:highlight w:val="none"/>
                      <w:lang w:eastAsia="zh-CN"/>
                    </w:rPr>
                  </w:pPr>
                  <w:r>
                    <w:rPr>
                      <w:color w:val="auto"/>
                      <w:highlight w:val="none"/>
                      <w:lang w:eastAsia="zh-CN"/>
                    </w:rPr>
                    <w:t>达标</w:t>
                  </w:r>
                </w:p>
              </w:tc>
            </w:tr>
            <w:tr w14:paraId="0932B1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4" w:type="pct"/>
                  <w:tcBorders>
                    <w:tl2br w:val="nil"/>
                    <w:tr2bl w:val="nil"/>
                  </w:tcBorders>
                  <w:vAlign w:val="center"/>
                </w:tcPr>
                <w:p w14:paraId="4C8BDAD7">
                  <w:pPr>
                    <w:pStyle w:val="60"/>
                    <w:bidi w:val="0"/>
                    <w:rPr>
                      <w:color w:val="auto"/>
                      <w:highlight w:val="none"/>
                      <w:lang w:eastAsia="zh-CN"/>
                    </w:rPr>
                  </w:pPr>
                  <w:r>
                    <w:rPr>
                      <w:color w:val="auto"/>
                      <w:highlight w:val="none"/>
                      <w:lang w:eastAsia="zh-CN"/>
                    </w:rPr>
                    <w:t>O</w:t>
                  </w:r>
                  <w:r>
                    <w:rPr>
                      <w:color w:val="auto"/>
                      <w:highlight w:val="none"/>
                      <w:vertAlign w:val="subscript"/>
                      <w:lang w:eastAsia="zh-CN"/>
                    </w:rPr>
                    <w:t>3</w:t>
                  </w:r>
                </w:p>
              </w:tc>
              <w:tc>
                <w:tcPr>
                  <w:tcW w:w="1612" w:type="pct"/>
                  <w:tcBorders>
                    <w:tl2br w:val="nil"/>
                    <w:tr2bl w:val="nil"/>
                  </w:tcBorders>
                  <w:vAlign w:val="center"/>
                </w:tcPr>
                <w:p w14:paraId="73B55F73">
                  <w:pPr>
                    <w:pStyle w:val="60"/>
                    <w:bidi w:val="0"/>
                    <w:rPr>
                      <w:color w:val="auto"/>
                      <w:highlight w:val="none"/>
                      <w:lang w:eastAsia="zh-CN"/>
                    </w:rPr>
                  </w:pPr>
                  <w:r>
                    <w:rPr>
                      <w:color w:val="auto"/>
                      <w:highlight w:val="none"/>
                      <w:lang w:eastAsia="zh-CN"/>
                    </w:rPr>
                    <w:t>日最大8小时滑动平均值第90百分位数</w:t>
                  </w:r>
                </w:p>
              </w:tc>
              <w:tc>
                <w:tcPr>
                  <w:tcW w:w="1299" w:type="dxa"/>
                  <w:tcBorders>
                    <w:tl2br w:val="nil"/>
                    <w:tr2bl w:val="nil"/>
                  </w:tcBorders>
                  <w:vAlign w:val="center"/>
                </w:tcPr>
                <w:p w14:paraId="44979BD6">
                  <w:pPr>
                    <w:pStyle w:val="60"/>
                    <w:bidi w:val="0"/>
                    <w:ind w:firstLine="0" w:firstLineChars="0"/>
                    <w:rPr>
                      <w:rFonts w:hint="default"/>
                      <w:color w:val="auto"/>
                      <w:highlight w:val="none"/>
                      <w:lang w:val="en-US" w:eastAsia="zh-CN"/>
                    </w:rPr>
                  </w:pPr>
                  <w:r>
                    <w:rPr>
                      <w:rFonts w:hint="eastAsia"/>
                      <w:color w:val="auto"/>
                      <w:highlight w:val="none"/>
                      <w:lang w:val="en-US" w:eastAsia="zh-CN"/>
                    </w:rPr>
                    <w:t>92</w:t>
                  </w:r>
                </w:p>
              </w:tc>
              <w:tc>
                <w:tcPr>
                  <w:tcW w:w="784" w:type="pct"/>
                  <w:tcBorders>
                    <w:tl2br w:val="nil"/>
                    <w:tr2bl w:val="nil"/>
                  </w:tcBorders>
                  <w:vAlign w:val="center"/>
                </w:tcPr>
                <w:p w14:paraId="3B3C7B18">
                  <w:pPr>
                    <w:pStyle w:val="60"/>
                    <w:bidi w:val="0"/>
                    <w:rPr>
                      <w:color w:val="auto"/>
                      <w:highlight w:val="none"/>
                      <w:lang w:eastAsia="zh-CN"/>
                    </w:rPr>
                  </w:pPr>
                  <w:r>
                    <w:rPr>
                      <w:rFonts w:hint="default"/>
                      <w:color w:val="auto"/>
                      <w:highlight w:val="none"/>
                      <w:lang w:val="en-US" w:eastAsia="zh-CN"/>
                    </w:rPr>
                    <w:t>160</w:t>
                  </w:r>
                </w:p>
              </w:tc>
              <w:tc>
                <w:tcPr>
                  <w:tcW w:w="1006" w:type="dxa"/>
                  <w:tcBorders>
                    <w:tl2br w:val="nil"/>
                    <w:tr2bl w:val="nil"/>
                  </w:tcBorders>
                  <w:vAlign w:val="center"/>
                </w:tcPr>
                <w:p w14:paraId="766FA481">
                  <w:pPr>
                    <w:pStyle w:val="48"/>
                    <w:bidi w:val="0"/>
                    <w:rPr>
                      <w:lang w:eastAsia="zh-CN"/>
                    </w:rPr>
                  </w:pPr>
                  <w:r>
                    <w:rPr>
                      <w:rFonts w:hint="eastAsia"/>
                      <w:lang w:val="en-US" w:eastAsia="zh-CN"/>
                    </w:rPr>
                    <w:t>57.5</w:t>
                  </w:r>
                </w:p>
              </w:tc>
              <w:tc>
                <w:tcPr>
                  <w:tcW w:w="558" w:type="pct"/>
                  <w:tcBorders>
                    <w:tl2br w:val="nil"/>
                    <w:tr2bl w:val="nil"/>
                  </w:tcBorders>
                  <w:vAlign w:val="center"/>
                </w:tcPr>
                <w:p w14:paraId="48AEB728">
                  <w:pPr>
                    <w:pStyle w:val="60"/>
                    <w:bidi w:val="0"/>
                    <w:rPr>
                      <w:color w:val="auto"/>
                      <w:highlight w:val="none"/>
                      <w:lang w:eastAsia="zh-CN"/>
                    </w:rPr>
                  </w:pPr>
                  <w:r>
                    <w:rPr>
                      <w:color w:val="auto"/>
                      <w:highlight w:val="none"/>
                      <w:lang w:eastAsia="zh-CN"/>
                    </w:rPr>
                    <w:t>达标</w:t>
                  </w:r>
                </w:p>
              </w:tc>
            </w:tr>
          </w:tbl>
          <w:p w14:paraId="5F26557D">
            <w:pPr>
              <w:pStyle w:val="52"/>
              <w:bidi w:val="0"/>
              <w:rPr>
                <w:rFonts w:hint="eastAsia"/>
                <w:color w:val="auto"/>
                <w:highlight w:val="none"/>
                <w:lang w:val="en-US" w:eastAsia="zh-CN"/>
              </w:rPr>
            </w:pPr>
            <w:r>
              <w:rPr>
                <w:rFonts w:hint="eastAsia"/>
                <w:color w:val="auto"/>
                <w:highlight w:val="none"/>
                <w:lang w:val="en-US" w:eastAsia="zh-CN"/>
              </w:rPr>
              <w:t>综上所述，本项目区域为环境空气质量达标区。</w:t>
            </w:r>
          </w:p>
          <w:p w14:paraId="0DBA6D43">
            <w:pPr>
              <w:pStyle w:val="46"/>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特征污染物</w:t>
            </w:r>
          </w:p>
          <w:p w14:paraId="321D9A14">
            <w:pPr>
              <w:pStyle w:val="46"/>
              <w:bidi w:val="0"/>
              <w:rPr>
                <w:color w:val="auto"/>
                <w:highlight w:val="none"/>
              </w:rPr>
            </w:pPr>
            <w:r>
              <w:rPr>
                <w:rFonts w:hint="eastAsia"/>
                <w:color w:val="auto"/>
                <w:highlight w:val="none"/>
              </w:rPr>
              <w:t>根据《环境影响评价技术导则 大气环境》（HJ2.2-2018）的规定，</w:t>
            </w:r>
            <w:r>
              <w:rPr>
                <w:rFonts w:hint="eastAsia"/>
                <w:color w:val="auto"/>
                <w:highlight w:val="none"/>
                <w:lang w:val="en-US" w:eastAsia="zh-CN"/>
              </w:rPr>
              <w:t>本项目应</w:t>
            </w:r>
            <w:r>
              <w:rPr>
                <w:color w:val="auto"/>
                <w:highlight w:val="none"/>
              </w:rPr>
              <w:t>对建设项目排放的其他大气污染物</w:t>
            </w:r>
            <w:r>
              <w:rPr>
                <w:rFonts w:hint="eastAsia"/>
                <w:color w:val="auto"/>
                <w:highlight w:val="none"/>
              </w:rPr>
              <w:t>（</w:t>
            </w:r>
            <w:r>
              <w:rPr>
                <w:color w:val="auto"/>
                <w:highlight w:val="none"/>
                <w:lang w:val="en-GB"/>
              </w:rPr>
              <w:t>TSP</w:t>
            </w:r>
            <w:r>
              <w:rPr>
                <w:rFonts w:hint="eastAsia"/>
                <w:color w:val="auto"/>
                <w:highlight w:val="none"/>
              </w:rPr>
              <w:t>）进行补充监测。</w:t>
            </w:r>
          </w:p>
          <w:p w14:paraId="6D63944D">
            <w:pPr>
              <w:pStyle w:val="46"/>
              <w:bidi w:val="0"/>
              <w:rPr>
                <w:rFonts w:hint="eastAsia"/>
                <w:color w:val="auto"/>
                <w:highlight w:val="none"/>
                <w:lang w:eastAsia="zh-CN"/>
              </w:rPr>
            </w:pPr>
            <w:r>
              <w:rPr>
                <w:rFonts w:hint="default"/>
                <w:color w:val="auto"/>
                <w:highlight w:val="none"/>
                <w:lang w:val="en-US" w:eastAsia="zh-CN"/>
              </w:rPr>
              <w:t>根据《建设项目环境影响报告表编制技术指南（污染影响类）（试行）》</w:t>
            </w:r>
            <w:r>
              <w:rPr>
                <w:rFonts w:hint="eastAsia"/>
                <w:color w:val="auto"/>
                <w:highlight w:val="none"/>
                <w:lang w:val="en-US" w:eastAsia="zh-CN"/>
              </w:rPr>
              <w:t>中“排放国家、地方环境空气质量标准中有标准限值要求的特征污染物时，引用建设项目周边5千米范围内近3年的现有监测数据”。</w:t>
            </w:r>
          </w:p>
          <w:p w14:paraId="2718F178">
            <w:pPr>
              <w:pStyle w:val="46"/>
              <w:bidi w:val="0"/>
              <w:rPr>
                <w:rFonts w:ascii="Times New Roman" w:hAnsi="Times New Roman" w:cs="Times New Roman"/>
                <w:color w:val="auto"/>
                <w:kern w:val="0"/>
                <w:highlight w:val="none"/>
                <w:lang w:val="zh-CN"/>
              </w:rPr>
            </w:pPr>
            <w:r>
              <w:rPr>
                <w:color w:val="auto"/>
                <w:highlight w:val="none"/>
                <w:lang w:val="zh-CN"/>
              </w:rPr>
              <w:t>本项目大气环境空气质量特征因子引自</w:t>
            </w:r>
            <w:r>
              <w:rPr>
                <w:rFonts w:hint="eastAsia"/>
                <w:color w:val="auto"/>
                <w:highlight w:val="none"/>
                <w:lang w:eastAsia="zh-CN"/>
              </w:rPr>
              <w:t>黑龙江省汉风环境检测技术有限公司</w:t>
            </w:r>
            <w:r>
              <w:rPr>
                <w:color w:val="auto"/>
                <w:highlight w:val="none"/>
              </w:rPr>
              <w:t>于</w:t>
            </w:r>
            <w:r>
              <w:rPr>
                <w:rFonts w:hint="eastAsia"/>
                <w:color w:val="auto"/>
                <w:highlight w:val="none"/>
                <w:lang w:eastAsia="zh-CN"/>
              </w:rPr>
              <w:t>202</w:t>
            </w:r>
            <w:r>
              <w:rPr>
                <w:rFonts w:hint="eastAsia"/>
                <w:color w:val="auto"/>
                <w:highlight w:val="none"/>
                <w:lang w:val="en-US" w:eastAsia="zh-CN"/>
              </w:rPr>
              <w:t>4</w:t>
            </w:r>
            <w:r>
              <w:rPr>
                <w:rFonts w:hint="eastAsia"/>
                <w:color w:val="auto"/>
                <w:highlight w:val="none"/>
                <w:lang w:eastAsia="zh-CN"/>
              </w:rPr>
              <w:t>年</w:t>
            </w:r>
            <w:r>
              <w:rPr>
                <w:rFonts w:hint="eastAsia"/>
                <w:color w:val="auto"/>
                <w:highlight w:val="none"/>
                <w:lang w:val="en-US" w:eastAsia="zh-CN"/>
              </w:rPr>
              <w:t>10</w:t>
            </w:r>
            <w:r>
              <w:rPr>
                <w:rFonts w:hint="eastAsia"/>
                <w:color w:val="auto"/>
                <w:highlight w:val="none"/>
                <w:lang w:eastAsia="zh-CN"/>
              </w:rPr>
              <w:t>月</w:t>
            </w:r>
            <w:r>
              <w:rPr>
                <w:rFonts w:hint="eastAsia"/>
                <w:color w:val="auto"/>
                <w:highlight w:val="none"/>
                <w:lang w:val="en-US" w:eastAsia="zh-CN"/>
              </w:rPr>
              <w:t>25</w:t>
            </w:r>
            <w:r>
              <w:rPr>
                <w:rFonts w:hint="eastAsia"/>
                <w:color w:val="auto"/>
                <w:highlight w:val="none"/>
                <w:lang w:eastAsia="zh-CN"/>
              </w:rPr>
              <w:t>日</w:t>
            </w:r>
            <w:r>
              <w:rPr>
                <w:color w:val="auto"/>
                <w:highlight w:val="none"/>
              </w:rPr>
              <w:t>出具的</w:t>
            </w:r>
            <w:r>
              <w:rPr>
                <w:rFonts w:hint="eastAsia"/>
                <w:color w:val="auto"/>
                <w:highlight w:val="none"/>
                <w:lang w:eastAsia="zh-CN"/>
              </w:rPr>
              <w:t>《</w:t>
            </w:r>
            <w:r>
              <w:rPr>
                <w:rFonts w:hint="eastAsia"/>
                <w:color w:val="auto"/>
                <w:highlight w:val="none"/>
                <w:lang w:val="en-US" w:eastAsia="zh-CN"/>
              </w:rPr>
              <w:t>黑龙江省大兴安岭地区呼玛县三卡乡集中供热热源新建工程项目</w:t>
            </w:r>
            <w:r>
              <w:rPr>
                <w:color w:val="auto"/>
                <w:highlight w:val="none"/>
              </w:rPr>
              <w:t>检测报告</w:t>
            </w:r>
            <w:r>
              <w:rPr>
                <w:rFonts w:hint="eastAsia"/>
                <w:color w:val="auto"/>
                <w:highlight w:val="none"/>
                <w:lang w:eastAsia="zh-CN"/>
              </w:rPr>
              <w:t>》（</w:t>
            </w:r>
            <w:r>
              <w:rPr>
                <w:color w:val="auto"/>
                <w:highlight w:val="none"/>
              </w:rPr>
              <w:t>详见附件</w:t>
            </w:r>
            <w:r>
              <w:rPr>
                <w:rFonts w:hint="eastAsia"/>
                <w:color w:val="auto"/>
                <w:highlight w:val="none"/>
                <w:lang w:eastAsia="zh-CN"/>
              </w:rPr>
              <w:t>），</w:t>
            </w:r>
            <w:r>
              <w:rPr>
                <w:rFonts w:hint="eastAsia"/>
                <w:color w:val="auto"/>
                <w:highlight w:val="none"/>
                <w:lang w:val="en-US" w:eastAsia="zh-CN"/>
              </w:rPr>
              <w:t>本项目距离“引用项目”监测点位距离约为1.30km，符合“</w:t>
            </w:r>
            <w:r>
              <w:rPr>
                <w:rFonts w:hint="default"/>
                <w:color w:val="auto"/>
                <w:highlight w:val="none"/>
                <w:lang w:val="en-US" w:eastAsia="zh-CN"/>
              </w:rPr>
              <w:t>指南</w:t>
            </w:r>
            <w:r>
              <w:rPr>
                <w:rFonts w:hint="eastAsia"/>
                <w:color w:val="auto"/>
                <w:highlight w:val="none"/>
                <w:lang w:val="en-US" w:eastAsia="zh-CN"/>
              </w:rPr>
              <w:t>”中引用要求，引用可行</w:t>
            </w:r>
            <w:r>
              <w:rPr>
                <w:rFonts w:ascii="Times New Roman" w:hAnsi="Times New Roman" w:cs="Times New Roman"/>
                <w:color w:val="auto"/>
                <w:kern w:val="0"/>
                <w:highlight w:val="none"/>
                <w:lang w:val="zh-CN"/>
              </w:rPr>
              <w:t>。</w:t>
            </w:r>
          </w:p>
          <w:p w14:paraId="7ECCB6D8">
            <w:pPr>
              <w:pStyle w:val="50"/>
              <w:keepNext w:val="0"/>
              <w:keepLines w:val="0"/>
              <w:pageBreakBefore w:val="0"/>
              <w:widowControl w:val="0"/>
              <w:kinsoku/>
              <w:wordWrap w:val="0"/>
              <w:overflowPunct/>
              <w:topLinePunct w:val="0"/>
              <w:autoSpaceDE/>
              <w:autoSpaceDN/>
              <w:bidi w:val="0"/>
              <w:adjustRightInd/>
              <w:snapToGrid/>
              <w:textAlignment w:val="auto"/>
              <w:rPr>
                <w:rFonts w:hint="default"/>
                <w:color w:val="auto"/>
                <w:highlight w:val="none"/>
              </w:rPr>
            </w:pPr>
            <w:r>
              <w:rPr>
                <w:color w:val="auto"/>
                <w:highlight w:val="none"/>
              </w:rPr>
              <w:t>表3-</w:t>
            </w:r>
            <w:r>
              <w:rPr>
                <w:rFonts w:hint="eastAsia"/>
                <w:color w:val="auto"/>
                <w:highlight w:val="none"/>
                <w:lang w:val="en-US" w:eastAsia="zh-CN"/>
              </w:rPr>
              <w:t>2</w:t>
            </w:r>
            <w:r>
              <w:rPr>
                <w:color w:val="auto"/>
                <w:highlight w:val="none"/>
              </w:rPr>
              <w:t xml:space="preserve">   污染物环境质量现状（监测结果）评价结果表  单位：mg/m</w:t>
            </w:r>
            <w:r>
              <w:rPr>
                <w:color w:val="auto"/>
                <w:highlight w:val="none"/>
                <w:vertAlign w:val="superscript"/>
              </w:rPr>
              <w:t>3</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209"/>
              <w:gridCol w:w="1161"/>
              <w:gridCol w:w="1063"/>
              <w:gridCol w:w="1013"/>
              <w:gridCol w:w="1405"/>
              <w:gridCol w:w="1014"/>
            </w:tblGrid>
            <w:tr w14:paraId="0FE8D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dxa"/>
                  <w:vMerge w:val="restart"/>
                  <w:tcBorders>
                    <w:tl2br w:val="nil"/>
                    <w:tr2bl w:val="nil"/>
                  </w:tcBorders>
                  <w:noWrap w:val="0"/>
                  <w:vAlign w:val="center"/>
                </w:tcPr>
                <w:p w14:paraId="72B54CAC">
                  <w:pPr>
                    <w:pStyle w:val="60"/>
                    <w:bidi w:val="0"/>
                    <w:rPr>
                      <w:color w:val="auto"/>
                      <w:highlight w:val="none"/>
                    </w:rPr>
                  </w:pPr>
                  <w:r>
                    <w:rPr>
                      <w:color w:val="auto"/>
                      <w:highlight w:val="none"/>
                    </w:rPr>
                    <w:t>编号</w:t>
                  </w:r>
                </w:p>
              </w:tc>
              <w:tc>
                <w:tcPr>
                  <w:tcW w:w="1209" w:type="dxa"/>
                  <w:vMerge w:val="restart"/>
                  <w:tcBorders>
                    <w:tl2br w:val="nil"/>
                    <w:tr2bl w:val="nil"/>
                  </w:tcBorders>
                  <w:noWrap w:val="0"/>
                  <w:vAlign w:val="center"/>
                </w:tcPr>
                <w:p w14:paraId="14480355">
                  <w:pPr>
                    <w:pStyle w:val="60"/>
                    <w:bidi w:val="0"/>
                    <w:rPr>
                      <w:color w:val="auto"/>
                      <w:highlight w:val="none"/>
                    </w:rPr>
                  </w:pPr>
                  <w:r>
                    <w:rPr>
                      <w:color w:val="auto"/>
                      <w:highlight w:val="none"/>
                    </w:rPr>
                    <w:t>监测点名称</w:t>
                  </w:r>
                </w:p>
              </w:tc>
              <w:tc>
                <w:tcPr>
                  <w:tcW w:w="2224" w:type="dxa"/>
                  <w:gridSpan w:val="2"/>
                  <w:tcBorders>
                    <w:tl2br w:val="nil"/>
                    <w:tr2bl w:val="nil"/>
                  </w:tcBorders>
                  <w:noWrap w:val="0"/>
                  <w:vAlign w:val="center"/>
                </w:tcPr>
                <w:p w14:paraId="266DD870">
                  <w:pPr>
                    <w:pStyle w:val="60"/>
                    <w:bidi w:val="0"/>
                    <w:rPr>
                      <w:color w:val="auto"/>
                      <w:highlight w:val="none"/>
                    </w:rPr>
                  </w:pPr>
                  <w:r>
                    <w:rPr>
                      <w:color w:val="auto"/>
                      <w:highlight w:val="none"/>
                    </w:rPr>
                    <w:t>监测点坐标/°</w:t>
                  </w:r>
                </w:p>
              </w:tc>
              <w:tc>
                <w:tcPr>
                  <w:tcW w:w="1013" w:type="dxa"/>
                  <w:vMerge w:val="restart"/>
                  <w:tcBorders>
                    <w:tl2br w:val="nil"/>
                    <w:tr2bl w:val="nil"/>
                  </w:tcBorders>
                  <w:noWrap w:val="0"/>
                  <w:vAlign w:val="center"/>
                </w:tcPr>
                <w:p w14:paraId="1561A761">
                  <w:pPr>
                    <w:pStyle w:val="60"/>
                    <w:bidi w:val="0"/>
                    <w:rPr>
                      <w:color w:val="auto"/>
                      <w:highlight w:val="none"/>
                    </w:rPr>
                  </w:pPr>
                  <w:r>
                    <w:rPr>
                      <w:color w:val="auto"/>
                      <w:highlight w:val="none"/>
                    </w:rPr>
                    <w:t>监测因子</w:t>
                  </w:r>
                </w:p>
              </w:tc>
              <w:tc>
                <w:tcPr>
                  <w:tcW w:w="1405" w:type="dxa"/>
                  <w:vMerge w:val="restart"/>
                  <w:tcBorders>
                    <w:tl2br w:val="nil"/>
                    <w:tr2bl w:val="nil"/>
                  </w:tcBorders>
                  <w:noWrap w:val="0"/>
                  <w:vAlign w:val="center"/>
                </w:tcPr>
                <w:p w14:paraId="648BCB73">
                  <w:pPr>
                    <w:pStyle w:val="60"/>
                    <w:bidi w:val="0"/>
                    <w:rPr>
                      <w:color w:val="auto"/>
                      <w:highlight w:val="none"/>
                    </w:rPr>
                  </w:pPr>
                  <w:r>
                    <w:rPr>
                      <w:color w:val="auto"/>
                      <w:highlight w:val="none"/>
                    </w:rPr>
                    <w:t>相对厂址方位</w:t>
                  </w:r>
                </w:p>
              </w:tc>
              <w:tc>
                <w:tcPr>
                  <w:tcW w:w="1014" w:type="dxa"/>
                  <w:vMerge w:val="restart"/>
                  <w:tcBorders>
                    <w:tl2br w:val="nil"/>
                    <w:tr2bl w:val="nil"/>
                  </w:tcBorders>
                  <w:noWrap w:val="0"/>
                  <w:vAlign w:val="center"/>
                </w:tcPr>
                <w:p w14:paraId="536047CF">
                  <w:pPr>
                    <w:pStyle w:val="60"/>
                    <w:bidi w:val="0"/>
                    <w:rPr>
                      <w:color w:val="auto"/>
                      <w:highlight w:val="none"/>
                    </w:rPr>
                  </w:pPr>
                  <w:r>
                    <w:rPr>
                      <w:color w:val="auto"/>
                      <w:highlight w:val="none"/>
                    </w:rPr>
                    <w:t>相对厂界距离/m</w:t>
                  </w:r>
                </w:p>
              </w:tc>
            </w:tr>
            <w:tr w14:paraId="0A0AB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dxa"/>
                  <w:vMerge w:val="continue"/>
                  <w:tcBorders>
                    <w:tl2br w:val="nil"/>
                    <w:tr2bl w:val="nil"/>
                  </w:tcBorders>
                  <w:noWrap w:val="0"/>
                  <w:vAlign w:val="center"/>
                </w:tcPr>
                <w:p w14:paraId="1CB40D46">
                  <w:pPr>
                    <w:pStyle w:val="60"/>
                    <w:bidi w:val="0"/>
                    <w:rPr>
                      <w:color w:val="auto"/>
                      <w:highlight w:val="none"/>
                    </w:rPr>
                  </w:pPr>
                </w:p>
              </w:tc>
              <w:tc>
                <w:tcPr>
                  <w:tcW w:w="1209" w:type="dxa"/>
                  <w:vMerge w:val="continue"/>
                  <w:tcBorders>
                    <w:tl2br w:val="nil"/>
                    <w:tr2bl w:val="nil"/>
                  </w:tcBorders>
                  <w:noWrap w:val="0"/>
                  <w:vAlign w:val="center"/>
                </w:tcPr>
                <w:p w14:paraId="7771DEFE">
                  <w:pPr>
                    <w:pStyle w:val="60"/>
                    <w:bidi w:val="0"/>
                    <w:rPr>
                      <w:color w:val="auto"/>
                      <w:highlight w:val="none"/>
                    </w:rPr>
                  </w:pPr>
                </w:p>
              </w:tc>
              <w:tc>
                <w:tcPr>
                  <w:tcW w:w="1161" w:type="dxa"/>
                  <w:tcBorders>
                    <w:tl2br w:val="nil"/>
                    <w:tr2bl w:val="nil"/>
                  </w:tcBorders>
                  <w:noWrap w:val="0"/>
                  <w:vAlign w:val="center"/>
                </w:tcPr>
                <w:p w14:paraId="75C59A7C">
                  <w:pPr>
                    <w:pStyle w:val="60"/>
                    <w:bidi w:val="0"/>
                    <w:rPr>
                      <w:color w:val="auto"/>
                      <w:highlight w:val="none"/>
                    </w:rPr>
                  </w:pPr>
                  <w:r>
                    <w:rPr>
                      <w:color w:val="auto"/>
                      <w:highlight w:val="none"/>
                    </w:rPr>
                    <w:t>经度</w:t>
                  </w:r>
                </w:p>
              </w:tc>
              <w:tc>
                <w:tcPr>
                  <w:tcW w:w="1063" w:type="dxa"/>
                  <w:tcBorders>
                    <w:tl2br w:val="nil"/>
                    <w:tr2bl w:val="nil"/>
                  </w:tcBorders>
                  <w:noWrap w:val="0"/>
                  <w:vAlign w:val="center"/>
                </w:tcPr>
                <w:p w14:paraId="09C11459">
                  <w:pPr>
                    <w:pStyle w:val="60"/>
                    <w:bidi w:val="0"/>
                    <w:rPr>
                      <w:color w:val="auto"/>
                      <w:highlight w:val="none"/>
                    </w:rPr>
                  </w:pPr>
                  <w:r>
                    <w:rPr>
                      <w:color w:val="auto"/>
                      <w:highlight w:val="none"/>
                    </w:rPr>
                    <w:t>纬度</w:t>
                  </w:r>
                </w:p>
              </w:tc>
              <w:tc>
                <w:tcPr>
                  <w:tcW w:w="1013" w:type="dxa"/>
                  <w:vMerge w:val="continue"/>
                  <w:tcBorders>
                    <w:tl2br w:val="nil"/>
                    <w:tr2bl w:val="nil"/>
                  </w:tcBorders>
                  <w:noWrap w:val="0"/>
                  <w:vAlign w:val="center"/>
                </w:tcPr>
                <w:p w14:paraId="3EA276CB">
                  <w:pPr>
                    <w:pStyle w:val="60"/>
                    <w:bidi w:val="0"/>
                    <w:rPr>
                      <w:color w:val="auto"/>
                      <w:highlight w:val="none"/>
                    </w:rPr>
                  </w:pPr>
                </w:p>
              </w:tc>
              <w:tc>
                <w:tcPr>
                  <w:tcW w:w="1405" w:type="dxa"/>
                  <w:vMerge w:val="continue"/>
                  <w:tcBorders>
                    <w:tl2br w:val="nil"/>
                    <w:tr2bl w:val="nil"/>
                  </w:tcBorders>
                  <w:noWrap w:val="0"/>
                  <w:vAlign w:val="center"/>
                </w:tcPr>
                <w:p w14:paraId="748203D9">
                  <w:pPr>
                    <w:pStyle w:val="60"/>
                    <w:bidi w:val="0"/>
                    <w:rPr>
                      <w:color w:val="auto"/>
                      <w:highlight w:val="none"/>
                    </w:rPr>
                  </w:pPr>
                </w:p>
              </w:tc>
              <w:tc>
                <w:tcPr>
                  <w:tcW w:w="1014" w:type="dxa"/>
                  <w:vMerge w:val="continue"/>
                  <w:tcBorders>
                    <w:tl2br w:val="nil"/>
                    <w:tr2bl w:val="nil"/>
                  </w:tcBorders>
                  <w:noWrap w:val="0"/>
                  <w:vAlign w:val="center"/>
                </w:tcPr>
                <w:p w14:paraId="359510DF">
                  <w:pPr>
                    <w:pStyle w:val="60"/>
                    <w:bidi w:val="0"/>
                    <w:rPr>
                      <w:color w:val="auto"/>
                      <w:highlight w:val="none"/>
                    </w:rPr>
                  </w:pPr>
                </w:p>
              </w:tc>
            </w:tr>
            <w:tr w14:paraId="54B501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dxa"/>
                  <w:tcBorders>
                    <w:tl2br w:val="nil"/>
                    <w:tr2bl w:val="nil"/>
                  </w:tcBorders>
                  <w:noWrap w:val="0"/>
                  <w:vAlign w:val="center"/>
                </w:tcPr>
                <w:p w14:paraId="433D187D">
                  <w:pPr>
                    <w:pStyle w:val="60"/>
                    <w:bidi w:val="0"/>
                    <w:rPr>
                      <w:rFonts w:hint="default" w:eastAsia="宋体"/>
                      <w:color w:val="auto"/>
                      <w:highlight w:val="none"/>
                      <w:lang w:val="en-US" w:eastAsia="zh-CN"/>
                    </w:rPr>
                  </w:pPr>
                  <w:r>
                    <w:rPr>
                      <w:rFonts w:hint="eastAsia"/>
                      <w:color w:val="auto"/>
                      <w:highlight w:val="none"/>
                      <w:lang w:val="en-US" w:eastAsia="zh-CN"/>
                    </w:rPr>
                    <w:t>1#</w:t>
                  </w:r>
                </w:p>
              </w:tc>
              <w:tc>
                <w:tcPr>
                  <w:tcW w:w="1209" w:type="dxa"/>
                  <w:tcBorders>
                    <w:tl2br w:val="nil"/>
                    <w:tr2bl w:val="nil"/>
                  </w:tcBorders>
                  <w:noWrap w:val="0"/>
                  <w:vAlign w:val="center"/>
                </w:tcPr>
                <w:p w14:paraId="7A4AB3DE">
                  <w:pPr>
                    <w:pStyle w:val="60"/>
                    <w:bidi w:val="0"/>
                    <w:rPr>
                      <w:color w:val="auto"/>
                      <w:highlight w:val="none"/>
                    </w:rPr>
                  </w:pPr>
                  <w:r>
                    <w:rPr>
                      <w:rFonts w:hint="eastAsia"/>
                      <w:color w:val="auto"/>
                      <w:highlight w:val="none"/>
                      <w:lang w:val="en-US" w:eastAsia="zh-CN"/>
                    </w:rPr>
                    <w:t>环境空气监测点</w:t>
                  </w:r>
                </w:p>
              </w:tc>
              <w:tc>
                <w:tcPr>
                  <w:tcW w:w="1161" w:type="dxa"/>
                  <w:tcBorders>
                    <w:tl2br w:val="nil"/>
                    <w:tr2bl w:val="nil"/>
                  </w:tcBorders>
                  <w:noWrap w:val="0"/>
                  <w:vAlign w:val="center"/>
                </w:tcPr>
                <w:p w14:paraId="7DFEF3BA">
                  <w:pPr>
                    <w:pStyle w:val="60"/>
                    <w:bidi w:val="0"/>
                    <w:rPr>
                      <w:color w:val="auto"/>
                      <w:highlight w:val="none"/>
                    </w:rPr>
                  </w:pPr>
                  <w:r>
                    <w:rPr>
                      <w:rFonts w:hint="eastAsia"/>
                    </w:rPr>
                    <w:t>126.907004</w:t>
                  </w:r>
                </w:p>
              </w:tc>
              <w:tc>
                <w:tcPr>
                  <w:tcW w:w="1063" w:type="dxa"/>
                  <w:tcBorders>
                    <w:tl2br w:val="nil"/>
                    <w:tr2bl w:val="nil"/>
                  </w:tcBorders>
                  <w:noWrap w:val="0"/>
                  <w:vAlign w:val="center"/>
                </w:tcPr>
                <w:p w14:paraId="7DF5F0F6">
                  <w:pPr>
                    <w:pStyle w:val="60"/>
                    <w:bidi w:val="0"/>
                    <w:rPr>
                      <w:color w:val="auto"/>
                      <w:highlight w:val="none"/>
                    </w:rPr>
                  </w:pPr>
                  <w:r>
                    <w:rPr>
                      <w:rFonts w:hint="eastAsia"/>
                    </w:rPr>
                    <w:t>51.150931</w:t>
                  </w:r>
                </w:p>
              </w:tc>
              <w:tc>
                <w:tcPr>
                  <w:tcW w:w="1013" w:type="dxa"/>
                  <w:tcBorders>
                    <w:tl2br w:val="nil"/>
                    <w:tr2bl w:val="nil"/>
                  </w:tcBorders>
                  <w:noWrap w:val="0"/>
                  <w:vAlign w:val="center"/>
                </w:tcPr>
                <w:p w14:paraId="5417D6B3">
                  <w:pPr>
                    <w:pStyle w:val="60"/>
                    <w:bidi w:val="0"/>
                    <w:rPr>
                      <w:color w:val="auto"/>
                      <w:highlight w:val="none"/>
                    </w:rPr>
                  </w:pPr>
                  <w:r>
                    <w:rPr>
                      <w:color w:val="auto"/>
                      <w:highlight w:val="none"/>
                    </w:rPr>
                    <w:t>TSP</w:t>
                  </w:r>
                </w:p>
              </w:tc>
              <w:tc>
                <w:tcPr>
                  <w:tcW w:w="1405" w:type="dxa"/>
                  <w:tcBorders>
                    <w:tl2br w:val="nil"/>
                    <w:tr2bl w:val="nil"/>
                  </w:tcBorders>
                  <w:noWrap w:val="0"/>
                  <w:vAlign w:val="center"/>
                </w:tcPr>
                <w:p w14:paraId="39151B27">
                  <w:pPr>
                    <w:pStyle w:val="60"/>
                    <w:bidi w:val="0"/>
                    <w:rPr>
                      <w:rFonts w:hint="default" w:eastAsia="宋体"/>
                      <w:color w:val="auto"/>
                      <w:highlight w:val="none"/>
                      <w:lang w:val="en-US" w:eastAsia="zh-CN"/>
                    </w:rPr>
                  </w:pPr>
                  <w:r>
                    <w:rPr>
                      <w:rFonts w:hint="eastAsia"/>
                      <w:color w:val="auto"/>
                      <w:highlight w:val="none"/>
                      <w:lang w:val="en-US" w:eastAsia="zh-CN"/>
                    </w:rPr>
                    <w:t>东北</w:t>
                  </w:r>
                </w:p>
              </w:tc>
              <w:tc>
                <w:tcPr>
                  <w:tcW w:w="1014" w:type="dxa"/>
                  <w:tcBorders>
                    <w:tl2br w:val="nil"/>
                    <w:tr2bl w:val="nil"/>
                  </w:tcBorders>
                  <w:noWrap w:val="0"/>
                  <w:vAlign w:val="center"/>
                </w:tcPr>
                <w:p w14:paraId="14190750">
                  <w:pPr>
                    <w:pStyle w:val="60"/>
                    <w:bidi w:val="0"/>
                    <w:rPr>
                      <w:rFonts w:hint="default" w:eastAsia="宋体"/>
                      <w:color w:val="auto"/>
                      <w:highlight w:val="none"/>
                      <w:lang w:val="en-US" w:eastAsia="zh-CN"/>
                    </w:rPr>
                  </w:pPr>
                  <w:r>
                    <w:rPr>
                      <w:rFonts w:hint="eastAsia"/>
                      <w:color w:val="auto"/>
                      <w:highlight w:val="none"/>
                      <w:lang w:val="en-US" w:eastAsia="zh-CN"/>
                    </w:rPr>
                    <w:t>1300</w:t>
                  </w:r>
                </w:p>
              </w:tc>
            </w:tr>
          </w:tbl>
          <w:p w14:paraId="5A17630A">
            <w:pPr>
              <w:pStyle w:val="50"/>
              <w:bidi w:val="0"/>
              <w:rPr>
                <w:color w:val="auto"/>
                <w:highlight w:val="none"/>
              </w:rPr>
            </w:pPr>
            <w:r>
              <w:drawing>
                <wp:anchor distT="0" distB="0" distL="114300" distR="114300" simplePos="0" relativeHeight="251704320" behindDoc="0" locked="0" layoutInCell="1" allowOverlap="1">
                  <wp:simplePos x="0" y="0"/>
                  <wp:positionH relativeFrom="column">
                    <wp:posOffset>3827145</wp:posOffset>
                  </wp:positionH>
                  <wp:positionV relativeFrom="paragraph">
                    <wp:posOffset>5715</wp:posOffset>
                  </wp:positionV>
                  <wp:extent cx="659765" cy="647700"/>
                  <wp:effectExtent l="0" t="0" r="6985" b="0"/>
                  <wp:wrapNone/>
                  <wp:docPr id="1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7"/>
                          <pic:cNvPicPr>
                            <a:picLocks noChangeAspect="1"/>
                          </pic:cNvPicPr>
                        </pic:nvPicPr>
                        <pic:blipFill>
                          <a:blip r:embed="rId30"/>
                          <a:stretch>
                            <a:fillRect/>
                          </a:stretch>
                        </pic:blipFill>
                        <pic:spPr>
                          <a:xfrm>
                            <a:off x="0" y="0"/>
                            <a:ext cx="659765" cy="647700"/>
                          </a:xfrm>
                          <a:prstGeom prst="rect">
                            <a:avLst/>
                          </a:prstGeom>
                          <a:noFill/>
                          <a:ln>
                            <a:noFill/>
                          </a:ln>
                        </pic:spPr>
                      </pic:pic>
                    </a:graphicData>
                  </a:graphic>
                </wp:anchor>
              </w:drawing>
            </w:r>
            <w:r>
              <w:rPr>
                <w:color w:val="auto"/>
                <w:sz w:val="24"/>
                <w:highlight w:val="none"/>
              </w:rPr>
              <mc:AlternateContent>
                <mc:Choice Requires="wpg">
                  <w:drawing>
                    <wp:anchor distT="0" distB="0" distL="114300" distR="114300" simplePos="0" relativeHeight="251671552" behindDoc="0" locked="0" layoutInCell="1" allowOverlap="1">
                      <wp:simplePos x="0" y="0"/>
                      <wp:positionH relativeFrom="column">
                        <wp:posOffset>3140075</wp:posOffset>
                      </wp:positionH>
                      <wp:positionV relativeFrom="paragraph">
                        <wp:posOffset>2643505</wp:posOffset>
                      </wp:positionV>
                      <wp:extent cx="1352550" cy="971550"/>
                      <wp:effectExtent l="4445" t="4445" r="14605" b="14605"/>
                      <wp:wrapNone/>
                      <wp:docPr id="12" name="组合 12"/>
                      <wp:cNvGraphicFramePr/>
                      <a:graphic xmlns:a="http://schemas.openxmlformats.org/drawingml/2006/main">
                        <a:graphicData uri="http://schemas.microsoft.com/office/word/2010/wordprocessingGroup">
                          <wpg:wgp>
                            <wpg:cNvGrpSpPr/>
                            <wpg:grpSpPr>
                              <a:xfrm>
                                <a:off x="0" y="0"/>
                                <a:ext cx="1352550" cy="971550"/>
                                <a:chOff x="9116" y="487962"/>
                                <a:chExt cx="2130" cy="1530"/>
                              </a:xfrm>
                            </wpg:grpSpPr>
                            <wps:wsp>
                              <wps:cNvPr id="17" name="文本框 17"/>
                              <wps:cNvSpPr txBox="1"/>
                              <wps:spPr>
                                <a:xfrm>
                                  <a:off x="9116" y="487962"/>
                                  <a:ext cx="2130" cy="15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7670C6">
                                    <w:pPr>
                                      <w:jc w:val="center"/>
                                      <w:rPr>
                                        <w:rFonts w:hint="eastAsia"/>
                                        <w:b/>
                                        <w:bCs/>
                                        <w:lang w:val="en-US" w:eastAsia="zh-CN"/>
                                      </w:rPr>
                                    </w:pPr>
                                    <w:r>
                                      <w:rPr>
                                        <w:rFonts w:hint="eastAsia"/>
                                        <w:b/>
                                        <w:bCs/>
                                        <w:lang w:val="en-US" w:eastAsia="zh-CN"/>
                                      </w:rPr>
                                      <w:t>图  例</w:t>
                                    </w:r>
                                  </w:p>
                                  <w:p w14:paraId="4FF6E123">
                                    <w:pPr>
                                      <w:jc w:val="both"/>
                                      <w:rPr>
                                        <w:rFonts w:hint="eastAsia"/>
                                        <w:lang w:val="en-US" w:eastAsia="zh-CN"/>
                                      </w:rPr>
                                    </w:pPr>
                                    <w:r>
                                      <w:rPr>
                                        <w:rFonts w:hint="eastAsia"/>
                                        <w:lang w:val="en-US" w:eastAsia="zh-CN"/>
                                      </w:rPr>
                                      <w:t>厂    界</w:t>
                                    </w:r>
                                  </w:p>
                                  <w:p w14:paraId="3163E97D">
                                    <w:pPr>
                                      <w:jc w:val="both"/>
                                      <w:rPr>
                                        <w:rFonts w:hint="default"/>
                                        <w:lang w:val="en-US" w:eastAsia="zh-CN"/>
                                      </w:rPr>
                                    </w:pPr>
                                    <w:r>
                                      <w:rPr>
                                        <w:rFonts w:hint="eastAsia"/>
                                        <w:lang w:val="en-US" w:eastAsia="zh-CN"/>
                                      </w:rPr>
                                      <w:t>监测点位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 name="矩形 16"/>
                              <wps:cNvSpPr/>
                              <wps:spPr>
                                <a:xfrm>
                                  <a:off x="10511" y="488517"/>
                                  <a:ext cx="630" cy="25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47.25pt;margin-top:208.15pt;height:76.5pt;width:106.5pt;z-index:251671552;mso-width-relative:page;mso-height-relative:page;" coordorigin="9116,487962" coordsize="2130,1530" o:gfxdata="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">
                      <o:lock v:ext="edit" aspectratio="f"/>
                      <v:shape id="_x0000_s1026" o:spid="_x0000_s1026" o:spt="202" type="#_x0000_t202" style="position:absolute;left:9116;top:487962;height:1530;width:2130;" fillcolor="#FFFFFF [3201]" filled="t" stroked="t" coordsize="21600,21600" o:gfxdata="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x0aU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67670C6">
                              <w:pPr>
                                <w:jc w:val="center"/>
                                <w:rPr>
                                  <w:rFonts w:hint="eastAsia"/>
                                  <w:b/>
                                  <w:bCs/>
                                  <w:lang w:val="en-US" w:eastAsia="zh-CN"/>
                                </w:rPr>
                              </w:pPr>
                              <w:r>
                                <w:rPr>
                                  <w:rFonts w:hint="eastAsia"/>
                                  <w:b/>
                                  <w:bCs/>
                                  <w:lang w:val="en-US" w:eastAsia="zh-CN"/>
                                </w:rPr>
                                <w:t>图  例</w:t>
                              </w:r>
                            </w:p>
                            <w:p w14:paraId="4FF6E123">
                              <w:pPr>
                                <w:jc w:val="both"/>
                                <w:rPr>
                                  <w:rFonts w:hint="eastAsia"/>
                                  <w:lang w:val="en-US" w:eastAsia="zh-CN"/>
                                </w:rPr>
                              </w:pPr>
                              <w:r>
                                <w:rPr>
                                  <w:rFonts w:hint="eastAsia"/>
                                  <w:lang w:val="en-US" w:eastAsia="zh-CN"/>
                                </w:rPr>
                                <w:t>厂    界</w:t>
                              </w:r>
                            </w:p>
                            <w:p w14:paraId="3163E97D">
                              <w:pPr>
                                <w:jc w:val="both"/>
                                <w:rPr>
                                  <w:rFonts w:hint="default"/>
                                  <w:lang w:val="en-US" w:eastAsia="zh-CN"/>
                                </w:rPr>
                              </w:pPr>
                              <w:r>
                                <w:rPr>
                                  <w:rFonts w:hint="eastAsia"/>
                                  <w:lang w:val="en-US" w:eastAsia="zh-CN"/>
                                </w:rPr>
                                <w:t>监测点位</w:t>
                              </w:r>
                            </w:p>
                          </w:txbxContent>
                        </v:textbox>
                      </v:shape>
                      <v:rect id="_x0000_s1026" o:spid="_x0000_s1026" o:spt="1" style="position:absolute;left:10511;top:488517;height:255;width:630;v-text-anchor:middle;" filled="f" stroked="t" coordsize="21600,21600" o:gfxdata="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z0WEr4A&#10;AADbAAAADwAAAAAAAAABACAAAAAiAAAAZHJzL2Rvd25yZXYueG1sUEsBAhQAFAAAAAgAh07iQDMv&#10;BZ47AAAAOQAAABAAAAAAAAAAAQAgAAAADQEAAGRycy9zaGFwZXhtbC54bWxQSwUGAAAAAAYABgBb&#10;AQAAtwMAAAAA&#10;">
                        <v:fill on="f" focussize="0,0"/>
                        <v:stroke weight="2pt" color="#FF0000 [2404]" joinstyle="round"/>
                        <v:imagedata o:title=""/>
                        <o:lock v:ext="edit" aspectratio="f"/>
                      </v:rect>
                    </v:group>
                  </w:pict>
                </mc:Fallback>
              </mc:AlternateContent>
            </w:r>
            <w:r>
              <w:rPr>
                <w:highlight w:val="none"/>
              </w:rPr>
              <mc:AlternateContent>
                <mc:Choice Requires="wps">
                  <w:drawing>
                    <wp:anchor distT="0" distB="0" distL="114300" distR="114300" simplePos="0" relativeHeight="251674624" behindDoc="0" locked="0" layoutInCell="1" allowOverlap="1">
                      <wp:simplePos x="0" y="0"/>
                      <wp:positionH relativeFrom="column">
                        <wp:posOffset>4114165</wp:posOffset>
                      </wp:positionH>
                      <wp:positionV relativeFrom="paragraph">
                        <wp:posOffset>3286125</wp:posOffset>
                      </wp:positionV>
                      <wp:extent cx="209550" cy="209550"/>
                      <wp:effectExtent l="12700" t="12700" r="25400" b="25400"/>
                      <wp:wrapNone/>
                      <wp:docPr id="23" name="同心圆 23"/>
                      <wp:cNvGraphicFramePr/>
                      <a:graphic xmlns:a="http://schemas.openxmlformats.org/drawingml/2006/main">
                        <a:graphicData uri="http://schemas.microsoft.com/office/word/2010/wordprocessingShape">
                          <wps:wsp>
                            <wps:cNvSpPr/>
                            <wps:spPr>
                              <a:xfrm>
                                <a:off x="0" y="0"/>
                                <a:ext cx="209550" cy="209550"/>
                              </a:xfrm>
                              <a:prstGeom prst="donut">
                                <a:avLst/>
                              </a:prstGeom>
                              <a:solidFill>
                                <a:srgbClr val="0000FF"/>
                              </a:solidFill>
                              <a:ln>
                                <a:solidFill>
                                  <a:srgbClr val="00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323.95pt;margin-top:258.75pt;height:16.5pt;width:16.5pt;z-index:251674624;v-text-anchor:middle;mso-width-relative:page;mso-height-relative:page;" fillcolor="#0000FF" filled="t" stroked="t" coordsize="21600,21600" o:gfxdata="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sKtBtoAAAALAQAADwAAAAAAAAABACAAAAAiAAAAZHJzL2Rvd25yZXYueG1sUEsB&#10;AhQAFAAAAAgAh07iQBMJk09lAgAA4gQAAA4AAAAAAAAAAQAgAAAAKQEAAGRycy9lMm9Eb2MueG1s&#10;UEsFBgAAAAAGAAYAWQEAAAAGAAAAAA==&#10;" adj="5400">
                      <v:fill on="t" focussize="0,0"/>
                      <v:stroke weight="2pt" color="#000000 [2404]" joinstyle="round"/>
                      <v:imagedata o:title=""/>
                      <o:lock v:ext="edit" aspectratio="f"/>
                    </v:shape>
                  </w:pict>
                </mc:Fallback>
              </mc:AlternateContent>
            </w:r>
            <w:r>
              <w:drawing>
                <wp:inline distT="0" distB="0" distL="114300" distR="114300">
                  <wp:extent cx="4269105" cy="3599815"/>
                  <wp:effectExtent l="0" t="0" r="17145" b="635"/>
                  <wp:docPr id="10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2"/>
                          <pic:cNvPicPr>
                            <a:picLocks noChangeAspect="1"/>
                          </pic:cNvPicPr>
                        </pic:nvPicPr>
                        <pic:blipFill>
                          <a:blip r:embed="rId31"/>
                          <a:stretch>
                            <a:fillRect/>
                          </a:stretch>
                        </pic:blipFill>
                        <pic:spPr>
                          <a:xfrm>
                            <a:off x="0" y="0"/>
                            <a:ext cx="4269105" cy="3599815"/>
                          </a:xfrm>
                          <a:prstGeom prst="rect">
                            <a:avLst/>
                          </a:prstGeom>
                          <a:noFill/>
                          <a:ln>
                            <a:noFill/>
                          </a:ln>
                        </pic:spPr>
                      </pic:pic>
                    </a:graphicData>
                  </a:graphic>
                </wp:inline>
              </w:drawing>
            </w:r>
          </w:p>
          <w:p w14:paraId="7B434D39">
            <w:pPr>
              <w:pStyle w:val="50"/>
              <w:bidi w:val="0"/>
            </w:pPr>
            <w:r>
              <w:t>图3-1   监测点位图示</w:t>
            </w:r>
          </w:p>
          <w:p w14:paraId="50C0BFC1">
            <w:pPr>
              <w:pStyle w:val="50"/>
              <w:spacing w:before="120" w:beforeLines="50"/>
              <w:rPr>
                <w:rFonts w:hint="default" w:cs="Times New Roman"/>
                <w:color w:val="auto"/>
                <w:highlight w:val="none"/>
              </w:rPr>
            </w:pPr>
            <w:r>
              <w:rPr>
                <w:rFonts w:hint="default" w:cs="Times New Roman"/>
                <w:color w:val="auto"/>
                <w:highlight w:val="none"/>
              </w:rPr>
              <w:t>表3-3   其他污染物环境质量现状监测结果一览表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771"/>
              <w:gridCol w:w="771"/>
              <w:gridCol w:w="636"/>
              <w:gridCol w:w="695"/>
              <w:gridCol w:w="969"/>
              <w:gridCol w:w="981"/>
              <w:gridCol w:w="676"/>
              <w:gridCol w:w="641"/>
              <w:gridCol w:w="426"/>
            </w:tblGrid>
            <w:tr w14:paraId="7CB72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1" w:type="dxa"/>
                  <w:vMerge w:val="restart"/>
                  <w:tcBorders>
                    <w:tl2br w:val="nil"/>
                    <w:tr2bl w:val="nil"/>
                  </w:tcBorders>
                  <w:vAlign w:val="center"/>
                </w:tcPr>
                <w:p w14:paraId="0D893252">
                  <w:pPr>
                    <w:pStyle w:val="60"/>
                    <w:rPr>
                      <w:rFonts w:cs="Times New Roman"/>
                      <w:color w:val="auto"/>
                      <w:highlight w:val="none"/>
                    </w:rPr>
                  </w:pPr>
                  <w:r>
                    <w:rPr>
                      <w:rFonts w:cs="Times New Roman"/>
                      <w:color w:val="auto"/>
                      <w:highlight w:val="none"/>
                    </w:rPr>
                    <w:t>监测点名称</w:t>
                  </w:r>
                </w:p>
              </w:tc>
              <w:tc>
                <w:tcPr>
                  <w:tcW w:w="1542" w:type="dxa"/>
                  <w:gridSpan w:val="2"/>
                  <w:tcBorders>
                    <w:tl2br w:val="nil"/>
                    <w:tr2bl w:val="nil"/>
                  </w:tcBorders>
                  <w:vAlign w:val="center"/>
                </w:tcPr>
                <w:p w14:paraId="635C3A25">
                  <w:pPr>
                    <w:pStyle w:val="60"/>
                    <w:rPr>
                      <w:rFonts w:cs="Times New Roman"/>
                      <w:color w:val="auto"/>
                      <w:highlight w:val="none"/>
                    </w:rPr>
                  </w:pPr>
                  <w:r>
                    <w:rPr>
                      <w:rFonts w:cs="Times New Roman"/>
                      <w:color w:val="auto"/>
                      <w:highlight w:val="none"/>
                    </w:rPr>
                    <w:t>监测点坐标（°）</w:t>
                  </w:r>
                </w:p>
              </w:tc>
              <w:tc>
                <w:tcPr>
                  <w:tcW w:w="636" w:type="dxa"/>
                  <w:vMerge w:val="restart"/>
                  <w:tcBorders>
                    <w:tl2br w:val="nil"/>
                    <w:tr2bl w:val="nil"/>
                  </w:tcBorders>
                  <w:vAlign w:val="center"/>
                </w:tcPr>
                <w:p w14:paraId="642F8CC8">
                  <w:pPr>
                    <w:pStyle w:val="60"/>
                    <w:rPr>
                      <w:rFonts w:cs="Times New Roman"/>
                      <w:color w:val="auto"/>
                      <w:highlight w:val="none"/>
                    </w:rPr>
                  </w:pPr>
                  <w:r>
                    <w:rPr>
                      <w:rFonts w:cs="Times New Roman"/>
                      <w:color w:val="auto"/>
                      <w:highlight w:val="none"/>
                    </w:rPr>
                    <w:t>污染物</w:t>
                  </w:r>
                </w:p>
              </w:tc>
              <w:tc>
                <w:tcPr>
                  <w:tcW w:w="695" w:type="dxa"/>
                  <w:vMerge w:val="restart"/>
                  <w:tcBorders>
                    <w:tl2br w:val="nil"/>
                    <w:tr2bl w:val="nil"/>
                  </w:tcBorders>
                  <w:vAlign w:val="center"/>
                </w:tcPr>
                <w:p w14:paraId="0F38D1B7">
                  <w:pPr>
                    <w:pStyle w:val="60"/>
                    <w:rPr>
                      <w:rFonts w:cs="Times New Roman"/>
                      <w:color w:val="auto"/>
                      <w:highlight w:val="none"/>
                    </w:rPr>
                  </w:pPr>
                  <w:r>
                    <w:rPr>
                      <w:rFonts w:cs="Times New Roman"/>
                      <w:color w:val="auto"/>
                      <w:highlight w:val="none"/>
                    </w:rPr>
                    <w:t>平均</w:t>
                  </w:r>
                </w:p>
                <w:p w14:paraId="11D21307">
                  <w:pPr>
                    <w:pStyle w:val="60"/>
                    <w:rPr>
                      <w:rFonts w:cs="Times New Roman"/>
                      <w:color w:val="auto"/>
                      <w:highlight w:val="none"/>
                    </w:rPr>
                  </w:pPr>
                  <w:r>
                    <w:rPr>
                      <w:rFonts w:cs="Times New Roman"/>
                      <w:color w:val="auto"/>
                      <w:highlight w:val="none"/>
                    </w:rPr>
                    <w:t>时间</w:t>
                  </w:r>
                </w:p>
              </w:tc>
              <w:tc>
                <w:tcPr>
                  <w:tcW w:w="969" w:type="dxa"/>
                  <w:vMerge w:val="restart"/>
                  <w:tcBorders>
                    <w:tl2br w:val="nil"/>
                    <w:tr2bl w:val="nil"/>
                  </w:tcBorders>
                  <w:vAlign w:val="center"/>
                </w:tcPr>
                <w:p w14:paraId="4330BA33">
                  <w:pPr>
                    <w:pStyle w:val="60"/>
                    <w:rPr>
                      <w:rFonts w:cs="Times New Roman"/>
                      <w:color w:val="auto"/>
                      <w:highlight w:val="none"/>
                    </w:rPr>
                  </w:pPr>
                  <w:r>
                    <w:rPr>
                      <w:rFonts w:cs="Times New Roman"/>
                      <w:color w:val="auto"/>
                      <w:highlight w:val="none"/>
                    </w:rPr>
                    <w:t>评价标准/（μg/m</w:t>
                  </w:r>
                  <w:r>
                    <w:rPr>
                      <w:rFonts w:cs="Times New Roman"/>
                      <w:color w:val="auto"/>
                      <w:highlight w:val="none"/>
                      <w:vertAlign w:val="superscript"/>
                    </w:rPr>
                    <w:t>3</w:t>
                  </w:r>
                  <w:r>
                    <w:rPr>
                      <w:rFonts w:cs="Times New Roman"/>
                      <w:color w:val="auto"/>
                      <w:highlight w:val="none"/>
                    </w:rPr>
                    <w:t>）</w:t>
                  </w:r>
                </w:p>
              </w:tc>
              <w:tc>
                <w:tcPr>
                  <w:tcW w:w="981" w:type="dxa"/>
                  <w:vMerge w:val="restart"/>
                  <w:tcBorders>
                    <w:tl2br w:val="nil"/>
                    <w:tr2bl w:val="nil"/>
                  </w:tcBorders>
                  <w:vAlign w:val="center"/>
                </w:tcPr>
                <w:p w14:paraId="3F641B62">
                  <w:pPr>
                    <w:pStyle w:val="60"/>
                    <w:rPr>
                      <w:rFonts w:cs="Times New Roman"/>
                      <w:color w:val="auto"/>
                      <w:highlight w:val="none"/>
                    </w:rPr>
                  </w:pPr>
                  <w:r>
                    <w:rPr>
                      <w:rFonts w:cs="Times New Roman"/>
                      <w:color w:val="auto"/>
                      <w:highlight w:val="none"/>
                    </w:rPr>
                    <w:t>监测浓度范围/（μg/m</w:t>
                  </w:r>
                  <w:r>
                    <w:rPr>
                      <w:rFonts w:cs="Times New Roman"/>
                      <w:color w:val="auto"/>
                      <w:highlight w:val="none"/>
                      <w:vertAlign w:val="superscript"/>
                    </w:rPr>
                    <w:t>3</w:t>
                  </w:r>
                  <w:r>
                    <w:rPr>
                      <w:rFonts w:cs="Times New Roman"/>
                      <w:color w:val="auto"/>
                      <w:highlight w:val="none"/>
                    </w:rPr>
                    <w:t>）</w:t>
                  </w:r>
                </w:p>
              </w:tc>
              <w:tc>
                <w:tcPr>
                  <w:tcW w:w="676" w:type="dxa"/>
                  <w:vMerge w:val="restart"/>
                  <w:tcBorders>
                    <w:tl2br w:val="nil"/>
                    <w:tr2bl w:val="nil"/>
                  </w:tcBorders>
                  <w:vAlign w:val="center"/>
                </w:tcPr>
                <w:p w14:paraId="7E7B44CE">
                  <w:pPr>
                    <w:pStyle w:val="60"/>
                    <w:rPr>
                      <w:rFonts w:cs="Times New Roman"/>
                      <w:color w:val="auto"/>
                      <w:highlight w:val="none"/>
                    </w:rPr>
                  </w:pPr>
                  <w:r>
                    <w:rPr>
                      <w:rFonts w:cs="Times New Roman"/>
                      <w:color w:val="auto"/>
                      <w:highlight w:val="none"/>
                    </w:rPr>
                    <w:t>最大浓度占标率/%</w:t>
                  </w:r>
                </w:p>
              </w:tc>
              <w:tc>
                <w:tcPr>
                  <w:tcW w:w="641" w:type="dxa"/>
                  <w:vMerge w:val="restart"/>
                  <w:tcBorders>
                    <w:tl2br w:val="nil"/>
                    <w:tr2bl w:val="nil"/>
                  </w:tcBorders>
                  <w:vAlign w:val="center"/>
                </w:tcPr>
                <w:p w14:paraId="5A0B9A9B">
                  <w:pPr>
                    <w:pStyle w:val="60"/>
                    <w:rPr>
                      <w:rFonts w:cs="Times New Roman"/>
                      <w:color w:val="auto"/>
                      <w:highlight w:val="none"/>
                    </w:rPr>
                  </w:pPr>
                  <w:r>
                    <w:rPr>
                      <w:rFonts w:cs="Times New Roman"/>
                      <w:color w:val="auto"/>
                      <w:highlight w:val="none"/>
                    </w:rPr>
                    <w:t>超标率/%</w:t>
                  </w:r>
                </w:p>
              </w:tc>
              <w:tc>
                <w:tcPr>
                  <w:tcW w:w="426" w:type="dxa"/>
                  <w:vMerge w:val="restart"/>
                  <w:tcBorders>
                    <w:tl2br w:val="nil"/>
                    <w:tr2bl w:val="nil"/>
                  </w:tcBorders>
                  <w:vAlign w:val="center"/>
                </w:tcPr>
                <w:p w14:paraId="0A370B3F">
                  <w:pPr>
                    <w:pStyle w:val="60"/>
                    <w:rPr>
                      <w:rFonts w:cs="Times New Roman"/>
                      <w:color w:val="auto"/>
                      <w:highlight w:val="none"/>
                    </w:rPr>
                  </w:pPr>
                  <w:r>
                    <w:rPr>
                      <w:rFonts w:cs="Times New Roman"/>
                      <w:color w:val="auto"/>
                      <w:highlight w:val="none"/>
                    </w:rPr>
                    <w:t>达标情况</w:t>
                  </w:r>
                </w:p>
              </w:tc>
            </w:tr>
            <w:tr w14:paraId="35562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1" w:type="dxa"/>
                  <w:vMerge w:val="continue"/>
                  <w:tcBorders>
                    <w:tl2br w:val="nil"/>
                    <w:tr2bl w:val="nil"/>
                  </w:tcBorders>
                  <w:vAlign w:val="center"/>
                </w:tcPr>
                <w:p w14:paraId="19A08F47">
                  <w:pPr>
                    <w:pStyle w:val="60"/>
                    <w:rPr>
                      <w:rFonts w:cs="Times New Roman"/>
                      <w:color w:val="auto"/>
                      <w:highlight w:val="none"/>
                    </w:rPr>
                  </w:pPr>
                </w:p>
              </w:tc>
              <w:tc>
                <w:tcPr>
                  <w:tcW w:w="771" w:type="dxa"/>
                  <w:tcBorders>
                    <w:tl2br w:val="nil"/>
                    <w:tr2bl w:val="nil"/>
                  </w:tcBorders>
                  <w:vAlign w:val="center"/>
                </w:tcPr>
                <w:p w14:paraId="3FA55835">
                  <w:pPr>
                    <w:pStyle w:val="60"/>
                    <w:rPr>
                      <w:rFonts w:cs="Times New Roman"/>
                      <w:color w:val="auto"/>
                      <w:highlight w:val="none"/>
                    </w:rPr>
                  </w:pPr>
                  <w:r>
                    <w:rPr>
                      <w:rFonts w:cs="Times New Roman"/>
                      <w:color w:val="auto"/>
                      <w:highlight w:val="none"/>
                    </w:rPr>
                    <w:t>经度/E</w:t>
                  </w:r>
                </w:p>
              </w:tc>
              <w:tc>
                <w:tcPr>
                  <w:tcW w:w="771" w:type="dxa"/>
                  <w:tcBorders>
                    <w:tl2br w:val="nil"/>
                    <w:tr2bl w:val="nil"/>
                  </w:tcBorders>
                  <w:vAlign w:val="center"/>
                </w:tcPr>
                <w:p w14:paraId="4535B2AF">
                  <w:pPr>
                    <w:pStyle w:val="60"/>
                    <w:rPr>
                      <w:rFonts w:cs="Times New Roman"/>
                      <w:color w:val="auto"/>
                      <w:highlight w:val="none"/>
                    </w:rPr>
                  </w:pPr>
                  <w:r>
                    <w:rPr>
                      <w:rFonts w:cs="Times New Roman"/>
                      <w:color w:val="auto"/>
                      <w:highlight w:val="none"/>
                    </w:rPr>
                    <w:t>纬度/N</w:t>
                  </w:r>
                </w:p>
              </w:tc>
              <w:tc>
                <w:tcPr>
                  <w:tcW w:w="636" w:type="dxa"/>
                  <w:vMerge w:val="continue"/>
                  <w:tcBorders>
                    <w:tl2br w:val="nil"/>
                    <w:tr2bl w:val="nil"/>
                  </w:tcBorders>
                  <w:vAlign w:val="center"/>
                </w:tcPr>
                <w:p w14:paraId="3814BDB7">
                  <w:pPr>
                    <w:pStyle w:val="60"/>
                    <w:rPr>
                      <w:rFonts w:cs="Times New Roman"/>
                      <w:color w:val="auto"/>
                      <w:highlight w:val="none"/>
                    </w:rPr>
                  </w:pPr>
                </w:p>
              </w:tc>
              <w:tc>
                <w:tcPr>
                  <w:tcW w:w="695" w:type="dxa"/>
                  <w:vMerge w:val="continue"/>
                  <w:tcBorders>
                    <w:tl2br w:val="nil"/>
                    <w:tr2bl w:val="nil"/>
                  </w:tcBorders>
                  <w:vAlign w:val="center"/>
                </w:tcPr>
                <w:p w14:paraId="0EBEDCAA">
                  <w:pPr>
                    <w:pStyle w:val="60"/>
                    <w:rPr>
                      <w:rFonts w:cs="Times New Roman"/>
                      <w:color w:val="auto"/>
                      <w:highlight w:val="none"/>
                    </w:rPr>
                  </w:pPr>
                </w:p>
              </w:tc>
              <w:tc>
                <w:tcPr>
                  <w:tcW w:w="969" w:type="dxa"/>
                  <w:vMerge w:val="continue"/>
                  <w:tcBorders>
                    <w:tl2br w:val="nil"/>
                    <w:tr2bl w:val="nil"/>
                  </w:tcBorders>
                  <w:vAlign w:val="center"/>
                </w:tcPr>
                <w:p w14:paraId="4B242EAA">
                  <w:pPr>
                    <w:pStyle w:val="60"/>
                    <w:rPr>
                      <w:rFonts w:cs="Times New Roman"/>
                      <w:color w:val="auto"/>
                      <w:highlight w:val="none"/>
                    </w:rPr>
                  </w:pPr>
                </w:p>
              </w:tc>
              <w:tc>
                <w:tcPr>
                  <w:tcW w:w="981" w:type="dxa"/>
                  <w:vMerge w:val="continue"/>
                  <w:tcBorders>
                    <w:tl2br w:val="nil"/>
                    <w:tr2bl w:val="nil"/>
                  </w:tcBorders>
                  <w:vAlign w:val="center"/>
                </w:tcPr>
                <w:p w14:paraId="461EFF7B">
                  <w:pPr>
                    <w:pStyle w:val="60"/>
                    <w:rPr>
                      <w:rFonts w:cs="Times New Roman"/>
                      <w:color w:val="auto"/>
                      <w:highlight w:val="none"/>
                    </w:rPr>
                  </w:pPr>
                </w:p>
              </w:tc>
              <w:tc>
                <w:tcPr>
                  <w:tcW w:w="676" w:type="dxa"/>
                  <w:vMerge w:val="continue"/>
                  <w:tcBorders>
                    <w:tl2br w:val="nil"/>
                    <w:tr2bl w:val="nil"/>
                  </w:tcBorders>
                  <w:vAlign w:val="center"/>
                </w:tcPr>
                <w:p w14:paraId="2E3BF5B7">
                  <w:pPr>
                    <w:pStyle w:val="60"/>
                    <w:rPr>
                      <w:rFonts w:cs="Times New Roman"/>
                      <w:color w:val="auto"/>
                      <w:highlight w:val="none"/>
                    </w:rPr>
                  </w:pPr>
                </w:p>
              </w:tc>
              <w:tc>
                <w:tcPr>
                  <w:tcW w:w="641" w:type="dxa"/>
                  <w:vMerge w:val="continue"/>
                  <w:tcBorders>
                    <w:tl2br w:val="nil"/>
                    <w:tr2bl w:val="nil"/>
                  </w:tcBorders>
                  <w:vAlign w:val="center"/>
                </w:tcPr>
                <w:p w14:paraId="4D4E33C3">
                  <w:pPr>
                    <w:pStyle w:val="60"/>
                    <w:rPr>
                      <w:rFonts w:cs="Times New Roman"/>
                      <w:color w:val="auto"/>
                      <w:highlight w:val="none"/>
                    </w:rPr>
                  </w:pPr>
                </w:p>
              </w:tc>
              <w:tc>
                <w:tcPr>
                  <w:tcW w:w="426" w:type="dxa"/>
                  <w:vMerge w:val="continue"/>
                  <w:tcBorders>
                    <w:tl2br w:val="nil"/>
                    <w:tr2bl w:val="nil"/>
                  </w:tcBorders>
                  <w:vAlign w:val="center"/>
                </w:tcPr>
                <w:p w14:paraId="4C24A837">
                  <w:pPr>
                    <w:pStyle w:val="60"/>
                    <w:rPr>
                      <w:rFonts w:cs="Times New Roman"/>
                      <w:color w:val="auto"/>
                      <w:highlight w:val="none"/>
                    </w:rPr>
                  </w:pPr>
                </w:p>
              </w:tc>
            </w:tr>
            <w:tr w14:paraId="3DDD9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1" w:type="dxa"/>
                  <w:tcBorders>
                    <w:tl2br w:val="nil"/>
                    <w:tr2bl w:val="nil"/>
                  </w:tcBorders>
                  <w:vAlign w:val="center"/>
                </w:tcPr>
                <w:p w14:paraId="4434EB48">
                  <w:pPr>
                    <w:pStyle w:val="60"/>
                    <w:rPr>
                      <w:rFonts w:cs="Times New Roman"/>
                      <w:color w:val="auto"/>
                      <w:highlight w:val="none"/>
                    </w:rPr>
                  </w:pPr>
                  <w:r>
                    <w:rPr>
                      <w:rFonts w:hint="eastAsia"/>
                      <w:color w:val="auto"/>
                      <w:highlight w:val="none"/>
                      <w:lang w:val="en-US" w:eastAsia="zh-CN"/>
                    </w:rPr>
                    <w:t>环境空气监测点</w:t>
                  </w:r>
                </w:p>
              </w:tc>
              <w:tc>
                <w:tcPr>
                  <w:tcW w:w="771" w:type="dxa"/>
                  <w:tcBorders>
                    <w:tl2br w:val="nil"/>
                    <w:tr2bl w:val="nil"/>
                  </w:tcBorders>
                  <w:vAlign w:val="center"/>
                </w:tcPr>
                <w:p w14:paraId="3D32F356">
                  <w:pPr>
                    <w:pStyle w:val="48"/>
                    <w:bidi w:val="0"/>
                  </w:pPr>
                  <w:r>
                    <w:rPr>
                      <w:rFonts w:hint="eastAsia"/>
                    </w:rPr>
                    <w:t>126.907004</w:t>
                  </w:r>
                </w:p>
              </w:tc>
              <w:tc>
                <w:tcPr>
                  <w:tcW w:w="771" w:type="dxa"/>
                  <w:tcBorders>
                    <w:tl2br w:val="nil"/>
                    <w:tr2bl w:val="nil"/>
                  </w:tcBorders>
                  <w:vAlign w:val="center"/>
                </w:tcPr>
                <w:p w14:paraId="66ADFD56">
                  <w:pPr>
                    <w:pStyle w:val="48"/>
                    <w:bidi w:val="0"/>
                  </w:pPr>
                  <w:r>
                    <w:rPr>
                      <w:rFonts w:hint="eastAsia"/>
                    </w:rPr>
                    <w:t>51.150931</w:t>
                  </w:r>
                </w:p>
              </w:tc>
              <w:tc>
                <w:tcPr>
                  <w:tcW w:w="636" w:type="dxa"/>
                  <w:tcBorders>
                    <w:tl2br w:val="nil"/>
                    <w:tr2bl w:val="nil"/>
                  </w:tcBorders>
                  <w:vAlign w:val="center"/>
                </w:tcPr>
                <w:p w14:paraId="3BDCB6F1">
                  <w:pPr>
                    <w:pStyle w:val="60"/>
                    <w:rPr>
                      <w:rFonts w:cs="Times New Roman"/>
                      <w:color w:val="auto"/>
                      <w:highlight w:val="none"/>
                    </w:rPr>
                  </w:pPr>
                  <w:r>
                    <w:rPr>
                      <w:rFonts w:cs="Times New Roman"/>
                      <w:color w:val="auto"/>
                      <w:highlight w:val="none"/>
                    </w:rPr>
                    <w:t>TSP</w:t>
                  </w:r>
                </w:p>
              </w:tc>
              <w:tc>
                <w:tcPr>
                  <w:tcW w:w="695" w:type="dxa"/>
                  <w:tcBorders>
                    <w:tl2br w:val="nil"/>
                    <w:tr2bl w:val="nil"/>
                  </w:tcBorders>
                  <w:vAlign w:val="center"/>
                </w:tcPr>
                <w:p w14:paraId="1D630834">
                  <w:pPr>
                    <w:pStyle w:val="60"/>
                    <w:rPr>
                      <w:rFonts w:cs="Times New Roman"/>
                      <w:color w:val="auto"/>
                      <w:highlight w:val="none"/>
                    </w:rPr>
                  </w:pPr>
                  <w:r>
                    <w:rPr>
                      <w:rFonts w:cs="Times New Roman"/>
                      <w:color w:val="auto"/>
                      <w:highlight w:val="none"/>
                    </w:rPr>
                    <w:t>24小时</w:t>
                  </w:r>
                </w:p>
              </w:tc>
              <w:tc>
                <w:tcPr>
                  <w:tcW w:w="969" w:type="dxa"/>
                  <w:tcBorders>
                    <w:tl2br w:val="nil"/>
                    <w:tr2bl w:val="nil"/>
                  </w:tcBorders>
                  <w:vAlign w:val="center"/>
                </w:tcPr>
                <w:p w14:paraId="7B3E85C2">
                  <w:pPr>
                    <w:pStyle w:val="60"/>
                    <w:rPr>
                      <w:rFonts w:cs="Times New Roman"/>
                      <w:color w:val="auto"/>
                      <w:highlight w:val="none"/>
                    </w:rPr>
                  </w:pPr>
                  <w:r>
                    <w:rPr>
                      <w:rFonts w:cs="Times New Roman"/>
                      <w:color w:val="auto"/>
                      <w:highlight w:val="none"/>
                    </w:rPr>
                    <w:t>300</w:t>
                  </w:r>
                </w:p>
              </w:tc>
              <w:tc>
                <w:tcPr>
                  <w:tcW w:w="981" w:type="dxa"/>
                  <w:tcBorders>
                    <w:tl2br w:val="nil"/>
                    <w:tr2bl w:val="nil"/>
                  </w:tcBorders>
                  <w:vAlign w:val="center"/>
                </w:tcPr>
                <w:p w14:paraId="289E5FA2">
                  <w:pPr>
                    <w:pStyle w:val="60"/>
                    <w:rPr>
                      <w:rFonts w:hint="default" w:eastAsia="宋体" w:cs="Times New Roman"/>
                      <w:color w:val="auto"/>
                      <w:highlight w:val="none"/>
                      <w:lang w:val="en-US" w:eastAsia="zh-CN"/>
                    </w:rPr>
                  </w:pPr>
                  <w:r>
                    <w:rPr>
                      <w:rFonts w:hint="eastAsia" w:cs="Times New Roman"/>
                      <w:color w:val="auto"/>
                      <w:highlight w:val="none"/>
                      <w:lang w:val="en-US" w:eastAsia="zh-CN"/>
                    </w:rPr>
                    <w:t>82</w:t>
                  </w:r>
                  <w:r>
                    <w:rPr>
                      <w:rFonts w:cs="Times New Roman"/>
                      <w:color w:val="auto"/>
                      <w:highlight w:val="none"/>
                    </w:rPr>
                    <w:t>~</w:t>
                  </w:r>
                  <w:r>
                    <w:rPr>
                      <w:rFonts w:hint="eastAsia" w:cs="Times New Roman"/>
                      <w:color w:val="auto"/>
                      <w:highlight w:val="none"/>
                      <w:lang w:val="en-US" w:eastAsia="zh-CN"/>
                    </w:rPr>
                    <w:t>88</w:t>
                  </w:r>
                </w:p>
              </w:tc>
              <w:tc>
                <w:tcPr>
                  <w:tcW w:w="676" w:type="dxa"/>
                  <w:tcBorders>
                    <w:tl2br w:val="nil"/>
                    <w:tr2bl w:val="nil"/>
                  </w:tcBorders>
                  <w:vAlign w:val="center"/>
                </w:tcPr>
                <w:p w14:paraId="5EC7A2F1">
                  <w:pPr>
                    <w:pStyle w:val="60"/>
                    <w:rPr>
                      <w:rFonts w:hint="default" w:eastAsia="宋体" w:cs="Times New Roman"/>
                      <w:color w:val="auto"/>
                      <w:highlight w:val="none"/>
                      <w:lang w:val="en-US" w:eastAsia="zh-CN"/>
                    </w:rPr>
                  </w:pPr>
                  <w:r>
                    <w:rPr>
                      <w:rFonts w:hint="eastAsia" w:cs="Times New Roman"/>
                      <w:color w:val="auto"/>
                      <w:highlight w:val="none"/>
                      <w:lang w:val="en-US" w:eastAsia="zh-CN"/>
                    </w:rPr>
                    <w:t>29.3</w:t>
                  </w:r>
                </w:p>
              </w:tc>
              <w:tc>
                <w:tcPr>
                  <w:tcW w:w="641" w:type="dxa"/>
                  <w:tcBorders>
                    <w:tl2br w:val="nil"/>
                    <w:tr2bl w:val="nil"/>
                  </w:tcBorders>
                  <w:vAlign w:val="center"/>
                </w:tcPr>
                <w:p w14:paraId="2BC2D044">
                  <w:pPr>
                    <w:pStyle w:val="60"/>
                    <w:rPr>
                      <w:rFonts w:cs="Times New Roman"/>
                      <w:color w:val="auto"/>
                      <w:highlight w:val="none"/>
                    </w:rPr>
                  </w:pPr>
                  <w:r>
                    <w:rPr>
                      <w:rFonts w:cs="Times New Roman"/>
                      <w:color w:val="auto"/>
                      <w:highlight w:val="none"/>
                    </w:rPr>
                    <w:t>0</w:t>
                  </w:r>
                </w:p>
              </w:tc>
              <w:tc>
                <w:tcPr>
                  <w:tcW w:w="426" w:type="dxa"/>
                  <w:tcBorders>
                    <w:tl2br w:val="nil"/>
                    <w:tr2bl w:val="nil"/>
                  </w:tcBorders>
                  <w:vAlign w:val="center"/>
                </w:tcPr>
                <w:p w14:paraId="6BBC9CF0">
                  <w:pPr>
                    <w:pStyle w:val="60"/>
                    <w:rPr>
                      <w:rFonts w:cs="Times New Roman"/>
                      <w:color w:val="auto"/>
                      <w:highlight w:val="none"/>
                    </w:rPr>
                  </w:pPr>
                  <w:r>
                    <w:rPr>
                      <w:rFonts w:cs="Times New Roman"/>
                      <w:color w:val="auto"/>
                      <w:highlight w:val="none"/>
                    </w:rPr>
                    <w:t>达标</w:t>
                  </w:r>
                </w:p>
              </w:tc>
            </w:tr>
          </w:tbl>
          <w:p w14:paraId="31C83A0A">
            <w:pPr>
              <w:pStyle w:val="52"/>
              <w:bidi w:val="0"/>
              <w:rPr>
                <w:rFonts w:hint="eastAsia"/>
                <w:color w:val="auto"/>
                <w:highlight w:val="none"/>
                <w:lang w:val="en-US" w:eastAsia="zh-CN"/>
              </w:rPr>
            </w:pPr>
            <w:r>
              <w:rPr>
                <w:color w:val="auto"/>
                <w:highlight w:val="none"/>
              </w:rPr>
              <w:t>评价结果表明，监测期间，所在区域在监测时段内TSP的24小时浓度满足《环境空气质量标准》（GB3095-20</w:t>
            </w:r>
            <w:r>
              <w:rPr>
                <w:rFonts w:hint="eastAsia"/>
                <w:color w:val="auto"/>
                <w:highlight w:val="none"/>
                <w:lang w:val="en-US" w:eastAsia="zh-CN"/>
              </w:rPr>
              <w:t>26</w:t>
            </w:r>
            <w:r>
              <w:rPr>
                <w:color w:val="auto"/>
                <w:highlight w:val="none"/>
              </w:rPr>
              <w:t>）中的二级标准限值要求</w:t>
            </w:r>
            <w:r>
              <w:rPr>
                <w:rFonts w:hint="eastAsia"/>
                <w:color w:val="auto"/>
                <w:highlight w:val="none"/>
                <w:lang w:eastAsia="zh-CN"/>
              </w:rPr>
              <w:t>。</w:t>
            </w:r>
          </w:p>
          <w:p w14:paraId="0D2E540A">
            <w:pPr>
              <w:pStyle w:val="59"/>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2.</w:t>
            </w:r>
            <w:r>
              <w:rPr>
                <w:rFonts w:hint="default" w:ascii="Times New Roman" w:hAnsi="Times New Roman" w:cs="Times New Roman"/>
                <w:b/>
                <w:bCs/>
                <w:color w:val="auto"/>
                <w:highlight w:val="none"/>
              </w:rPr>
              <w:t>地表水环境</w:t>
            </w:r>
          </w:p>
          <w:p w14:paraId="5435F424">
            <w:pPr>
              <w:pStyle w:val="46"/>
              <w:bidi w:val="0"/>
              <w:rPr>
                <w:rFonts w:hint="default"/>
                <w:highlight w:val="none"/>
              </w:rPr>
            </w:pPr>
            <w:r>
              <w:rPr>
                <w:rFonts w:hint="default" w:ascii="Times New Roman" w:hAnsi="Times New Roman" w:cs="Times New Roman"/>
                <w:color w:val="auto"/>
                <w:highlight w:val="none"/>
                <w:lang w:val="en-US" w:eastAsia="zh-CN"/>
              </w:rPr>
              <w:t>本项目所在区域地表水体为</w:t>
            </w:r>
            <w:r>
              <w:rPr>
                <w:rFonts w:hint="eastAsia"/>
                <w:highlight w:val="none"/>
                <w:lang w:val="en-US" w:eastAsia="zh-CN"/>
              </w:rPr>
              <w:t>黑龙江。根据</w:t>
            </w:r>
            <w:r>
              <w:rPr>
                <w:rFonts w:hint="default"/>
                <w:highlight w:val="none"/>
                <w:lang w:val="en-US" w:eastAsia="zh-CN"/>
              </w:rPr>
              <w:t>《2025年黑龙江省生态环境质量状况》</w:t>
            </w:r>
            <w:r>
              <w:rPr>
                <w:rFonts w:hint="eastAsia"/>
                <w:highlight w:val="none"/>
                <w:lang w:val="en-US" w:eastAsia="zh-CN"/>
              </w:rPr>
              <w:t>，</w:t>
            </w:r>
            <w:r>
              <w:rPr>
                <w:rFonts w:hint="default"/>
                <w:highlight w:val="none"/>
                <w:lang w:val="en-US" w:eastAsia="zh-CN"/>
              </w:rPr>
              <w:t>大兴安岭地区参与国家考核计算的断面共7个，Ⅰ~Ⅲ类水质比例为57.1%。无劣V类水质断面。与上年同期相比，Ⅰ~Ⅲ类水质比例保持不变，均无劣V类水质断面。</w:t>
            </w:r>
          </w:p>
          <w:p w14:paraId="049885B0">
            <w:pPr>
              <w:pStyle w:val="59"/>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3.</w:t>
            </w:r>
            <w:r>
              <w:rPr>
                <w:rFonts w:hint="default" w:ascii="Times New Roman" w:hAnsi="Times New Roman" w:cs="Times New Roman"/>
                <w:b/>
                <w:bCs/>
                <w:color w:val="auto"/>
                <w:highlight w:val="none"/>
              </w:rPr>
              <w:t>声环境质量</w:t>
            </w:r>
          </w:p>
          <w:p w14:paraId="2378748F">
            <w:pPr>
              <w:pStyle w:val="46"/>
              <w:bidi w:val="0"/>
              <w:rPr>
                <w:rFonts w:hint="default"/>
                <w:lang w:val="en-US" w:eastAsia="zh-CN"/>
              </w:rPr>
            </w:pPr>
            <w:r>
              <w:rPr>
                <w:rFonts w:hint="default"/>
                <w:lang w:val="en-US" w:eastAsia="zh-CN"/>
              </w:rPr>
              <w:t>根据《2025年黑龙江省生态环境质量状况》大兴安岭地区区域昼间声环境质量为二级，等效声级为51.4dB(A</w:t>
            </w:r>
            <w:r>
              <w:rPr>
                <w:rFonts w:hint="eastAsia"/>
                <w:lang w:val="en-US" w:eastAsia="zh-CN"/>
              </w:rPr>
              <w:t>）</w:t>
            </w:r>
            <w:r>
              <w:rPr>
                <w:rFonts w:hint="default"/>
                <w:lang w:val="en-US" w:eastAsia="zh-CN"/>
              </w:rPr>
              <w:t>；道路交通昼间声环境质量为一级，等效声级为62.1dB(A</w:t>
            </w:r>
            <w:bookmarkStart w:id="46" w:name="_GoBack"/>
            <w:r>
              <w:rPr>
                <w:rFonts w:hint="eastAsia"/>
                <w:lang w:val="en-US" w:eastAsia="zh-CN"/>
              </w:rPr>
              <w:t>）</w:t>
            </w:r>
            <w:bookmarkEnd w:id="46"/>
            <w:r>
              <w:rPr>
                <w:rFonts w:hint="default"/>
                <w:lang w:val="en-US" w:eastAsia="zh-CN"/>
              </w:rPr>
              <w:t>；功能区昼间达标率89.9%，功能区夜间达标率87.3%。</w:t>
            </w:r>
          </w:p>
          <w:p w14:paraId="2DD795D4">
            <w:pPr>
              <w:pStyle w:val="46"/>
              <w:bidi w:val="0"/>
              <w:rPr>
                <w:rFonts w:hint="eastAsia"/>
                <w:lang w:val="en-US" w:eastAsia="zh-CN"/>
              </w:rPr>
            </w:pPr>
            <w:r>
              <w:rPr>
                <w:rFonts w:hint="eastAsia"/>
                <w:lang w:val="en-US" w:eastAsia="zh-CN"/>
              </w:rPr>
              <w:t>根据</w:t>
            </w:r>
            <w:r>
              <w:t>《</w:t>
            </w:r>
            <w:r>
              <w:rPr>
                <w:rFonts w:hint="eastAsia"/>
              </w:rPr>
              <w:fldChar w:fldCharType="begin"/>
            </w:r>
            <w:r>
              <w:rPr>
                <w:rFonts w:hint="eastAsia"/>
              </w:rPr>
              <w:instrText xml:space="preserve"> HYPERLINK "https://www.mee.gov.cn/xxgk2018/xxgk/xxgk05/202101/W020210104371003931528.pdf" </w:instrText>
            </w:r>
            <w:r>
              <w:rPr>
                <w:rFonts w:hint="eastAsia"/>
              </w:rPr>
              <w:fldChar w:fldCharType="separate"/>
            </w:r>
            <w:r>
              <w:rPr>
                <w:rFonts w:hint="eastAsia"/>
              </w:rPr>
              <w:t>建设项目环境影响报告表编制技术指南（污染影响类）（试行）</w:t>
            </w:r>
            <w:r>
              <w:rPr>
                <w:rFonts w:hint="eastAsia"/>
              </w:rPr>
              <w:fldChar w:fldCharType="end"/>
            </w:r>
            <w:r>
              <w:rPr>
                <w:rFonts w:hint="eastAsia"/>
              </w:rPr>
              <w:t>》</w:t>
            </w:r>
            <w:r>
              <w:rPr>
                <w:rFonts w:hint="eastAsia"/>
                <w:lang w:val="en-US" w:eastAsia="zh-CN"/>
              </w:rPr>
              <w:t>中“厂界外周边</w:t>
            </w:r>
            <w:r>
              <w:rPr>
                <w:rFonts w:hint="default"/>
                <w:lang w:val="en-US" w:eastAsia="zh-CN"/>
              </w:rPr>
              <w:t>50</w:t>
            </w:r>
            <w:r>
              <w:rPr>
                <w:rFonts w:hint="eastAsia"/>
                <w:lang w:val="en-US" w:eastAsia="zh-CN"/>
              </w:rPr>
              <w:t>米范围内存在声环境保护目标的建设项目，应监测保护目标声环境质量现状并评价达标情况”的相关要求，本项目</w:t>
            </w:r>
            <w:r>
              <w:t>周围无高噪声企业，厂界外周边50米范围内</w:t>
            </w:r>
            <w:r>
              <w:rPr>
                <w:rFonts w:hint="eastAsia"/>
                <w:lang w:val="en-US" w:eastAsia="zh-CN"/>
              </w:rPr>
              <w:t>无</w:t>
            </w:r>
            <w:r>
              <w:t>声环境保护目标</w:t>
            </w:r>
            <w:r>
              <w:rPr>
                <w:rFonts w:hint="eastAsia"/>
                <w:lang w:val="en-US" w:eastAsia="zh-CN"/>
              </w:rPr>
              <w:t>，故本项目不进行现状检测。</w:t>
            </w:r>
          </w:p>
          <w:p w14:paraId="76FFF499">
            <w:pPr>
              <w:pStyle w:val="46"/>
              <w:bidi w:val="0"/>
              <w:rPr>
                <w:rFonts w:hint="default"/>
                <w:b/>
                <w:bCs/>
                <w:color w:val="auto"/>
                <w:highlight w:val="none"/>
              </w:rPr>
            </w:pPr>
            <w:r>
              <w:rPr>
                <w:rFonts w:hint="eastAsia"/>
                <w:b/>
                <w:bCs/>
                <w:color w:val="auto"/>
                <w:highlight w:val="none"/>
                <w:lang w:eastAsia="zh-CN"/>
              </w:rPr>
              <w:t>4.</w:t>
            </w:r>
            <w:r>
              <w:rPr>
                <w:rFonts w:hint="default"/>
                <w:b/>
                <w:bCs/>
                <w:color w:val="auto"/>
                <w:highlight w:val="none"/>
              </w:rPr>
              <w:t>生态环境现状</w:t>
            </w:r>
          </w:p>
          <w:p w14:paraId="25F5AA48">
            <w:pPr>
              <w:pStyle w:val="46"/>
              <w:bidi w:val="0"/>
              <w:rPr>
                <w:rFonts w:hint="default"/>
              </w:rPr>
            </w:pPr>
            <w:r>
              <w:rPr>
                <w:rFonts w:hint="default"/>
              </w:rPr>
              <w:t>本项目</w:t>
            </w:r>
            <w:r>
              <w:rPr>
                <w:rFonts w:hint="eastAsia"/>
                <w:lang w:val="en-US" w:eastAsia="zh-CN"/>
              </w:rPr>
              <w:t>调查</w:t>
            </w:r>
            <w:r>
              <w:rPr>
                <w:rFonts w:hint="default"/>
              </w:rPr>
              <w:t>范围内未发现受保护的</w:t>
            </w:r>
            <w:r>
              <w:rPr>
                <w:rFonts w:hint="eastAsia"/>
                <w:lang w:eastAsia="zh-CN"/>
              </w:rPr>
              <w:t>珍稀濒危野生</w:t>
            </w:r>
            <w:r>
              <w:rPr>
                <w:rFonts w:hint="default"/>
              </w:rPr>
              <w:t>动、植物，无特殊生态敏感区及重要生态敏感区等生态环境保护目标。</w:t>
            </w:r>
          </w:p>
          <w:p w14:paraId="3BFD7905">
            <w:pPr>
              <w:pStyle w:val="46"/>
              <w:ind w:firstLine="482"/>
              <w:rPr>
                <w:rFonts w:hint="default" w:ascii="Times New Roman" w:hAnsi="Times New Roman" w:cs="Times New Roman"/>
                <w:b/>
                <w:bCs/>
                <w:color w:val="auto"/>
                <w:highlight w:val="none"/>
              </w:rPr>
            </w:pPr>
            <w:r>
              <w:rPr>
                <w:rFonts w:hint="eastAsia" w:cs="Times New Roman"/>
                <w:b/>
                <w:bCs/>
                <w:color w:val="auto"/>
                <w:highlight w:val="none"/>
                <w:lang w:eastAsia="zh-CN"/>
              </w:rPr>
              <w:t>5.</w:t>
            </w:r>
            <w:r>
              <w:rPr>
                <w:rFonts w:hint="default" w:ascii="Times New Roman" w:hAnsi="Times New Roman" w:cs="Times New Roman"/>
                <w:b/>
                <w:bCs/>
                <w:color w:val="auto"/>
                <w:highlight w:val="none"/>
              </w:rPr>
              <w:t>地下水、土壤环境</w:t>
            </w:r>
          </w:p>
          <w:p w14:paraId="5FEA3B07">
            <w:pPr>
              <w:pStyle w:val="46"/>
              <w:bidi w:val="0"/>
              <w:rPr>
                <w:rFonts w:hint="default"/>
              </w:rPr>
            </w:pPr>
            <w:r>
              <w:rPr>
                <w:rFonts w:hint="default"/>
              </w:rPr>
              <w:t>根据《建设项目环境影响报告表编制技术指南</w:t>
            </w:r>
            <w:r>
              <w:rPr>
                <w:rFonts w:hint="default"/>
                <w:lang w:eastAsia="zh-CN"/>
              </w:rPr>
              <w:t>（</w:t>
            </w:r>
            <w:r>
              <w:rPr>
                <w:rFonts w:hint="default"/>
              </w:rPr>
              <w:t>污染影响类</w:t>
            </w:r>
            <w:r>
              <w:rPr>
                <w:rFonts w:hint="default"/>
                <w:lang w:eastAsia="zh-CN"/>
              </w:rPr>
              <w:t>）（</w:t>
            </w:r>
            <w:r>
              <w:rPr>
                <w:rFonts w:hint="default"/>
              </w:rPr>
              <w:t>试行</w:t>
            </w:r>
            <w:r>
              <w:rPr>
                <w:rFonts w:hint="default"/>
                <w:lang w:eastAsia="zh-CN"/>
              </w:rPr>
              <w:t>）</w:t>
            </w:r>
            <w:r>
              <w:rPr>
                <w:rFonts w:hint="default"/>
              </w:rPr>
              <w:t>》，原则上不开展地下水和土壤环境质量现状调查，本项目厂界500米范围内无地下水集中式饮用水水源和热水、矿泉水、温泉等特殊地下水资源，项目用地范围内进行了</w:t>
            </w:r>
            <w:r>
              <w:rPr>
                <w:rFonts w:hint="default"/>
                <w:lang w:val="en-US" w:eastAsia="zh-CN"/>
              </w:rPr>
              <w:t>防渗措施</w:t>
            </w:r>
            <w:r>
              <w:rPr>
                <w:rFonts w:hint="default"/>
              </w:rPr>
              <w:t>，不存在土壤、地下水污染途径，不开展地下水和土壤环境质量现状调查。</w:t>
            </w:r>
          </w:p>
          <w:p w14:paraId="76B9A614">
            <w:pPr>
              <w:pStyle w:val="46"/>
              <w:bidi w:val="0"/>
              <w:rPr>
                <w:rFonts w:hint="default"/>
              </w:rPr>
            </w:pPr>
          </w:p>
          <w:p w14:paraId="35E781C7">
            <w:pPr>
              <w:pStyle w:val="46"/>
              <w:bidi w:val="0"/>
              <w:rPr>
                <w:rFonts w:hint="default"/>
              </w:rPr>
            </w:pPr>
          </w:p>
        </w:tc>
      </w:tr>
      <w:tr w14:paraId="265B6A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81" w:type="pct"/>
            <w:noWrap w:val="0"/>
            <w:vAlign w:val="center"/>
          </w:tcPr>
          <w:p w14:paraId="428C7D3F">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590A0A1C">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保护</w:t>
            </w:r>
          </w:p>
          <w:p w14:paraId="244B039B">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目标</w:t>
            </w:r>
          </w:p>
        </w:tc>
        <w:tc>
          <w:tcPr>
            <w:tcW w:w="4518" w:type="pct"/>
            <w:noWrap w:val="0"/>
            <w:vAlign w:val="center"/>
          </w:tcPr>
          <w:p w14:paraId="4528505E">
            <w:pPr>
              <w:pStyle w:val="46"/>
              <w:spacing w:before="120" w:beforeLines="5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环境保护目标分布图见附图</w:t>
            </w: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，根</w:t>
            </w:r>
            <w:r>
              <w:rPr>
                <w:rFonts w:hint="default" w:ascii="Times New Roman" w:hAnsi="Times New Roman" w:cs="Times New Roman"/>
                <w:color w:val="auto"/>
                <w:highlight w:val="none"/>
              </w:rPr>
              <w:t>据现场踏勘可知：</w:t>
            </w:r>
          </w:p>
          <w:p w14:paraId="11329D38">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（1）大气环境</w:t>
            </w:r>
          </w:p>
          <w:p w14:paraId="7A6694C7">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本项目厂界外500米范围内大气环境保护目标</w:t>
            </w:r>
            <w:r>
              <w:rPr>
                <w:rFonts w:hint="default" w:ascii="Times New Roman" w:hAnsi="Times New Roman" w:cs="Times New Roman"/>
                <w:color w:val="auto"/>
                <w:highlight w:val="none"/>
                <w:lang w:val="en-US" w:eastAsia="zh-CN"/>
              </w:rPr>
              <w:t>为附近居民</w:t>
            </w:r>
            <w:r>
              <w:rPr>
                <w:rFonts w:hint="default" w:ascii="Times New Roman" w:hAnsi="Times New Roman" w:cs="Times New Roman"/>
                <w:color w:val="auto"/>
                <w:highlight w:val="none"/>
              </w:rPr>
              <w:t>。</w:t>
            </w:r>
          </w:p>
          <w:p w14:paraId="587C3104">
            <w:pPr>
              <w:pStyle w:val="50"/>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6</w:t>
            </w:r>
            <w:r>
              <w:rPr>
                <w:rFonts w:hint="default" w:ascii="Times New Roman" w:hAnsi="Times New Roman" w:cs="Times New Roman"/>
                <w:color w:val="auto"/>
                <w:highlight w:val="none"/>
              </w:rPr>
              <w:t xml:space="preserve"> </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大气环境</w:t>
            </w:r>
            <w:r>
              <w:rPr>
                <w:rFonts w:hint="default" w:ascii="Times New Roman" w:hAnsi="Times New Roman" w:cs="Times New Roman"/>
                <w:color w:val="auto"/>
                <w:highlight w:val="none"/>
              </w:rPr>
              <w:t>保护目标</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1027"/>
              <w:gridCol w:w="994"/>
              <w:gridCol w:w="994"/>
              <w:gridCol w:w="1086"/>
              <w:gridCol w:w="508"/>
              <w:gridCol w:w="1039"/>
              <w:gridCol w:w="674"/>
              <w:gridCol w:w="730"/>
            </w:tblGrid>
            <w:tr w14:paraId="745E4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Merge w:val="restart"/>
                  <w:noWrap w:val="0"/>
                  <w:vAlign w:val="center"/>
                </w:tcPr>
                <w:p w14:paraId="08ADD864">
                  <w:pPr>
                    <w:pStyle w:val="60"/>
                    <w:bidi w:val="0"/>
                    <w:rPr>
                      <w:rFonts w:hint="default"/>
                      <w:color w:val="auto"/>
                      <w:highlight w:val="none"/>
                      <w:lang w:val="en-US" w:eastAsia="zh-CN"/>
                    </w:rPr>
                  </w:pPr>
                  <w:r>
                    <w:rPr>
                      <w:rFonts w:hint="default"/>
                      <w:color w:val="auto"/>
                      <w:highlight w:val="none"/>
                      <w:lang w:val="en-US" w:eastAsia="zh-CN"/>
                    </w:rPr>
                    <w:t>项目</w:t>
                  </w:r>
                </w:p>
              </w:tc>
              <w:tc>
                <w:tcPr>
                  <w:tcW w:w="685" w:type="pct"/>
                  <w:vMerge w:val="restart"/>
                  <w:noWrap w:val="0"/>
                  <w:vAlign w:val="center"/>
                </w:tcPr>
                <w:p w14:paraId="3B243BFA">
                  <w:pPr>
                    <w:pStyle w:val="60"/>
                    <w:bidi w:val="0"/>
                    <w:rPr>
                      <w:rFonts w:hint="default"/>
                      <w:color w:val="auto"/>
                      <w:highlight w:val="none"/>
                      <w:lang w:val="en-US" w:eastAsia="zh-CN"/>
                    </w:rPr>
                  </w:pPr>
                  <w:r>
                    <w:rPr>
                      <w:rFonts w:hint="default"/>
                      <w:color w:val="auto"/>
                      <w:highlight w:val="none"/>
                      <w:lang w:val="en-US" w:eastAsia="zh-CN"/>
                    </w:rPr>
                    <w:t>名称</w:t>
                  </w:r>
                </w:p>
              </w:tc>
              <w:tc>
                <w:tcPr>
                  <w:tcW w:w="1326" w:type="pct"/>
                  <w:gridSpan w:val="2"/>
                  <w:noWrap w:val="0"/>
                  <w:vAlign w:val="center"/>
                </w:tcPr>
                <w:p w14:paraId="6ECD4EB5">
                  <w:pPr>
                    <w:pStyle w:val="60"/>
                    <w:bidi w:val="0"/>
                    <w:rPr>
                      <w:rFonts w:hint="default"/>
                      <w:color w:val="auto"/>
                      <w:highlight w:val="none"/>
                      <w:lang w:val="en-US" w:eastAsia="zh-CN"/>
                    </w:rPr>
                  </w:pPr>
                  <w:r>
                    <w:rPr>
                      <w:rFonts w:hint="default"/>
                      <w:color w:val="auto"/>
                      <w:highlight w:val="none"/>
                      <w:lang w:val="en-US" w:eastAsia="zh-CN"/>
                    </w:rPr>
                    <w:t>坐标/°</w:t>
                  </w:r>
                </w:p>
              </w:tc>
              <w:tc>
                <w:tcPr>
                  <w:tcW w:w="725" w:type="pct"/>
                  <w:vMerge w:val="restart"/>
                  <w:noWrap w:val="0"/>
                  <w:vAlign w:val="center"/>
                </w:tcPr>
                <w:p w14:paraId="2062F187">
                  <w:pPr>
                    <w:pStyle w:val="60"/>
                    <w:bidi w:val="0"/>
                    <w:rPr>
                      <w:rFonts w:hint="default"/>
                      <w:color w:val="auto"/>
                      <w:highlight w:val="none"/>
                      <w:lang w:val="en-US" w:eastAsia="zh-CN"/>
                    </w:rPr>
                  </w:pPr>
                  <w:r>
                    <w:rPr>
                      <w:rFonts w:hint="default"/>
                      <w:color w:val="auto"/>
                      <w:highlight w:val="none"/>
                      <w:lang w:val="en-US" w:eastAsia="zh-CN"/>
                    </w:rPr>
                    <w:t>保护对象</w:t>
                  </w:r>
                </w:p>
              </w:tc>
              <w:tc>
                <w:tcPr>
                  <w:tcW w:w="339" w:type="pct"/>
                  <w:vMerge w:val="restart"/>
                  <w:noWrap w:val="0"/>
                  <w:vAlign w:val="center"/>
                </w:tcPr>
                <w:p w14:paraId="7FDE2463">
                  <w:pPr>
                    <w:pStyle w:val="60"/>
                    <w:bidi w:val="0"/>
                    <w:rPr>
                      <w:rFonts w:hint="default"/>
                      <w:color w:val="auto"/>
                      <w:highlight w:val="none"/>
                      <w:lang w:val="en-US" w:eastAsia="zh-CN"/>
                    </w:rPr>
                  </w:pPr>
                  <w:r>
                    <w:rPr>
                      <w:rFonts w:hint="default"/>
                      <w:color w:val="auto"/>
                      <w:highlight w:val="none"/>
                      <w:lang w:val="en-US" w:eastAsia="zh-CN"/>
                    </w:rPr>
                    <w:t>保护内容</w:t>
                  </w:r>
                </w:p>
              </w:tc>
              <w:tc>
                <w:tcPr>
                  <w:tcW w:w="693" w:type="pct"/>
                  <w:vMerge w:val="restart"/>
                  <w:noWrap w:val="0"/>
                  <w:vAlign w:val="center"/>
                </w:tcPr>
                <w:p w14:paraId="26F5F4D0">
                  <w:pPr>
                    <w:pStyle w:val="60"/>
                    <w:bidi w:val="0"/>
                    <w:rPr>
                      <w:rFonts w:hint="default"/>
                      <w:color w:val="auto"/>
                      <w:highlight w:val="none"/>
                      <w:lang w:val="en-US" w:eastAsia="zh-CN"/>
                    </w:rPr>
                  </w:pPr>
                  <w:r>
                    <w:rPr>
                      <w:rFonts w:hint="default"/>
                      <w:color w:val="auto"/>
                      <w:highlight w:val="none"/>
                      <w:lang w:val="en-US" w:eastAsia="zh-CN"/>
                    </w:rPr>
                    <w:t>环境功能区</w:t>
                  </w:r>
                </w:p>
              </w:tc>
              <w:tc>
                <w:tcPr>
                  <w:tcW w:w="450" w:type="pct"/>
                  <w:vMerge w:val="restart"/>
                  <w:noWrap w:val="0"/>
                  <w:vAlign w:val="center"/>
                </w:tcPr>
                <w:p w14:paraId="55FD7C6C">
                  <w:pPr>
                    <w:pStyle w:val="60"/>
                    <w:bidi w:val="0"/>
                    <w:rPr>
                      <w:rFonts w:hint="default"/>
                      <w:color w:val="auto"/>
                      <w:highlight w:val="none"/>
                      <w:lang w:val="en-US" w:eastAsia="zh-CN"/>
                    </w:rPr>
                  </w:pPr>
                  <w:r>
                    <w:rPr>
                      <w:rFonts w:hint="default"/>
                      <w:color w:val="auto"/>
                      <w:highlight w:val="none"/>
                      <w:lang w:val="en-US" w:eastAsia="zh-CN"/>
                    </w:rPr>
                    <w:t>相对厂址方位</w:t>
                  </w:r>
                </w:p>
              </w:tc>
              <w:tc>
                <w:tcPr>
                  <w:tcW w:w="487" w:type="pct"/>
                  <w:vMerge w:val="restart"/>
                  <w:noWrap w:val="0"/>
                  <w:vAlign w:val="center"/>
                </w:tcPr>
                <w:p w14:paraId="0E29E08F">
                  <w:pPr>
                    <w:pStyle w:val="60"/>
                    <w:bidi w:val="0"/>
                    <w:rPr>
                      <w:rFonts w:hint="default"/>
                      <w:color w:val="auto"/>
                      <w:highlight w:val="none"/>
                      <w:lang w:val="en-US" w:eastAsia="zh-CN"/>
                    </w:rPr>
                  </w:pPr>
                  <w:r>
                    <w:rPr>
                      <w:rFonts w:hint="default"/>
                      <w:color w:val="auto"/>
                      <w:highlight w:val="none"/>
                      <w:lang w:val="en-US" w:eastAsia="zh-CN"/>
                    </w:rPr>
                    <w:t>相对厂界距离/m</w:t>
                  </w:r>
                </w:p>
              </w:tc>
            </w:tr>
            <w:tr w14:paraId="5E866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 w:type="pct"/>
                  <w:vMerge w:val="continue"/>
                  <w:noWrap w:val="0"/>
                  <w:vAlign w:val="center"/>
                </w:tcPr>
                <w:p w14:paraId="307366FD">
                  <w:pPr>
                    <w:pStyle w:val="60"/>
                    <w:bidi w:val="0"/>
                    <w:rPr>
                      <w:rFonts w:hint="default"/>
                      <w:color w:val="auto"/>
                      <w:highlight w:val="none"/>
                      <w:lang w:val="en-US" w:eastAsia="zh-CN"/>
                    </w:rPr>
                  </w:pPr>
                </w:p>
              </w:tc>
              <w:tc>
                <w:tcPr>
                  <w:tcW w:w="685" w:type="pct"/>
                  <w:vMerge w:val="continue"/>
                  <w:noWrap w:val="0"/>
                  <w:vAlign w:val="center"/>
                </w:tcPr>
                <w:p w14:paraId="31B5E007">
                  <w:pPr>
                    <w:pStyle w:val="60"/>
                    <w:bidi w:val="0"/>
                    <w:rPr>
                      <w:rFonts w:hint="default"/>
                      <w:color w:val="auto"/>
                      <w:highlight w:val="none"/>
                      <w:lang w:val="en-US" w:eastAsia="zh-CN"/>
                    </w:rPr>
                  </w:pPr>
                </w:p>
              </w:tc>
              <w:tc>
                <w:tcPr>
                  <w:tcW w:w="663" w:type="pct"/>
                  <w:noWrap w:val="0"/>
                  <w:vAlign w:val="center"/>
                </w:tcPr>
                <w:p w14:paraId="097701B3">
                  <w:pPr>
                    <w:pStyle w:val="60"/>
                    <w:bidi w:val="0"/>
                    <w:rPr>
                      <w:rFonts w:hint="default"/>
                      <w:color w:val="auto"/>
                      <w:highlight w:val="none"/>
                      <w:lang w:val="en-US" w:eastAsia="zh-CN"/>
                    </w:rPr>
                  </w:pPr>
                  <w:r>
                    <w:rPr>
                      <w:rFonts w:hint="default"/>
                      <w:color w:val="auto"/>
                      <w:highlight w:val="none"/>
                      <w:lang w:val="en-US" w:eastAsia="zh-CN"/>
                    </w:rPr>
                    <w:t>经度</w:t>
                  </w:r>
                </w:p>
              </w:tc>
              <w:tc>
                <w:tcPr>
                  <w:tcW w:w="663" w:type="pct"/>
                  <w:noWrap w:val="0"/>
                  <w:vAlign w:val="center"/>
                </w:tcPr>
                <w:p w14:paraId="7976A784">
                  <w:pPr>
                    <w:pStyle w:val="60"/>
                    <w:bidi w:val="0"/>
                    <w:rPr>
                      <w:rFonts w:hint="default"/>
                      <w:color w:val="auto"/>
                      <w:highlight w:val="none"/>
                      <w:lang w:val="en-US" w:eastAsia="zh-CN"/>
                    </w:rPr>
                  </w:pPr>
                  <w:r>
                    <w:rPr>
                      <w:rFonts w:hint="default"/>
                      <w:color w:val="auto"/>
                      <w:highlight w:val="none"/>
                      <w:lang w:val="en-US" w:eastAsia="zh-CN"/>
                    </w:rPr>
                    <w:t>纬度</w:t>
                  </w:r>
                </w:p>
              </w:tc>
              <w:tc>
                <w:tcPr>
                  <w:tcW w:w="725" w:type="pct"/>
                  <w:vMerge w:val="continue"/>
                  <w:noWrap w:val="0"/>
                  <w:vAlign w:val="center"/>
                </w:tcPr>
                <w:p w14:paraId="07AED647">
                  <w:pPr>
                    <w:pStyle w:val="60"/>
                    <w:bidi w:val="0"/>
                    <w:rPr>
                      <w:rFonts w:hint="default"/>
                      <w:color w:val="auto"/>
                      <w:highlight w:val="none"/>
                      <w:lang w:val="en-US" w:eastAsia="zh-CN"/>
                    </w:rPr>
                  </w:pPr>
                </w:p>
              </w:tc>
              <w:tc>
                <w:tcPr>
                  <w:tcW w:w="339" w:type="pct"/>
                  <w:vMerge w:val="continue"/>
                  <w:noWrap w:val="0"/>
                  <w:vAlign w:val="center"/>
                </w:tcPr>
                <w:p w14:paraId="11191163">
                  <w:pPr>
                    <w:pStyle w:val="60"/>
                    <w:bidi w:val="0"/>
                    <w:rPr>
                      <w:rFonts w:hint="default"/>
                      <w:color w:val="auto"/>
                      <w:highlight w:val="none"/>
                      <w:lang w:val="en-US" w:eastAsia="zh-CN"/>
                    </w:rPr>
                  </w:pPr>
                </w:p>
              </w:tc>
              <w:tc>
                <w:tcPr>
                  <w:tcW w:w="693" w:type="pct"/>
                  <w:vMerge w:val="continue"/>
                  <w:noWrap w:val="0"/>
                  <w:vAlign w:val="center"/>
                </w:tcPr>
                <w:p w14:paraId="32CE9B2B">
                  <w:pPr>
                    <w:pStyle w:val="60"/>
                    <w:bidi w:val="0"/>
                    <w:rPr>
                      <w:rFonts w:hint="default"/>
                      <w:color w:val="auto"/>
                      <w:highlight w:val="none"/>
                      <w:lang w:val="en-US" w:eastAsia="zh-CN"/>
                    </w:rPr>
                  </w:pPr>
                </w:p>
              </w:tc>
              <w:tc>
                <w:tcPr>
                  <w:tcW w:w="450" w:type="pct"/>
                  <w:vMerge w:val="continue"/>
                  <w:noWrap w:val="0"/>
                  <w:vAlign w:val="center"/>
                </w:tcPr>
                <w:p w14:paraId="77831919">
                  <w:pPr>
                    <w:pStyle w:val="60"/>
                    <w:bidi w:val="0"/>
                    <w:rPr>
                      <w:rFonts w:hint="default"/>
                      <w:color w:val="auto"/>
                      <w:highlight w:val="none"/>
                      <w:lang w:val="en-US" w:eastAsia="zh-CN"/>
                    </w:rPr>
                  </w:pPr>
                </w:p>
              </w:tc>
              <w:tc>
                <w:tcPr>
                  <w:tcW w:w="487" w:type="pct"/>
                  <w:vMerge w:val="continue"/>
                  <w:noWrap w:val="0"/>
                  <w:vAlign w:val="center"/>
                </w:tcPr>
                <w:p w14:paraId="37277A1F">
                  <w:pPr>
                    <w:pStyle w:val="60"/>
                    <w:bidi w:val="0"/>
                    <w:rPr>
                      <w:rFonts w:hint="default"/>
                      <w:color w:val="auto"/>
                      <w:highlight w:val="none"/>
                      <w:lang w:val="en-US" w:eastAsia="zh-CN"/>
                    </w:rPr>
                  </w:pPr>
                </w:p>
              </w:tc>
            </w:tr>
            <w:tr w14:paraId="595F5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1" w:type="pct"/>
                  <w:noWrap w:val="0"/>
                  <w:vAlign w:val="center"/>
                </w:tcPr>
                <w:p w14:paraId="2204E219">
                  <w:pPr>
                    <w:pStyle w:val="60"/>
                    <w:bidi w:val="0"/>
                    <w:rPr>
                      <w:rFonts w:hint="default"/>
                      <w:color w:val="auto"/>
                      <w:highlight w:val="none"/>
                      <w:lang w:val="en-US" w:eastAsia="zh-CN"/>
                    </w:rPr>
                  </w:pPr>
                  <w:r>
                    <w:rPr>
                      <w:rFonts w:hint="default"/>
                      <w:color w:val="auto"/>
                      <w:highlight w:val="none"/>
                      <w:lang w:val="en-US" w:eastAsia="zh-CN"/>
                    </w:rPr>
                    <w:t>大气环境</w:t>
                  </w:r>
                </w:p>
              </w:tc>
              <w:tc>
                <w:tcPr>
                  <w:tcW w:w="685" w:type="pct"/>
                  <w:noWrap w:val="0"/>
                  <w:vAlign w:val="center"/>
                </w:tcPr>
                <w:p w14:paraId="30BD4016">
                  <w:pPr>
                    <w:pStyle w:val="60"/>
                    <w:bidi w:val="0"/>
                    <w:rPr>
                      <w:rFonts w:hint="default"/>
                      <w:color w:val="auto"/>
                      <w:highlight w:val="none"/>
                      <w:lang w:val="en-US" w:eastAsia="zh-CN"/>
                    </w:rPr>
                  </w:pPr>
                  <w:r>
                    <w:rPr>
                      <w:rFonts w:hint="eastAsia"/>
                      <w:color w:val="auto"/>
                      <w:highlight w:val="none"/>
                      <w:lang w:val="en-US" w:eastAsia="zh-CN"/>
                    </w:rPr>
                    <w:t>黑山头村</w:t>
                  </w:r>
                  <w:r>
                    <w:rPr>
                      <w:rFonts w:hint="default"/>
                      <w:color w:val="auto"/>
                      <w:highlight w:val="none"/>
                      <w:lang w:val="en-US" w:eastAsia="zh-CN"/>
                    </w:rPr>
                    <w:t>居民区</w:t>
                  </w:r>
                </w:p>
              </w:tc>
              <w:tc>
                <w:tcPr>
                  <w:tcW w:w="663" w:type="pct"/>
                  <w:noWrap w:val="0"/>
                  <w:vAlign w:val="center"/>
                </w:tcPr>
                <w:p w14:paraId="3D2F7A1C">
                  <w:pPr>
                    <w:pStyle w:val="60"/>
                    <w:bidi w:val="0"/>
                    <w:rPr>
                      <w:rFonts w:hint="default"/>
                      <w:color w:val="auto"/>
                      <w:highlight w:val="none"/>
                      <w:lang w:val="en-US" w:eastAsia="zh-CN"/>
                    </w:rPr>
                  </w:pPr>
                  <w:r>
                    <w:rPr>
                      <w:rFonts w:hint="default"/>
                      <w:color w:val="auto"/>
                      <w:highlight w:val="none"/>
                      <w:lang w:val="en-US" w:eastAsia="zh-CN"/>
                    </w:rPr>
                    <w:t>126.892863</w:t>
                  </w:r>
                </w:p>
              </w:tc>
              <w:tc>
                <w:tcPr>
                  <w:tcW w:w="663" w:type="pct"/>
                  <w:noWrap w:val="0"/>
                  <w:vAlign w:val="center"/>
                </w:tcPr>
                <w:p w14:paraId="19A4403E">
                  <w:pPr>
                    <w:pStyle w:val="60"/>
                    <w:bidi w:val="0"/>
                    <w:rPr>
                      <w:rFonts w:hint="default"/>
                      <w:color w:val="auto"/>
                      <w:highlight w:val="none"/>
                      <w:lang w:val="en-US" w:eastAsia="zh-CN"/>
                    </w:rPr>
                  </w:pPr>
                  <w:r>
                    <w:rPr>
                      <w:rFonts w:hint="eastAsia"/>
                      <w:highlight w:val="none"/>
                    </w:rPr>
                    <w:t>51.148762</w:t>
                  </w:r>
                </w:p>
              </w:tc>
              <w:tc>
                <w:tcPr>
                  <w:tcW w:w="725" w:type="pct"/>
                  <w:noWrap w:val="0"/>
                  <w:vAlign w:val="center"/>
                </w:tcPr>
                <w:p w14:paraId="06E7160E">
                  <w:pPr>
                    <w:pStyle w:val="60"/>
                    <w:bidi w:val="0"/>
                    <w:rPr>
                      <w:rFonts w:hint="default"/>
                      <w:color w:val="auto"/>
                      <w:highlight w:val="none"/>
                      <w:lang w:val="en-US" w:eastAsia="zh-CN"/>
                    </w:rPr>
                  </w:pPr>
                  <w:r>
                    <w:rPr>
                      <w:rFonts w:hint="default"/>
                      <w:color w:val="auto"/>
                      <w:highlight w:val="none"/>
                      <w:lang w:val="en-US" w:eastAsia="zh-CN"/>
                    </w:rPr>
                    <w:t>农村地区人群较集中区域</w:t>
                  </w:r>
                </w:p>
              </w:tc>
              <w:tc>
                <w:tcPr>
                  <w:tcW w:w="339" w:type="pct"/>
                  <w:noWrap w:val="0"/>
                  <w:vAlign w:val="center"/>
                </w:tcPr>
                <w:p w14:paraId="4E976F27">
                  <w:pPr>
                    <w:pStyle w:val="60"/>
                    <w:bidi w:val="0"/>
                    <w:rPr>
                      <w:rFonts w:hint="default"/>
                      <w:color w:val="auto"/>
                      <w:highlight w:val="none"/>
                      <w:lang w:val="en-US" w:eastAsia="zh-CN"/>
                    </w:rPr>
                  </w:pPr>
                  <w:r>
                    <w:rPr>
                      <w:rFonts w:hint="default"/>
                      <w:color w:val="auto"/>
                      <w:highlight w:val="none"/>
                      <w:lang w:val="en-US" w:eastAsia="zh-CN"/>
                    </w:rPr>
                    <w:t>人群</w:t>
                  </w:r>
                </w:p>
              </w:tc>
              <w:tc>
                <w:tcPr>
                  <w:tcW w:w="693" w:type="pct"/>
                  <w:noWrap w:val="0"/>
                  <w:vAlign w:val="center"/>
                </w:tcPr>
                <w:p w14:paraId="68162C31">
                  <w:pPr>
                    <w:pStyle w:val="60"/>
                    <w:bidi w:val="0"/>
                    <w:rPr>
                      <w:rFonts w:hint="default"/>
                      <w:color w:val="auto"/>
                      <w:highlight w:val="none"/>
                      <w:lang w:val="en-US" w:eastAsia="zh-CN"/>
                    </w:rPr>
                  </w:pPr>
                  <w:r>
                    <w:rPr>
                      <w:rFonts w:hint="eastAsia"/>
                      <w:color w:val="auto"/>
                      <w:highlight w:val="none"/>
                      <w:lang w:val="en-US" w:eastAsia="zh-CN"/>
                    </w:rPr>
                    <w:t>二类区</w:t>
                  </w:r>
                </w:p>
              </w:tc>
              <w:tc>
                <w:tcPr>
                  <w:tcW w:w="450" w:type="pct"/>
                  <w:noWrap w:val="0"/>
                  <w:vAlign w:val="center"/>
                </w:tcPr>
                <w:p w14:paraId="18096EF6">
                  <w:pPr>
                    <w:pStyle w:val="60"/>
                    <w:bidi w:val="0"/>
                    <w:rPr>
                      <w:rFonts w:hint="default"/>
                      <w:color w:val="auto"/>
                      <w:highlight w:val="none"/>
                      <w:lang w:val="en-US" w:eastAsia="zh-CN"/>
                    </w:rPr>
                  </w:pPr>
                  <w:r>
                    <w:rPr>
                      <w:rFonts w:hint="eastAsia"/>
                      <w:color w:val="auto"/>
                      <w:highlight w:val="none"/>
                      <w:lang w:val="en-US" w:eastAsia="zh-CN"/>
                    </w:rPr>
                    <w:t>东北</w:t>
                  </w:r>
                </w:p>
              </w:tc>
              <w:tc>
                <w:tcPr>
                  <w:tcW w:w="487" w:type="pct"/>
                  <w:noWrap w:val="0"/>
                  <w:vAlign w:val="center"/>
                </w:tcPr>
                <w:p w14:paraId="5C7D05B1">
                  <w:pPr>
                    <w:pStyle w:val="60"/>
                    <w:bidi w:val="0"/>
                    <w:rPr>
                      <w:rFonts w:hint="default"/>
                      <w:color w:val="auto"/>
                      <w:highlight w:val="none"/>
                      <w:lang w:val="en-US" w:eastAsia="zh-CN"/>
                    </w:rPr>
                  </w:pPr>
                  <w:r>
                    <w:rPr>
                      <w:rFonts w:hint="eastAsia"/>
                      <w:color w:val="auto"/>
                      <w:highlight w:val="none"/>
                      <w:lang w:val="en-US" w:eastAsia="zh-CN"/>
                    </w:rPr>
                    <w:t>260</w:t>
                  </w:r>
                </w:p>
              </w:tc>
            </w:tr>
          </w:tbl>
          <w:p w14:paraId="714EDFAA">
            <w:pPr>
              <w:pStyle w:val="5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（2）声环境</w:t>
            </w:r>
          </w:p>
          <w:p w14:paraId="62DD2E14">
            <w:pPr>
              <w:pStyle w:val="46"/>
              <w:bidi w:val="0"/>
              <w:rPr>
                <w:rFonts w:hint="default"/>
                <w:lang w:val="en-US" w:eastAsia="zh-CN"/>
              </w:rPr>
            </w:pPr>
            <w:r>
              <w:rPr>
                <w:rFonts w:hint="default"/>
                <w:lang w:val="en-US" w:eastAsia="zh-CN"/>
              </w:rPr>
              <w:t>本项目厂界外50</w:t>
            </w:r>
            <w:r>
              <w:rPr>
                <w:rFonts w:hint="eastAsia"/>
                <w:lang w:val="en-US" w:eastAsia="zh-CN"/>
              </w:rPr>
              <w:t>米范围</w:t>
            </w:r>
            <w:r>
              <w:rPr>
                <w:rFonts w:hint="default"/>
                <w:lang w:val="en-US" w:eastAsia="zh-CN"/>
              </w:rPr>
              <w:t>内</w:t>
            </w:r>
            <w:r>
              <w:rPr>
                <w:rFonts w:hint="eastAsia"/>
                <w:lang w:val="en-US" w:eastAsia="zh-CN"/>
              </w:rPr>
              <w:t>无</w:t>
            </w:r>
            <w:r>
              <w:rPr>
                <w:rFonts w:hint="default"/>
                <w:lang w:val="en-US" w:eastAsia="zh-CN"/>
              </w:rPr>
              <w:t>声环境保护目标。</w:t>
            </w:r>
          </w:p>
          <w:p w14:paraId="1CC00A3A">
            <w:pPr>
              <w:pStyle w:val="46"/>
              <w:bidi w:val="0"/>
              <w:rPr>
                <w:rFonts w:hint="default"/>
              </w:rPr>
            </w:pPr>
            <w:r>
              <w:rPr>
                <w:rFonts w:hint="default"/>
              </w:rPr>
              <w:t>（3）地下水环境</w:t>
            </w:r>
          </w:p>
          <w:p w14:paraId="59DBA388">
            <w:pPr>
              <w:pStyle w:val="46"/>
              <w:bidi w:val="0"/>
              <w:rPr>
                <w:rFonts w:hint="default"/>
                <w:lang w:val="en-US" w:eastAsia="zh-CN"/>
              </w:rPr>
            </w:pPr>
            <w:r>
              <w:rPr>
                <w:rFonts w:hint="default"/>
                <w:lang w:val="en-US" w:eastAsia="zh-CN"/>
              </w:rPr>
              <w:t>据现场踏勘可知，本项目厂界外500米范围内无地下水集中式饮用水水源和热水、矿泉水、温泉等特殊地下水资源，因此本项目无需考虑地下水环境保护目标。</w:t>
            </w:r>
          </w:p>
          <w:p w14:paraId="1DF68FEE">
            <w:pPr>
              <w:pStyle w:val="46"/>
              <w:bidi w:val="0"/>
              <w:rPr>
                <w:rFonts w:hint="default"/>
                <w:color w:val="auto"/>
                <w:highlight w:val="none"/>
              </w:rPr>
            </w:pPr>
            <w:r>
              <w:rPr>
                <w:rFonts w:hint="default"/>
                <w:color w:val="auto"/>
                <w:highlight w:val="none"/>
              </w:rPr>
              <w:t>（4）生态环境</w:t>
            </w:r>
          </w:p>
          <w:p w14:paraId="66982522">
            <w:pPr>
              <w:pStyle w:val="46"/>
              <w:bidi w:val="0"/>
              <w:rPr>
                <w:rFonts w:hint="default"/>
                <w:color w:val="auto"/>
                <w:highlight w:val="none"/>
              </w:rPr>
            </w:pPr>
            <w:r>
              <w:rPr>
                <w:rFonts w:hint="default"/>
                <w:color w:val="auto"/>
                <w:highlight w:val="none"/>
              </w:rPr>
              <w:t>本项目无生态环境保护目标。本项目占地范围内无特殊生态敏感区及重要生态敏感区等生态环境保护目标，项目所在地无国家级、省、市级自然保护区、风景名胜区、文物保护对象。本项目</w:t>
            </w:r>
            <w:r>
              <w:rPr>
                <w:rFonts w:hint="default"/>
                <w:color w:val="auto"/>
                <w:highlight w:val="none"/>
                <w:lang w:val="en-US" w:eastAsia="zh-CN"/>
              </w:rPr>
              <w:t>周边</w:t>
            </w:r>
            <w:r>
              <w:rPr>
                <w:rFonts w:hint="default"/>
                <w:color w:val="auto"/>
                <w:highlight w:val="none"/>
              </w:rPr>
              <w:t>环境保护目标</w:t>
            </w:r>
            <w:r>
              <w:rPr>
                <w:rFonts w:hint="default"/>
                <w:color w:val="auto"/>
                <w:highlight w:val="none"/>
                <w:lang w:val="en-US" w:eastAsia="zh-CN"/>
              </w:rPr>
              <w:t>关系</w:t>
            </w:r>
            <w:r>
              <w:rPr>
                <w:rFonts w:hint="default"/>
                <w:color w:val="auto"/>
                <w:highlight w:val="none"/>
              </w:rPr>
              <w:t>图见附图</w:t>
            </w:r>
            <w:r>
              <w:rPr>
                <w:rFonts w:hint="eastAsia"/>
                <w:color w:val="auto"/>
                <w:highlight w:val="none"/>
                <w:lang w:val="en-US" w:eastAsia="zh-CN"/>
              </w:rPr>
              <w:t>2</w:t>
            </w:r>
            <w:r>
              <w:rPr>
                <w:rFonts w:hint="default"/>
                <w:color w:val="auto"/>
                <w:highlight w:val="none"/>
              </w:rPr>
              <w:t>。</w:t>
            </w:r>
          </w:p>
          <w:p w14:paraId="1FBE9A95">
            <w:pPr>
              <w:pStyle w:val="46"/>
              <w:bidi w:val="0"/>
              <w:rPr>
                <w:rFonts w:hint="default"/>
                <w:color w:val="auto"/>
                <w:highlight w:val="none"/>
              </w:rPr>
            </w:pPr>
          </w:p>
          <w:p w14:paraId="590A20F2">
            <w:pPr>
              <w:pStyle w:val="46"/>
              <w:bidi w:val="0"/>
              <w:rPr>
                <w:rFonts w:hint="default"/>
                <w:color w:val="auto"/>
                <w:highlight w:val="none"/>
              </w:rPr>
            </w:pPr>
          </w:p>
          <w:p w14:paraId="45330F8E">
            <w:pPr>
              <w:pStyle w:val="46"/>
              <w:bidi w:val="0"/>
              <w:rPr>
                <w:rFonts w:hint="default"/>
                <w:color w:val="auto"/>
                <w:highlight w:val="none"/>
              </w:rPr>
            </w:pPr>
          </w:p>
          <w:p w14:paraId="45319D18">
            <w:pPr>
              <w:pStyle w:val="46"/>
              <w:bidi w:val="0"/>
              <w:rPr>
                <w:rFonts w:hint="default"/>
                <w:color w:val="auto"/>
                <w:highlight w:val="none"/>
              </w:rPr>
            </w:pPr>
          </w:p>
          <w:p w14:paraId="50154E58">
            <w:pPr>
              <w:pStyle w:val="46"/>
              <w:bidi w:val="0"/>
              <w:rPr>
                <w:rFonts w:hint="default"/>
                <w:color w:val="auto"/>
                <w:highlight w:val="none"/>
              </w:rPr>
            </w:pPr>
          </w:p>
          <w:p w14:paraId="0B7D2C78">
            <w:pPr>
              <w:pStyle w:val="46"/>
              <w:bidi w:val="0"/>
              <w:rPr>
                <w:rFonts w:hint="default"/>
                <w:color w:val="auto"/>
                <w:highlight w:val="none"/>
              </w:rPr>
            </w:pPr>
          </w:p>
          <w:p w14:paraId="343D5F87">
            <w:pPr>
              <w:pStyle w:val="46"/>
              <w:bidi w:val="0"/>
              <w:rPr>
                <w:rFonts w:hint="default"/>
                <w:color w:val="auto"/>
                <w:highlight w:val="none"/>
              </w:rPr>
            </w:pPr>
          </w:p>
          <w:p w14:paraId="08197583">
            <w:pPr>
              <w:pStyle w:val="46"/>
              <w:bidi w:val="0"/>
              <w:rPr>
                <w:rFonts w:hint="default"/>
                <w:color w:val="auto"/>
                <w:highlight w:val="none"/>
              </w:rPr>
            </w:pPr>
          </w:p>
          <w:p w14:paraId="29BF9258">
            <w:pPr>
              <w:pStyle w:val="46"/>
              <w:bidi w:val="0"/>
              <w:rPr>
                <w:rFonts w:hint="default"/>
                <w:color w:val="auto"/>
                <w:highlight w:val="none"/>
              </w:rPr>
            </w:pPr>
          </w:p>
          <w:p w14:paraId="10358C25">
            <w:pPr>
              <w:pStyle w:val="46"/>
              <w:bidi w:val="0"/>
              <w:rPr>
                <w:rFonts w:hint="default"/>
                <w:color w:val="auto"/>
                <w:highlight w:val="none"/>
              </w:rPr>
            </w:pPr>
          </w:p>
          <w:p w14:paraId="0FEF245C">
            <w:pPr>
              <w:pStyle w:val="46"/>
              <w:bidi w:val="0"/>
              <w:rPr>
                <w:rFonts w:hint="default"/>
                <w:color w:val="auto"/>
                <w:highlight w:val="none"/>
              </w:rPr>
            </w:pPr>
          </w:p>
        </w:tc>
      </w:tr>
      <w:tr w14:paraId="0E08E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481" w:type="pct"/>
            <w:noWrap w:val="0"/>
            <w:tcMar>
              <w:left w:w="28" w:type="dxa"/>
              <w:right w:w="28" w:type="dxa"/>
            </w:tcMar>
            <w:vAlign w:val="center"/>
          </w:tcPr>
          <w:p w14:paraId="09DA4780">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污染</w:t>
            </w:r>
          </w:p>
          <w:p w14:paraId="1000AD2C">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物排</w:t>
            </w:r>
          </w:p>
          <w:p w14:paraId="506E7508">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放控</w:t>
            </w:r>
          </w:p>
          <w:p w14:paraId="7BD6567D">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制标</w:t>
            </w:r>
          </w:p>
          <w:p w14:paraId="4586CB7D">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准</w:t>
            </w:r>
          </w:p>
        </w:tc>
        <w:tc>
          <w:tcPr>
            <w:tcW w:w="4518" w:type="pct"/>
            <w:noWrap w:val="0"/>
            <w:vAlign w:val="center"/>
          </w:tcPr>
          <w:p w14:paraId="64384FBC">
            <w:pPr>
              <w:pStyle w:val="52"/>
              <w:spacing w:before="120"/>
              <w:ind w:firstLine="482"/>
              <w:rPr>
                <w:rFonts w:hint="default"/>
                <w:b/>
                <w:bCs/>
                <w:color w:val="auto"/>
                <w:highlight w:val="none"/>
              </w:rPr>
            </w:pPr>
            <w:r>
              <w:rPr>
                <w:rFonts w:hint="eastAsia"/>
                <w:b/>
                <w:bCs/>
                <w:color w:val="auto"/>
                <w:highlight w:val="none"/>
                <w:lang w:eastAsia="zh-CN"/>
              </w:rPr>
              <w:t>1.</w:t>
            </w:r>
            <w:r>
              <w:rPr>
                <w:rFonts w:hint="default"/>
                <w:b/>
                <w:bCs/>
                <w:color w:val="auto"/>
                <w:highlight w:val="none"/>
              </w:rPr>
              <w:t>施工期污染物排放控制标准</w:t>
            </w:r>
          </w:p>
          <w:p w14:paraId="2D4A0FFF">
            <w:pPr>
              <w:pStyle w:val="46"/>
              <w:ind w:firstLine="48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废水</w:t>
            </w:r>
          </w:p>
          <w:p w14:paraId="1976FF20">
            <w:pPr>
              <w:pStyle w:val="46"/>
              <w:bidi w:val="0"/>
              <w:rPr>
                <w:rFonts w:hint="default"/>
                <w:color w:val="auto"/>
                <w:highlight w:val="none"/>
                <w:lang w:val="en-US" w:eastAsia="zh-CN"/>
              </w:rPr>
            </w:pPr>
            <w:r>
              <w:rPr>
                <w:rFonts w:hint="default"/>
                <w:color w:val="auto"/>
                <w:highlight w:val="none"/>
                <w:lang w:val="en-US" w:eastAsia="zh-CN"/>
              </w:rPr>
              <w:t>本项目施工期</w:t>
            </w:r>
            <w:r>
              <w:rPr>
                <w:rFonts w:hint="eastAsia"/>
                <w:color w:val="auto"/>
                <w:highlight w:val="none"/>
                <w:lang w:val="en-US" w:eastAsia="zh-CN"/>
              </w:rPr>
              <w:t>生活污水</w:t>
            </w:r>
            <w:r>
              <w:rPr>
                <w:rFonts w:hint="default"/>
                <w:color w:val="auto"/>
                <w:highlight w:val="none"/>
                <w:lang w:val="en-US" w:eastAsia="zh-CN"/>
              </w:rPr>
              <w:t>排入</w:t>
            </w:r>
            <w:r>
              <w:rPr>
                <w:rFonts w:hint="eastAsia"/>
                <w:color w:val="auto"/>
                <w:highlight w:val="none"/>
                <w:lang w:val="en-US" w:eastAsia="zh-CN"/>
              </w:rPr>
              <w:t>临时</w:t>
            </w:r>
            <w:r>
              <w:rPr>
                <w:rFonts w:hint="default"/>
                <w:color w:val="auto"/>
                <w:highlight w:val="none"/>
                <w:lang w:val="en-US" w:eastAsia="zh-CN"/>
              </w:rPr>
              <w:t>简易防渗旱厕，定期清掏，外运堆肥。施工废水沉淀处理后用于场内洒水降尘。</w:t>
            </w:r>
          </w:p>
          <w:p w14:paraId="225E2CF7">
            <w:pPr>
              <w:pStyle w:val="46"/>
              <w:ind w:firstLine="48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w:t>
            </w:r>
            <w:r>
              <w:rPr>
                <w:color w:val="auto"/>
                <w:highlight w:val="none"/>
              </w:rPr>
              <w:t>大气</w:t>
            </w:r>
          </w:p>
          <w:p w14:paraId="6A2800EF">
            <w:pPr>
              <w:pStyle w:val="46"/>
              <w:ind w:firstLine="480"/>
              <w:rPr>
                <w:color w:val="auto"/>
                <w:highlight w:val="none"/>
              </w:rPr>
            </w:pPr>
            <w:r>
              <w:rPr>
                <w:color w:val="auto"/>
                <w:highlight w:val="none"/>
              </w:rPr>
              <w:t>本项目施工期扬尘执行《大气污染物综合排放标准》（GB16297-1996）表2标准限值，标准值见表3-</w:t>
            </w:r>
            <w:r>
              <w:rPr>
                <w:rFonts w:hint="eastAsia"/>
                <w:color w:val="auto"/>
                <w:highlight w:val="none"/>
                <w:lang w:val="en-US" w:eastAsia="zh-CN"/>
              </w:rPr>
              <w:t>7</w:t>
            </w:r>
            <w:r>
              <w:rPr>
                <w:color w:val="auto"/>
                <w:highlight w:val="none"/>
              </w:rPr>
              <w:t>。</w:t>
            </w:r>
          </w:p>
          <w:p w14:paraId="4E6A978C">
            <w:pPr>
              <w:pStyle w:val="50"/>
              <w:rPr>
                <w:rFonts w:hint="default"/>
                <w:color w:val="auto"/>
                <w:highlight w:val="none"/>
              </w:rPr>
            </w:pPr>
            <w:r>
              <w:rPr>
                <w:rFonts w:hint="default"/>
                <w:color w:val="auto"/>
                <w:highlight w:val="none"/>
              </w:rPr>
              <w:t>表3-</w:t>
            </w:r>
            <w:r>
              <w:rPr>
                <w:rFonts w:hint="eastAsia"/>
                <w:color w:val="auto"/>
                <w:highlight w:val="none"/>
                <w:lang w:val="en-US" w:eastAsia="zh-CN"/>
              </w:rPr>
              <w:t>7</w:t>
            </w:r>
            <w:r>
              <w:rPr>
                <w:color w:val="auto"/>
                <w:highlight w:val="none"/>
              </w:rPr>
              <w:t xml:space="preserve">  </w:t>
            </w:r>
            <w:r>
              <w:rPr>
                <w:rFonts w:hint="default"/>
                <w:color w:val="auto"/>
                <w:highlight w:val="none"/>
              </w:rPr>
              <w:t xml:space="preserve"> 大气污染物综合排放标准</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4"/>
              <w:gridCol w:w="3928"/>
              <w:gridCol w:w="1504"/>
            </w:tblGrid>
            <w:tr w14:paraId="69F9F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72" w:type="pct"/>
                  <w:vMerge w:val="restart"/>
                  <w:noWrap w:val="0"/>
                  <w:vAlign w:val="center"/>
                </w:tcPr>
                <w:p w14:paraId="1B3A3C1A">
                  <w:pPr>
                    <w:pStyle w:val="60"/>
                    <w:rPr>
                      <w:color w:val="auto"/>
                      <w:highlight w:val="none"/>
                      <w:lang w:val="zh-CN"/>
                    </w:rPr>
                  </w:pPr>
                  <w:r>
                    <w:rPr>
                      <w:color w:val="auto"/>
                      <w:highlight w:val="none"/>
                      <w:lang w:val="zh-CN"/>
                    </w:rPr>
                    <w:t>污染物</w:t>
                  </w:r>
                </w:p>
              </w:tc>
              <w:tc>
                <w:tcPr>
                  <w:tcW w:w="3627" w:type="pct"/>
                  <w:gridSpan w:val="2"/>
                  <w:noWrap w:val="0"/>
                  <w:vAlign w:val="center"/>
                </w:tcPr>
                <w:p w14:paraId="4FD059EA">
                  <w:pPr>
                    <w:pStyle w:val="60"/>
                    <w:rPr>
                      <w:color w:val="auto"/>
                      <w:highlight w:val="none"/>
                      <w:lang w:val="zh-CN"/>
                    </w:rPr>
                  </w:pPr>
                  <w:r>
                    <w:rPr>
                      <w:color w:val="auto"/>
                      <w:highlight w:val="none"/>
                      <w:lang w:val="zh-CN"/>
                    </w:rPr>
                    <w:t>无组织排放监控浓度限值（mg/</w:t>
                  </w:r>
                  <w:r>
                    <w:rPr>
                      <w:rFonts w:hint="eastAsia"/>
                      <w:color w:val="auto"/>
                      <w:highlight w:val="none"/>
                      <w:lang w:val="zh-CN"/>
                    </w:rPr>
                    <w:t>m</w:t>
                  </w:r>
                  <w:r>
                    <w:rPr>
                      <w:rFonts w:hint="eastAsia"/>
                      <w:color w:val="auto"/>
                      <w:highlight w:val="none"/>
                      <w:vertAlign w:val="superscript"/>
                      <w:lang w:val="zh-CN"/>
                    </w:rPr>
                    <w:t>3</w:t>
                  </w:r>
                  <w:r>
                    <w:rPr>
                      <w:color w:val="auto"/>
                      <w:highlight w:val="none"/>
                      <w:lang w:val="zh-CN"/>
                    </w:rPr>
                    <w:t>）</w:t>
                  </w:r>
                </w:p>
              </w:tc>
            </w:tr>
            <w:tr w14:paraId="09A30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72" w:type="pct"/>
                  <w:vMerge w:val="continue"/>
                  <w:noWrap w:val="0"/>
                  <w:vAlign w:val="center"/>
                </w:tcPr>
                <w:p w14:paraId="3A7C1479">
                  <w:pPr>
                    <w:pStyle w:val="60"/>
                    <w:rPr>
                      <w:color w:val="auto"/>
                      <w:highlight w:val="none"/>
                      <w:lang w:val="zh-CN"/>
                    </w:rPr>
                  </w:pPr>
                </w:p>
              </w:tc>
              <w:tc>
                <w:tcPr>
                  <w:tcW w:w="2623" w:type="pct"/>
                  <w:noWrap w:val="0"/>
                  <w:vAlign w:val="center"/>
                </w:tcPr>
                <w:p w14:paraId="42C55152">
                  <w:pPr>
                    <w:pStyle w:val="60"/>
                    <w:rPr>
                      <w:color w:val="auto"/>
                      <w:highlight w:val="none"/>
                      <w:lang w:val="zh-CN"/>
                    </w:rPr>
                  </w:pPr>
                  <w:r>
                    <w:rPr>
                      <w:color w:val="auto"/>
                      <w:highlight w:val="none"/>
                      <w:lang w:val="zh-CN"/>
                    </w:rPr>
                    <w:t>监控点</w:t>
                  </w:r>
                </w:p>
              </w:tc>
              <w:tc>
                <w:tcPr>
                  <w:tcW w:w="1004" w:type="pct"/>
                  <w:noWrap w:val="0"/>
                  <w:vAlign w:val="center"/>
                </w:tcPr>
                <w:p w14:paraId="3104FFA2">
                  <w:pPr>
                    <w:pStyle w:val="60"/>
                    <w:rPr>
                      <w:color w:val="auto"/>
                      <w:highlight w:val="none"/>
                      <w:lang w:val="zh-CN"/>
                    </w:rPr>
                  </w:pPr>
                  <w:r>
                    <w:rPr>
                      <w:color w:val="auto"/>
                      <w:highlight w:val="none"/>
                      <w:lang w:val="zh-CN"/>
                    </w:rPr>
                    <w:t>浓度</w:t>
                  </w:r>
                </w:p>
              </w:tc>
            </w:tr>
            <w:tr w14:paraId="1C00D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72" w:type="pct"/>
                  <w:noWrap w:val="0"/>
                  <w:vAlign w:val="center"/>
                </w:tcPr>
                <w:p w14:paraId="03A26945">
                  <w:pPr>
                    <w:pStyle w:val="60"/>
                    <w:rPr>
                      <w:color w:val="auto"/>
                      <w:highlight w:val="none"/>
                      <w:lang w:val="zh-CN"/>
                    </w:rPr>
                  </w:pPr>
                  <w:r>
                    <w:rPr>
                      <w:color w:val="auto"/>
                      <w:highlight w:val="none"/>
                      <w:lang w:val="zh-CN"/>
                    </w:rPr>
                    <w:t>颗粒物</w:t>
                  </w:r>
                </w:p>
              </w:tc>
              <w:tc>
                <w:tcPr>
                  <w:tcW w:w="2623" w:type="pct"/>
                  <w:noWrap w:val="0"/>
                  <w:vAlign w:val="center"/>
                </w:tcPr>
                <w:p w14:paraId="031D259B">
                  <w:pPr>
                    <w:pStyle w:val="60"/>
                    <w:rPr>
                      <w:color w:val="auto"/>
                      <w:highlight w:val="none"/>
                      <w:lang w:val="zh-CN"/>
                    </w:rPr>
                  </w:pPr>
                  <w:r>
                    <w:rPr>
                      <w:color w:val="auto"/>
                      <w:highlight w:val="none"/>
                      <w:lang w:val="zh-CN"/>
                    </w:rPr>
                    <w:t>周围外浓度最高点</w:t>
                  </w:r>
                </w:p>
              </w:tc>
              <w:tc>
                <w:tcPr>
                  <w:tcW w:w="1004" w:type="pct"/>
                  <w:noWrap w:val="0"/>
                  <w:vAlign w:val="center"/>
                </w:tcPr>
                <w:p w14:paraId="3005252B">
                  <w:pPr>
                    <w:pStyle w:val="60"/>
                    <w:rPr>
                      <w:color w:val="auto"/>
                      <w:highlight w:val="none"/>
                      <w:lang w:val="zh-CN"/>
                    </w:rPr>
                  </w:pPr>
                  <w:r>
                    <w:rPr>
                      <w:color w:val="auto"/>
                      <w:highlight w:val="none"/>
                      <w:lang w:val="zh-CN"/>
                    </w:rPr>
                    <w:t>1.0</w:t>
                  </w:r>
                </w:p>
              </w:tc>
            </w:tr>
          </w:tbl>
          <w:p w14:paraId="22DBB85F">
            <w:pPr>
              <w:pStyle w:val="52"/>
              <w:spacing w:before="120"/>
              <w:ind w:firstLine="480"/>
              <w:rPr>
                <w:rFonts w:hint="default"/>
                <w:color w:val="auto"/>
                <w:highlight w:val="none"/>
              </w:rPr>
            </w:pPr>
            <w:r>
              <w:rPr>
                <w:color w:val="auto"/>
                <w:highlight w:val="none"/>
              </w:rPr>
              <w:t>（</w:t>
            </w:r>
            <w:r>
              <w:rPr>
                <w:rFonts w:hint="eastAsia"/>
                <w:color w:val="auto"/>
                <w:highlight w:val="none"/>
                <w:lang w:val="en-US" w:eastAsia="zh-CN"/>
              </w:rPr>
              <w:t>3</w:t>
            </w:r>
            <w:r>
              <w:rPr>
                <w:color w:val="auto"/>
                <w:highlight w:val="none"/>
              </w:rPr>
              <w:t>）</w:t>
            </w:r>
            <w:r>
              <w:rPr>
                <w:rFonts w:hint="default"/>
                <w:color w:val="auto"/>
                <w:highlight w:val="none"/>
              </w:rPr>
              <w:t>噪声</w:t>
            </w:r>
          </w:p>
          <w:p w14:paraId="70F94F1C">
            <w:pPr>
              <w:pStyle w:val="46"/>
              <w:ind w:firstLine="480"/>
              <w:rPr>
                <w:color w:val="auto"/>
                <w:highlight w:val="none"/>
              </w:rPr>
            </w:pPr>
            <w:r>
              <w:rPr>
                <w:color w:val="auto"/>
                <w:highlight w:val="none"/>
              </w:rPr>
              <w:t>项目施工期噪声排放执行《</w:t>
            </w:r>
            <w:r>
              <w:rPr>
                <w:rFonts w:hint="eastAsia"/>
                <w:color w:val="auto"/>
                <w:highlight w:val="none"/>
                <w:lang w:eastAsia="zh-CN"/>
              </w:rPr>
              <w:t>建筑施工噪声排放标准</w:t>
            </w:r>
            <w:r>
              <w:rPr>
                <w:color w:val="auto"/>
                <w:highlight w:val="none"/>
              </w:rPr>
              <w:t>》（GB</w:t>
            </w:r>
            <w:r>
              <w:rPr>
                <w:rFonts w:hint="eastAsia"/>
                <w:color w:val="auto"/>
                <w:highlight w:val="none"/>
                <w:lang w:eastAsia="zh-CN"/>
              </w:rPr>
              <w:t>12523-2025</w:t>
            </w:r>
            <w:r>
              <w:rPr>
                <w:color w:val="auto"/>
                <w:highlight w:val="none"/>
              </w:rPr>
              <w:t>），见表3-</w:t>
            </w:r>
            <w:r>
              <w:rPr>
                <w:rFonts w:hint="eastAsia"/>
                <w:color w:val="auto"/>
                <w:highlight w:val="none"/>
                <w:lang w:val="en-US" w:eastAsia="zh-CN"/>
              </w:rPr>
              <w:t>8</w:t>
            </w:r>
            <w:r>
              <w:rPr>
                <w:color w:val="auto"/>
                <w:highlight w:val="none"/>
              </w:rPr>
              <w:t>。</w:t>
            </w:r>
          </w:p>
          <w:p w14:paraId="12BEC4A6">
            <w:pPr>
              <w:pStyle w:val="50"/>
              <w:rPr>
                <w:rFonts w:hint="default"/>
                <w:color w:val="auto"/>
                <w:highlight w:val="none"/>
                <w:lang w:val="zh-CN"/>
              </w:rPr>
            </w:pPr>
            <w:r>
              <w:rPr>
                <w:rFonts w:hint="default"/>
                <w:color w:val="auto"/>
                <w:highlight w:val="none"/>
                <w:lang w:val="zh-CN"/>
              </w:rPr>
              <w:t>表</w:t>
            </w:r>
            <w:r>
              <w:rPr>
                <w:rFonts w:hint="default"/>
                <w:color w:val="auto"/>
                <w:highlight w:val="none"/>
              </w:rPr>
              <w:t>3-</w:t>
            </w:r>
            <w:r>
              <w:rPr>
                <w:rFonts w:hint="eastAsia"/>
                <w:color w:val="auto"/>
                <w:highlight w:val="none"/>
                <w:lang w:val="en-US" w:eastAsia="zh-CN"/>
              </w:rPr>
              <w:t>8</w:t>
            </w:r>
            <w:r>
              <w:rPr>
                <w:color w:val="auto"/>
                <w:highlight w:val="none"/>
              </w:rPr>
              <w:t xml:space="preserve">  </w:t>
            </w:r>
            <w:r>
              <w:rPr>
                <w:rFonts w:hint="default"/>
                <w:color w:val="auto"/>
                <w:highlight w:val="none"/>
              </w:rPr>
              <w:t xml:space="preserve"> </w:t>
            </w:r>
            <w:r>
              <w:rPr>
                <w:rFonts w:hint="eastAsia"/>
                <w:color w:val="auto"/>
                <w:highlight w:val="none"/>
                <w:lang w:val="zh-CN"/>
              </w:rPr>
              <w:t>建筑施工噪声排放标准</w:t>
            </w:r>
            <w:r>
              <w:rPr>
                <w:color w:val="auto"/>
                <w:highlight w:val="none"/>
              </w:rPr>
              <w:t xml:space="preserve">  </w:t>
            </w:r>
            <w:r>
              <w:rPr>
                <w:rFonts w:hint="default"/>
                <w:color w:val="auto"/>
                <w:highlight w:val="none"/>
              </w:rPr>
              <w:t>单位：</w:t>
            </w:r>
            <w:r>
              <w:rPr>
                <w:rFonts w:hint="default"/>
                <w:color w:val="auto"/>
                <w:highlight w:val="none"/>
                <w:lang w:val="zh-CN"/>
              </w:rPr>
              <w:t>dB（A）</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4"/>
              <w:gridCol w:w="2481"/>
              <w:gridCol w:w="2482"/>
            </w:tblGrid>
            <w:tr w14:paraId="72AE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93" w:type="dxa"/>
                  <w:vMerge w:val="restart"/>
                  <w:tcBorders>
                    <w:top w:val="single" w:color="auto" w:sz="12" w:space="0"/>
                    <w:left w:val="nil"/>
                    <w:bottom w:val="single" w:color="auto" w:sz="4" w:space="0"/>
                    <w:right w:val="single" w:color="auto" w:sz="4" w:space="0"/>
                  </w:tcBorders>
                  <w:shd w:val="clear" w:color="auto" w:fill="auto"/>
                  <w:noWrap w:val="0"/>
                  <w:vAlign w:val="center"/>
                </w:tcPr>
                <w:p w14:paraId="52B7EF0A">
                  <w:pPr>
                    <w:pStyle w:val="60"/>
                    <w:rPr>
                      <w:color w:val="auto"/>
                      <w:highlight w:val="none"/>
                      <w:lang w:val="zh-CN"/>
                    </w:rPr>
                  </w:pPr>
                  <w:r>
                    <w:rPr>
                      <w:color w:val="auto"/>
                      <w:highlight w:val="none"/>
                      <w:lang w:val="zh-CN"/>
                    </w:rPr>
                    <w:t>主要噪声源</w:t>
                  </w:r>
                </w:p>
              </w:tc>
              <w:tc>
                <w:tcPr>
                  <w:tcW w:w="5513" w:type="dxa"/>
                  <w:gridSpan w:val="2"/>
                  <w:tcBorders>
                    <w:top w:val="single" w:color="auto" w:sz="12" w:space="0"/>
                    <w:left w:val="single" w:color="auto" w:sz="4" w:space="0"/>
                    <w:bottom w:val="single" w:color="auto" w:sz="4" w:space="0"/>
                    <w:right w:val="nil"/>
                  </w:tcBorders>
                  <w:shd w:val="clear" w:color="auto" w:fill="auto"/>
                  <w:noWrap w:val="0"/>
                  <w:vAlign w:val="center"/>
                </w:tcPr>
                <w:p w14:paraId="207D100F">
                  <w:pPr>
                    <w:pStyle w:val="60"/>
                    <w:rPr>
                      <w:color w:val="auto"/>
                      <w:highlight w:val="none"/>
                      <w:lang w:val="zh-CN"/>
                    </w:rPr>
                  </w:pPr>
                  <w:r>
                    <w:rPr>
                      <w:color w:val="auto"/>
                      <w:highlight w:val="none"/>
                      <w:lang w:val="zh-CN"/>
                    </w:rPr>
                    <w:t>噪声限值</w:t>
                  </w:r>
                </w:p>
              </w:tc>
            </w:tr>
            <w:tr w14:paraId="43EE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93" w:type="dxa"/>
                  <w:vMerge w:val="continue"/>
                  <w:tcBorders>
                    <w:top w:val="single" w:color="auto" w:sz="12" w:space="0"/>
                    <w:left w:val="nil"/>
                    <w:bottom w:val="single" w:color="auto" w:sz="4" w:space="0"/>
                    <w:right w:val="single" w:color="auto" w:sz="4" w:space="0"/>
                  </w:tcBorders>
                  <w:shd w:val="clear" w:color="auto" w:fill="auto"/>
                  <w:noWrap w:val="0"/>
                  <w:vAlign w:val="center"/>
                </w:tcPr>
                <w:p w14:paraId="3C26827A">
                  <w:pPr>
                    <w:pStyle w:val="60"/>
                    <w:rPr>
                      <w:color w:val="auto"/>
                      <w:highlight w:val="none"/>
                      <w:lang w:val="zh-CN"/>
                    </w:rPr>
                  </w:pPr>
                </w:p>
              </w:tc>
              <w:tc>
                <w:tcPr>
                  <w:tcW w:w="27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8F0E80">
                  <w:pPr>
                    <w:pStyle w:val="60"/>
                    <w:rPr>
                      <w:color w:val="auto"/>
                      <w:highlight w:val="none"/>
                      <w:lang w:val="zh-CN"/>
                    </w:rPr>
                  </w:pPr>
                  <w:r>
                    <w:rPr>
                      <w:color w:val="auto"/>
                      <w:highlight w:val="none"/>
                      <w:lang w:val="zh-CN"/>
                    </w:rPr>
                    <w:t>昼间</w:t>
                  </w:r>
                </w:p>
              </w:tc>
              <w:tc>
                <w:tcPr>
                  <w:tcW w:w="2757" w:type="dxa"/>
                  <w:tcBorders>
                    <w:top w:val="single" w:color="auto" w:sz="4" w:space="0"/>
                    <w:left w:val="single" w:color="auto" w:sz="4" w:space="0"/>
                    <w:bottom w:val="single" w:color="auto" w:sz="4" w:space="0"/>
                    <w:right w:val="nil"/>
                  </w:tcBorders>
                  <w:shd w:val="clear" w:color="auto" w:fill="auto"/>
                  <w:noWrap w:val="0"/>
                  <w:vAlign w:val="center"/>
                </w:tcPr>
                <w:p w14:paraId="4C47FA6A">
                  <w:pPr>
                    <w:pStyle w:val="60"/>
                    <w:rPr>
                      <w:color w:val="auto"/>
                      <w:highlight w:val="none"/>
                      <w:lang w:val="zh-CN"/>
                    </w:rPr>
                  </w:pPr>
                  <w:r>
                    <w:rPr>
                      <w:color w:val="auto"/>
                      <w:highlight w:val="none"/>
                      <w:lang w:val="zh-CN"/>
                    </w:rPr>
                    <w:t>夜间</w:t>
                  </w:r>
                </w:p>
              </w:tc>
            </w:tr>
            <w:tr w14:paraId="23A3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93" w:type="dxa"/>
                  <w:tcBorders>
                    <w:top w:val="single" w:color="auto" w:sz="4" w:space="0"/>
                    <w:left w:val="nil"/>
                    <w:bottom w:val="single" w:color="auto" w:sz="12" w:space="0"/>
                    <w:right w:val="single" w:color="auto" w:sz="4" w:space="0"/>
                  </w:tcBorders>
                  <w:shd w:val="clear" w:color="auto" w:fill="auto"/>
                  <w:noWrap w:val="0"/>
                  <w:vAlign w:val="center"/>
                </w:tcPr>
                <w:p w14:paraId="6B433765">
                  <w:pPr>
                    <w:pStyle w:val="60"/>
                    <w:rPr>
                      <w:color w:val="auto"/>
                      <w:highlight w:val="none"/>
                      <w:lang w:val="zh-CN"/>
                    </w:rPr>
                  </w:pPr>
                  <w:r>
                    <w:rPr>
                      <w:color w:val="auto"/>
                      <w:highlight w:val="none"/>
                      <w:lang w:val="zh-CN"/>
                    </w:rPr>
                    <w:t>建筑施工</w:t>
                  </w:r>
                </w:p>
              </w:tc>
              <w:tc>
                <w:tcPr>
                  <w:tcW w:w="2756" w:type="dxa"/>
                  <w:tcBorders>
                    <w:top w:val="single" w:color="auto" w:sz="4" w:space="0"/>
                    <w:left w:val="single" w:color="auto" w:sz="4" w:space="0"/>
                    <w:bottom w:val="single" w:color="auto" w:sz="12" w:space="0"/>
                    <w:right w:val="single" w:color="auto" w:sz="4" w:space="0"/>
                  </w:tcBorders>
                  <w:shd w:val="clear" w:color="auto" w:fill="auto"/>
                  <w:noWrap w:val="0"/>
                  <w:vAlign w:val="center"/>
                </w:tcPr>
                <w:p w14:paraId="0547B69C">
                  <w:pPr>
                    <w:pStyle w:val="60"/>
                    <w:rPr>
                      <w:color w:val="auto"/>
                      <w:highlight w:val="none"/>
                      <w:lang w:val="zh-CN"/>
                    </w:rPr>
                  </w:pPr>
                  <w:r>
                    <w:rPr>
                      <w:color w:val="auto"/>
                      <w:highlight w:val="none"/>
                      <w:lang w:val="zh-CN"/>
                    </w:rPr>
                    <w:t>70</w:t>
                  </w:r>
                </w:p>
              </w:tc>
              <w:tc>
                <w:tcPr>
                  <w:tcW w:w="2757" w:type="dxa"/>
                  <w:tcBorders>
                    <w:top w:val="single" w:color="auto" w:sz="4" w:space="0"/>
                    <w:left w:val="single" w:color="auto" w:sz="4" w:space="0"/>
                    <w:bottom w:val="single" w:color="auto" w:sz="12" w:space="0"/>
                    <w:right w:val="nil"/>
                  </w:tcBorders>
                  <w:shd w:val="clear" w:color="auto" w:fill="auto"/>
                  <w:noWrap w:val="0"/>
                  <w:vAlign w:val="center"/>
                </w:tcPr>
                <w:p w14:paraId="0525C8E9">
                  <w:pPr>
                    <w:pStyle w:val="60"/>
                    <w:rPr>
                      <w:color w:val="auto"/>
                      <w:highlight w:val="none"/>
                      <w:lang w:val="zh-CN"/>
                    </w:rPr>
                  </w:pPr>
                  <w:r>
                    <w:rPr>
                      <w:color w:val="auto"/>
                      <w:highlight w:val="none"/>
                      <w:lang w:val="zh-CN"/>
                    </w:rPr>
                    <w:t>55</w:t>
                  </w:r>
                </w:p>
              </w:tc>
            </w:tr>
          </w:tbl>
          <w:p w14:paraId="21485819">
            <w:pPr>
              <w:keepNext w:val="0"/>
              <w:keepLines w:val="0"/>
              <w:pageBreakBefore w:val="0"/>
              <w:widowControl w:val="0"/>
              <w:kinsoku/>
              <w:wordWrap w:val="0"/>
              <w:overflowPunct/>
              <w:topLinePunct/>
              <w:autoSpaceDE/>
              <w:autoSpaceDN/>
              <w:bidi w:val="0"/>
              <w:adjustRightInd/>
              <w:snapToGrid/>
              <w:spacing w:before="120" w:beforeLines="50" w:line="360" w:lineRule="auto"/>
              <w:ind w:firstLine="482" w:firstLineChars="200"/>
              <w:jc w:val="left"/>
              <w:textAlignment w:val="center"/>
              <w:rPr>
                <w:rFonts w:hint="eastAsia"/>
                <w:b/>
                <w:bCs/>
                <w:color w:val="auto"/>
                <w:sz w:val="24"/>
                <w:highlight w:val="none"/>
                <w:lang w:val="en-US" w:eastAsia="zh-CN"/>
              </w:rPr>
            </w:pPr>
            <w:r>
              <w:rPr>
                <w:rFonts w:hint="eastAsia"/>
                <w:b/>
                <w:bCs/>
                <w:color w:val="auto"/>
                <w:sz w:val="24"/>
                <w:highlight w:val="none"/>
                <w:lang w:val="en-US" w:eastAsia="zh-CN"/>
              </w:rPr>
              <w:t>2.</w:t>
            </w:r>
            <w:r>
              <w:rPr>
                <w:rFonts w:hint="default"/>
                <w:b/>
                <w:bCs/>
                <w:color w:val="auto"/>
                <w:highlight w:val="none"/>
              </w:rPr>
              <w:t>运营期污染物排放控制标准</w:t>
            </w:r>
          </w:p>
          <w:p w14:paraId="765ABBA3">
            <w:pPr>
              <w:pStyle w:val="46"/>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大气污染物排放标准</w:t>
            </w:r>
          </w:p>
          <w:p w14:paraId="727F5AD5">
            <w:pPr>
              <w:pStyle w:val="46"/>
              <w:bidi w:val="0"/>
              <w:rPr>
                <w:color w:val="auto"/>
                <w:highlight w:val="none"/>
              </w:rPr>
            </w:pPr>
            <w:r>
              <w:rPr>
                <w:color w:val="auto"/>
                <w:highlight w:val="none"/>
              </w:rPr>
              <w:t>本项目运营期颗粒物无组织排放执行《大气污染物综合排放标准》（GB16297-1996）表2中无组织排放浓度监控限值要求。</w:t>
            </w:r>
          </w:p>
          <w:p w14:paraId="45436EDA">
            <w:pPr>
              <w:pStyle w:val="55"/>
              <w:bidi w:val="0"/>
              <w:rPr>
                <w:color w:val="auto"/>
                <w:highlight w:val="none"/>
                <w:lang w:val="en-US" w:eastAsia="zh-CN"/>
              </w:rPr>
            </w:pPr>
            <w:r>
              <w:rPr>
                <w:color w:val="auto"/>
                <w:highlight w:val="none"/>
                <w:lang w:val="en-US" w:eastAsia="zh-CN"/>
              </w:rPr>
              <w:t>表3-</w:t>
            </w:r>
            <w:r>
              <w:rPr>
                <w:rFonts w:hint="eastAsia"/>
                <w:color w:val="auto"/>
                <w:highlight w:val="none"/>
                <w:lang w:val="en-US" w:eastAsia="zh-CN"/>
              </w:rPr>
              <w:t>9</w:t>
            </w:r>
            <w:r>
              <w:rPr>
                <w:color w:val="auto"/>
                <w:highlight w:val="none"/>
                <w:lang w:val="en-US" w:eastAsia="zh-CN"/>
              </w:rPr>
              <w:t xml:space="preserve">   大气污染物综合排放标准</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117"/>
              <w:gridCol w:w="2949"/>
              <w:gridCol w:w="2556"/>
            </w:tblGrid>
            <w:tr w14:paraId="036C8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pct"/>
                  <w:tcBorders>
                    <w:tl2br w:val="nil"/>
                    <w:tr2bl w:val="nil"/>
                  </w:tcBorders>
                  <w:vAlign w:val="center"/>
                </w:tcPr>
                <w:p w14:paraId="1B913FA9">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w:t>
                  </w:r>
                </w:p>
              </w:tc>
              <w:tc>
                <w:tcPr>
                  <w:tcW w:w="746" w:type="pct"/>
                  <w:tcBorders>
                    <w:tl2br w:val="nil"/>
                    <w:tr2bl w:val="nil"/>
                  </w:tcBorders>
                  <w:vAlign w:val="center"/>
                </w:tcPr>
                <w:p w14:paraId="494D7984">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排放源</w:t>
                  </w:r>
                </w:p>
              </w:tc>
              <w:tc>
                <w:tcPr>
                  <w:tcW w:w="1969" w:type="pct"/>
                  <w:tcBorders>
                    <w:tl2br w:val="nil"/>
                    <w:tr2bl w:val="nil"/>
                  </w:tcBorders>
                  <w:vAlign w:val="center"/>
                </w:tcPr>
                <w:p w14:paraId="6B4C1DB4">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无组织排放监控浓度限值</w:t>
                  </w:r>
                </w:p>
              </w:tc>
              <w:tc>
                <w:tcPr>
                  <w:tcW w:w="1706" w:type="pct"/>
                  <w:tcBorders>
                    <w:tl2br w:val="nil"/>
                    <w:tr2bl w:val="nil"/>
                  </w:tcBorders>
                  <w:vAlign w:val="center"/>
                </w:tcPr>
                <w:p w14:paraId="18FEA5CB">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执行标准</w:t>
                  </w:r>
                </w:p>
              </w:tc>
            </w:tr>
            <w:tr w14:paraId="74A88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pct"/>
                  <w:tcBorders>
                    <w:tl2br w:val="nil"/>
                    <w:tr2bl w:val="nil"/>
                  </w:tcBorders>
                  <w:vAlign w:val="center"/>
                </w:tcPr>
                <w:p w14:paraId="4EA06ACA">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颗粒物</w:t>
                  </w:r>
                </w:p>
              </w:tc>
              <w:tc>
                <w:tcPr>
                  <w:tcW w:w="746" w:type="pct"/>
                  <w:tcBorders>
                    <w:tl2br w:val="nil"/>
                    <w:tr2bl w:val="nil"/>
                  </w:tcBorders>
                  <w:vAlign w:val="center"/>
                </w:tcPr>
                <w:p w14:paraId="1D025C5C">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无组织</w:t>
                  </w:r>
                </w:p>
              </w:tc>
              <w:tc>
                <w:tcPr>
                  <w:tcW w:w="1969" w:type="pct"/>
                  <w:tcBorders>
                    <w:tl2br w:val="nil"/>
                    <w:tr2bl w:val="nil"/>
                  </w:tcBorders>
                  <w:vAlign w:val="center"/>
                </w:tcPr>
                <w:p w14:paraId="0B2C7D10">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周界外浓度最高点：1.0mg/</w:t>
                  </w:r>
                  <w:r>
                    <w:rPr>
                      <w:rFonts w:hint="eastAsia" w:cs="Times New Roman"/>
                      <w:color w:val="auto"/>
                      <w:kern w:val="2"/>
                      <w:sz w:val="21"/>
                      <w:szCs w:val="21"/>
                      <w:highlight w:val="none"/>
                      <w:lang w:val="en-US" w:eastAsia="zh-CN" w:bidi="ar-SA"/>
                    </w:rPr>
                    <w:t>m</w:t>
                  </w:r>
                  <w:r>
                    <w:rPr>
                      <w:rFonts w:hint="eastAsia" w:cs="Times New Roman"/>
                      <w:color w:val="auto"/>
                      <w:kern w:val="2"/>
                      <w:sz w:val="21"/>
                      <w:szCs w:val="21"/>
                      <w:highlight w:val="none"/>
                      <w:vertAlign w:val="superscript"/>
                      <w:lang w:val="en-US" w:eastAsia="zh-CN" w:bidi="ar-SA"/>
                    </w:rPr>
                    <w:t>3</w:t>
                  </w:r>
                </w:p>
              </w:tc>
              <w:tc>
                <w:tcPr>
                  <w:tcW w:w="1706" w:type="pct"/>
                  <w:tcBorders>
                    <w:tl2br w:val="nil"/>
                    <w:tr2bl w:val="nil"/>
                  </w:tcBorders>
                  <w:vAlign w:val="center"/>
                </w:tcPr>
                <w:p w14:paraId="00678CD9">
                  <w:pPr>
                    <w:keepNext w:val="0"/>
                    <w:keepLines w:val="0"/>
                    <w:pageBreakBefore w:val="0"/>
                    <w:widowControl w:val="0"/>
                    <w:kinsoku/>
                    <w:wordWrap w:val="0"/>
                    <w:overflowPunct/>
                    <w:topLinePunct/>
                    <w:autoSpaceDE/>
                    <w:autoSpaceDN/>
                    <w:bidi w:val="0"/>
                    <w:adjustRightInd/>
                    <w:snapToGrid/>
                    <w:spacing w:line="264" w:lineRule="auto"/>
                    <w:jc w:val="center"/>
                    <w:textAlignment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《大气污染物综合排放标准》（GB16297-1996）</w:t>
                  </w:r>
                </w:p>
              </w:tc>
            </w:tr>
          </w:tbl>
          <w:p w14:paraId="58B6BB76">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rFonts w:hint="eastAsia"/>
                <w:color w:val="auto"/>
                <w:highlight w:val="none"/>
                <w:lang w:val="en-US" w:eastAsia="zh-CN"/>
              </w:rPr>
            </w:pPr>
            <w:r>
              <w:rPr>
                <w:rFonts w:hint="eastAsia"/>
                <w:color w:val="auto"/>
                <w:highlight w:val="none"/>
                <w:lang w:val="en-US" w:eastAsia="zh-CN"/>
              </w:rPr>
              <w:t>本项目</w:t>
            </w:r>
            <w:r>
              <w:rPr>
                <w:rFonts w:hint="default" w:ascii="Times New Roman" w:hAnsi="Times New Roman" w:cs="Times New Roman"/>
                <w:color w:val="auto"/>
                <w:highlight w:val="none"/>
              </w:rPr>
              <w:t>有组织废气</w:t>
            </w:r>
            <w:r>
              <w:rPr>
                <w:rFonts w:hint="eastAsia" w:cs="Times New Roman"/>
                <w:color w:val="auto"/>
                <w:highlight w:val="none"/>
                <w:lang w:val="en-US" w:eastAsia="zh-CN"/>
              </w:rPr>
              <w:t>按照</w:t>
            </w:r>
            <w:r>
              <w:rPr>
                <w:rFonts w:hint="eastAsia"/>
                <w:color w:val="auto"/>
                <w:highlight w:val="none"/>
                <w:lang w:val="en-US" w:eastAsia="zh-CN"/>
              </w:rPr>
              <w:t>《工业炉窑大气污染物排放标准》（GB9078-1996）表2、表4中二级标准限值要求执行。热风炉无组织废气颗粒物按照《工业炉窑大气污染物排放标准》（GB9078-1996）表3要求执行。</w:t>
            </w:r>
          </w:p>
          <w:p w14:paraId="090C393C">
            <w:pPr>
              <w:pStyle w:val="50"/>
              <w:bidi w:val="0"/>
              <w:rPr>
                <w:rFonts w:hint="eastAsia"/>
                <w:lang w:val="en-US" w:eastAsia="zh-CN"/>
              </w:rPr>
            </w:pPr>
          </w:p>
          <w:p w14:paraId="77FE0638">
            <w:pPr>
              <w:pStyle w:val="50"/>
              <w:bidi w:val="0"/>
              <w:rPr>
                <w:rFonts w:hint="eastAsia"/>
                <w:lang w:val="en-US" w:eastAsia="zh-CN"/>
              </w:rPr>
            </w:pPr>
          </w:p>
          <w:p w14:paraId="43FADF3D">
            <w:pPr>
              <w:pStyle w:val="50"/>
              <w:bidi w:val="0"/>
              <w:rPr>
                <w:rFonts w:hint="eastAsia"/>
                <w:lang w:val="en-US" w:eastAsia="zh-CN"/>
              </w:rPr>
            </w:pPr>
          </w:p>
          <w:p w14:paraId="2EB1032E">
            <w:pPr>
              <w:pStyle w:val="55"/>
              <w:bidi w:val="0"/>
              <w:rPr>
                <w:color w:val="auto"/>
                <w:highlight w:val="none"/>
                <w:lang w:val="en-US" w:eastAsia="zh-CN"/>
              </w:rPr>
            </w:pPr>
            <w:r>
              <w:rPr>
                <w:color w:val="auto"/>
                <w:highlight w:val="none"/>
                <w:lang w:val="en-US" w:eastAsia="zh-CN"/>
              </w:rPr>
              <w:t>表3</w:t>
            </w:r>
            <w:r>
              <w:rPr>
                <w:rFonts w:hint="eastAsia"/>
                <w:color w:val="auto"/>
                <w:highlight w:val="none"/>
                <w:lang w:val="en-US" w:eastAsia="zh-CN"/>
              </w:rPr>
              <w:t>-10</w:t>
            </w:r>
            <w:r>
              <w:rPr>
                <w:color w:val="auto"/>
                <w:highlight w:val="none"/>
                <w:lang w:val="en-US" w:eastAsia="zh-CN"/>
              </w:rPr>
              <w:t xml:space="preserve">   热风炉废气污染物排放标准</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931"/>
              <w:gridCol w:w="3459"/>
              <w:gridCol w:w="1828"/>
            </w:tblGrid>
            <w:tr w14:paraId="2E272F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tcBorders>
                    <w:tl2br w:val="nil"/>
                    <w:tr2bl w:val="nil"/>
                  </w:tcBorders>
                  <w:vAlign w:val="center"/>
                </w:tcPr>
                <w:p w14:paraId="10367A87">
                  <w:pPr>
                    <w:pStyle w:val="60"/>
                    <w:bidi w:val="0"/>
                    <w:rPr>
                      <w:color w:val="auto"/>
                      <w:sz w:val="21"/>
                      <w:szCs w:val="21"/>
                      <w:highlight w:val="none"/>
                      <w:lang w:val="en-US" w:eastAsia="zh-CN"/>
                    </w:rPr>
                  </w:pPr>
                  <w:r>
                    <w:rPr>
                      <w:color w:val="auto"/>
                      <w:sz w:val="21"/>
                      <w:szCs w:val="21"/>
                      <w:highlight w:val="none"/>
                      <w:lang w:val="en-US" w:eastAsia="zh-CN"/>
                    </w:rPr>
                    <w:t>污染物</w:t>
                  </w:r>
                </w:p>
              </w:tc>
              <w:tc>
                <w:tcPr>
                  <w:tcW w:w="622" w:type="pct"/>
                  <w:tcBorders>
                    <w:tl2br w:val="nil"/>
                    <w:tr2bl w:val="nil"/>
                  </w:tcBorders>
                  <w:vAlign w:val="center"/>
                </w:tcPr>
                <w:p w14:paraId="7292D67F">
                  <w:pPr>
                    <w:pStyle w:val="60"/>
                    <w:bidi w:val="0"/>
                    <w:rPr>
                      <w:color w:val="auto"/>
                      <w:sz w:val="21"/>
                      <w:szCs w:val="21"/>
                      <w:highlight w:val="none"/>
                      <w:lang w:val="en-US" w:eastAsia="zh-CN"/>
                    </w:rPr>
                  </w:pPr>
                  <w:r>
                    <w:rPr>
                      <w:color w:val="auto"/>
                      <w:sz w:val="21"/>
                      <w:szCs w:val="21"/>
                      <w:highlight w:val="none"/>
                      <w:lang w:val="en-US" w:eastAsia="zh-CN"/>
                    </w:rPr>
                    <w:t>排放源</w:t>
                  </w:r>
                </w:p>
              </w:tc>
              <w:tc>
                <w:tcPr>
                  <w:tcW w:w="2311" w:type="pct"/>
                  <w:tcBorders>
                    <w:tl2br w:val="nil"/>
                    <w:tr2bl w:val="nil"/>
                  </w:tcBorders>
                  <w:vAlign w:val="center"/>
                </w:tcPr>
                <w:p w14:paraId="5AED73A6">
                  <w:pPr>
                    <w:pStyle w:val="60"/>
                    <w:bidi w:val="0"/>
                    <w:rPr>
                      <w:color w:val="auto"/>
                      <w:sz w:val="21"/>
                      <w:szCs w:val="21"/>
                      <w:highlight w:val="none"/>
                      <w:lang w:val="en-US" w:eastAsia="zh-CN"/>
                    </w:rPr>
                  </w:pPr>
                  <w:r>
                    <w:rPr>
                      <w:color w:val="auto"/>
                      <w:sz w:val="21"/>
                      <w:szCs w:val="21"/>
                      <w:highlight w:val="none"/>
                      <w:lang w:val="en-US" w:eastAsia="zh-CN"/>
                    </w:rPr>
                    <w:t>排放限值（标准级别：二级）</w:t>
                  </w:r>
                </w:p>
              </w:tc>
              <w:tc>
                <w:tcPr>
                  <w:tcW w:w="1221" w:type="pct"/>
                  <w:tcBorders>
                    <w:tl2br w:val="nil"/>
                    <w:tr2bl w:val="nil"/>
                  </w:tcBorders>
                  <w:vAlign w:val="center"/>
                </w:tcPr>
                <w:p w14:paraId="4D2D08C4">
                  <w:pPr>
                    <w:pStyle w:val="60"/>
                    <w:bidi w:val="0"/>
                    <w:rPr>
                      <w:color w:val="auto"/>
                      <w:sz w:val="21"/>
                      <w:szCs w:val="21"/>
                      <w:highlight w:val="none"/>
                      <w:lang w:val="en-US" w:eastAsia="zh-CN"/>
                    </w:rPr>
                  </w:pPr>
                  <w:r>
                    <w:rPr>
                      <w:color w:val="auto"/>
                      <w:sz w:val="21"/>
                      <w:szCs w:val="21"/>
                      <w:highlight w:val="none"/>
                      <w:lang w:val="en-US" w:eastAsia="zh-CN"/>
                    </w:rPr>
                    <w:t>执行标准</w:t>
                  </w:r>
                </w:p>
              </w:tc>
            </w:tr>
            <w:tr w14:paraId="33DA3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tcBorders>
                    <w:tl2br w:val="nil"/>
                    <w:tr2bl w:val="nil"/>
                  </w:tcBorders>
                  <w:vAlign w:val="center"/>
                </w:tcPr>
                <w:p w14:paraId="0EDB6FC5">
                  <w:pPr>
                    <w:pStyle w:val="60"/>
                    <w:bidi w:val="0"/>
                    <w:rPr>
                      <w:color w:val="auto"/>
                      <w:sz w:val="21"/>
                      <w:szCs w:val="21"/>
                      <w:highlight w:val="none"/>
                      <w:lang w:val="en-US" w:eastAsia="zh-CN"/>
                    </w:rPr>
                  </w:pPr>
                  <w:r>
                    <w:rPr>
                      <w:rFonts w:hint="eastAsia"/>
                      <w:color w:val="auto"/>
                      <w:sz w:val="21"/>
                      <w:szCs w:val="21"/>
                      <w:highlight w:val="none"/>
                      <w:lang w:val="en-US" w:eastAsia="zh-CN"/>
                    </w:rPr>
                    <w:t>烟尘</w:t>
                  </w:r>
                </w:p>
              </w:tc>
              <w:tc>
                <w:tcPr>
                  <w:tcW w:w="622" w:type="pct"/>
                  <w:vMerge w:val="restart"/>
                  <w:tcBorders>
                    <w:tl2br w:val="nil"/>
                    <w:tr2bl w:val="nil"/>
                  </w:tcBorders>
                  <w:vAlign w:val="center"/>
                </w:tcPr>
                <w:p w14:paraId="67FF049F">
                  <w:pPr>
                    <w:pStyle w:val="60"/>
                    <w:bidi w:val="0"/>
                    <w:rPr>
                      <w:color w:val="auto"/>
                      <w:sz w:val="21"/>
                      <w:szCs w:val="21"/>
                      <w:highlight w:val="none"/>
                      <w:lang w:val="en-US" w:eastAsia="zh-CN"/>
                    </w:rPr>
                  </w:pPr>
                  <w:r>
                    <w:rPr>
                      <w:color w:val="auto"/>
                      <w:sz w:val="21"/>
                      <w:szCs w:val="21"/>
                      <w:highlight w:val="none"/>
                      <w:lang w:val="en-US" w:eastAsia="zh-CN"/>
                    </w:rPr>
                    <w:t>有组织</w:t>
                  </w:r>
                </w:p>
              </w:tc>
              <w:tc>
                <w:tcPr>
                  <w:tcW w:w="2311" w:type="pct"/>
                  <w:tcBorders>
                    <w:tl2br w:val="nil"/>
                    <w:tr2bl w:val="nil"/>
                  </w:tcBorders>
                  <w:vAlign w:val="center"/>
                </w:tcPr>
                <w:p w14:paraId="5DFAD515">
                  <w:pPr>
                    <w:pStyle w:val="60"/>
                    <w:bidi w:val="0"/>
                    <w:rPr>
                      <w:color w:val="auto"/>
                      <w:sz w:val="21"/>
                      <w:szCs w:val="21"/>
                      <w:highlight w:val="none"/>
                      <w:lang w:val="en-US" w:eastAsia="zh-CN"/>
                    </w:rPr>
                  </w:pPr>
                  <w:r>
                    <w:rPr>
                      <w:color w:val="auto"/>
                      <w:sz w:val="21"/>
                      <w:szCs w:val="21"/>
                      <w:highlight w:val="none"/>
                      <w:lang w:val="en-US" w:eastAsia="zh-CN"/>
                    </w:rPr>
                    <w:t>窑炉类别：干燥炉、窑</w:t>
                  </w:r>
                </w:p>
                <w:p w14:paraId="322B0C0E">
                  <w:pPr>
                    <w:pStyle w:val="60"/>
                    <w:bidi w:val="0"/>
                    <w:rPr>
                      <w:color w:val="auto"/>
                      <w:sz w:val="21"/>
                      <w:szCs w:val="21"/>
                      <w:highlight w:val="none"/>
                      <w:lang w:val="en-US" w:eastAsia="zh-CN"/>
                    </w:rPr>
                  </w:pPr>
                  <w:r>
                    <w:rPr>
                      <w:color w:val="auto"/>
                      <w:sz w:val="21"/>
                      <w:szCs w:val="21"/>
                      <w:highlight w:val="none"/>
                      <w:lang w:val="en-US" w:eastAsia="zh-CN"/>
                    </w:rPr>
                    <w:t>烟（粉）尘浓度：</w:t>
                  </w:r>
                  <w:r>
                    <w:rPr>
                      <w:rFonts w:hint="eastAsia"/>
                      <w:color w:val="auto"/>
                      <w:sz w:val="21"/>
                      <w:szCs w:val="21"/>
                      <w:highlight w:val="none"/>
                      <w:lang w:val="en-US" w:eastAsia="zh-CN"/>
                    </w:rPr>
                    <w:t>2</w:t>
                  </w:r>
                  <w:r>
                    <w:rPr>
                      <w:color w:val="auto"/>
                      <w:sz w:val="21"/>
                      <w:szCs w:val="21"/>
                      <w:highlight w:val="none"/>
                      <w:lang w:val="en-US" w:eastAsia="zh-CN"/>
                    </w:rPr>
                    <w:t>00mg/</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p>
              </w:tc>
              <w:tc>
                <w:tcPr>
                  <w:tcW w:w="1221" w:type="pct"/>
                  <w:vMerge w:val="restart"/>
                  <w:tcBorders>
                    <w:tl2br w:val="nil"/>
                    <w:tr2bl w:val="nil"/>
                  </w:tcBorders>
                  <w:vAlign w:val="center"/>
                </w:tcPr>
                <w:p w14:paraId="61496959">
                  <w:pPr>
                    <w:keepNext w:val="0"/>
                    <w:keepLines w:val="0"/>
                    <w:pageBreakBefore w:val="0"/>
                    <w:widowControl w:val="0"/>
                    <w:kinsoku/>
                    <w:wordWrap w:val="0"/>
                    <w:overflowPunct/>
                    <w:topLinePunct/>
                    <w:autoSpaceDE/>
                    <w:autoSpaceDN/>
                    <w:bidi w:val="0"/>
                    <w:adjustRightInd/>
                    <w:snapToGrid/>
                    <w:spacing w:line="240" w:lineRule="auto"/>
                    <w:jc w:val="center"/>
                    <w:textAlignment w:val="center"/>
                    <w:rPr>
                      <w:color w:val="auto"/>
                      <w:sz w:val="21"/>
                      <w:szCs w:val="21"/>
                      <w:highlight w:val="none"/>
                      <w:lang w:val="en-US" w:eastAsia="zh-CN"/>
                    </w:rPr>
                  </w:pPr>
                  <w:r>
                    <w:rPr>
                      <w:rFonts w:hint="eastAsia"/>
                      <w:color w:val="auto"/>
                      <w:sz w:val="21"/>
                      <w:szCs w:val="21"/>
                      <w:highlight w:val="none"/>
                      <w:lang w:val="en-US" w:eastAsia="zh-CN"/>
                    </w:rPr>
                    <w:t>《工业炉窑大气污染物排放标准》（GB9078-1996）表2、表4中二级标准限值要求</w:t>
                  </w:r>
                </w:p>
              </w:tc>
            </w:tr>
            <w:tr w14:paraId="161567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tcBorders>
                    <w:tl2br w:val="nil"/>
                    <w:tr2bl w:val="nil"/>
                  </w:tcBorders>
                  <w:vAlign w:val="center"/>
                </w:tcPr>
                <w:p w14:paraId="757BD58C">
                  <w:pPr>
                    <w:pStyle w:val="60"/>
                    <w:bidi w:val="0"/>
                    <w:rPr>
                      <w:color w:val="auto"/>
                      <w:sz w:val="21"/>
                      <w:szCs w:val="21"/>
                      <w:highlight w:val="none"/>
                      <w:lang w:val="en-US" w:eastAsia="zh-CN"/>
                    </w:rPr>
                  </w:pPr>
                  <w:r>
                    <w:rPr>
                      <w:color w:val="auto"/>
                      <w:sz w:val="21"/>
                      <w:szCs w:val="21"/>
                      <w:highlight w:val="none"/>
                      <w:lang w:val="en-US" w:eastAsia="zh-CN"/>
                    </w:rPr>
                    <w:t>烟气黑度（林格曼级）</w:t>
                  </w:r>
                </w:p>
              </w:tc>
              <w:tc>
                <w:tcPr>
                  <w:tcW w:w="622" w:type="pct"/>
                  <w:vMerge w:val="continue"/>
                  <w:tcBorders>
                    <w:tl2br w:val="nil"/>
                    <w:tr2bl w:val="nil"/>
                  </w:tcBorders>
                  <w:vAlign w:val="center"/>
                </w:tcPr>
                <w:p w14:paraId="668FD99D">
                  <w:pPr>
                    <w:pStyle w:val="60"/>
                    <w:bidi w:val="0"/>
                    <w:rPr>
                      <w:color w:val="auto"/>
                      <w:sz w:val="21"/>
                      <w:szCs w:val="21"/>
                      <w:highlight w:val="none"/>
                      <w:lang w:val="en-US" w:eastAsia="zh-CN"/>
                    </w:rPr>
                  </w:pPr>
                </w:p>
              </w:tc>
              <w:tc>
                <w:tcPr>
                  <w:tcW w:w="2311" w:type="pct"/>
                  <w:tcBorders>
                    <w:tl2br w:val="nil"/>
                    <w:tr2bl w:val="nil"/>
                  </w:tcBorders>
                  <w:vAlign w:val="center"/>
                </w:tcPr>
                <w:p w14:paraId="65F9777E">
                  <w:pPr>
                    <w:pStyle w:val="60"/>
                    <w:bidi w:val="0"/>
                    <w:rPr>
                      <w:color w:val="auto"/>
                      <w:sz w:val="21"/>
                      <w:szCs w:val="21"/>
                      <w:highlight w:val="none"/>
                      <w:lang w:val="en-US" w:eastAsia="zh-CN"/>
                    </w:rPr>
                  </w:pPr>
                  <w:r>
                    <w:rPr>
                      <w:color w:val="auto"/>
                      <w:sz w:val="21"/>
                      <w:szCs w:val="21"/>
                      <w:highlight w:val="none"/>
                      <w:lang w:val="en-US" w:eastAsia="zh-CN"/>
                    </w:rPr>
                    <w:t>窑炉类别：干燥炉、窑</w:t>
                  </w:r>
                </w:p>
                <w:p w14:paraId="4F7AACE1">
                  <w:pPr>
                    <w:pStyle w:val="60"/>
                    <w:bidi w:val="0"/>
                    <w:rPr>
                      <w:color w:val="auto"/>
                      <w:sz w:val="21"/>
                      <w:szCs w:val="21"/>
                      <w:highlight w:val="none"/>
                      <w:lang w:val="en-US" w:eastAsia="zh-CN"/>
                    </w:rPr>
                  </w:pPr>
                  <w:r>
                    <w:rPr>
                      <w:color w:val="auto"/>
                      <w:sz w:val="21"/>
                      <w:szCs w:val="21"/>
                      <w:highlight w:val="none"/>
                      <w:lang w:val="en-US" w:eastAsia="zh-CN"/>
                    </w:rPr>
                    <w:t>烟气黑度：</w:t>
                  </w:r>
                  <w:r>
                    <w:rPr>
                      <w:rFonts w:hint="eastAsia"/>
                      <w:color w:val="auto"/>
                      <w:sz w:val="21"/>
                      <w:szCs w:val="21"/>
                      <w:highlight w:val="none"/>
                      <w:lang w:val="en-US" w:eastAsia="zh-CN"/>
                    </w:rPr>
                    <w:t>≤</w:t>
                  </w:r>
                  <w:r>
                    <w:rPr>
                      <w:color w:val="auto"/>
                      <w:sz w:val="21"/>
                      <w:szCs w:val="21"/>
                      <w:highlight w:val="none"/>
                      <w:lang w:val="en-US" w:eastAsia="zh-CN"/>
                    </w:rPr>
                    <w:t>1</w:t>
                  </w:r>
                </w:p>
              </w:tc>
              <w:tc>
                <w:tcPr>
                  <w:tcW w:w="1221" w:type="pct"/>
                  <w:vMerge w:val="continue"/>
                  <w:tcBorders>
                    <w:tl2br w:val="nil"/>
                    <w:tr2bl w:val="nil"/>
                  </w:tcBorders>
                  <w:vAlign w:val="center"/>
                </w:tcPr>
                <w:p w14:paraId="39376986">
                  <w:pPr>
                    <w:pStyle w:val="60"/>
                    <w:bidi w:val="0"/>
                    <w:rPr>
                      <w:color w:val="auto"/>
                      <w:sz w:val="21"/>
                      <w:szCs w:val="21"/>
                      <w:highlight w:val="none"/>
                      <w:lang w:val="en-US" w:eastAsia="zh-CN"/>
                    </w:rPr>
                  </w:pPr>
                </w:p>
              </w:tc>
            </w:tr>
            <w:tr w14:paraId="3225CC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5" w:type="pct"/>
                  <w:tcBorders>
                    <w:tl2br w:val="nil"/>
                    <w:tr2bl w:val="nil"/>
                  </w:tcBorders>
                  <w:vAlign w:val="center"/>
                </w:tcPr>
                <w:p w14:paraId="130FF384">
                  <w:pPr>
                    <w:pStyle w:val="60"/>
                    <w:bidi w:val="0"/>
                    <w:rPr>
                      <w:color w:val="auto"/>
                      <w:sz w:val="21"/>
                      <w:szCs w:val="21"/>
                      <w:highlight w:val="none"/>
                      <w:lang w:val="en-US" w:eastAsia="zh-CN"/>
                    </w:rPr>
                  </w:pPr>
                  <w:r>
                    <w:rPr>
                      <w:color w:val="auto"/>
                      <w:sz w:val="21"/>
                      <w:szCs w:val="21"/>
                      <w:highlight w:val="none"/>
                      <w:lang w:val="en-US" w:eastAsia="zh-CN"/>
                    </w:rPr>
                    <w:t>二氧化硫</w:t>
                  </w:r>
                </w:p>
              </w:tc>
              <w:tc>
                <w:tcPr>
                  <w:tcW w:w="622" w:type="pct"/>
                  <w:vMerge w:val="continue"/>
                  <w:tcBorders>
                    <w:tl2br w:val="nil"/>
                    <w:tr2bl w:val="nil"/>
                  </w:tcBorders>
                  <w:vAlign w:val="center"/>
                </w:tcPr>
                <w:p w14:paraId="0EFE7C51">
                  <w:pPr>
                    <w:pStyle w:val="60"/>
                    <w:bidi w:val="0"/>
                    <w:rPr>
                      <w:color w:val="auto"/>
                      <w:sz w:val="21"/>
                      <w:szCs w:val="21"/>
                      <w:highlight w:val="none"/>
                      <w:lang w:val="en-US" w:eastAsia="zh-CN"/>
                    </w:rPr>
                  </w:pPr>
                </w:p>
              </w:tc>
              <w:tc>
                <w:tcPr>
                  <w:tcW w:w="2311" w:type="pct"/>
                  <w:tcBorders>
                    <w:tl2br w:val="nil"/>
                    <w:tr2bl w:val="nil"/>
                  </w:tcBorders>
                  <w:vAlign w:val="center"/>
                </w:tcPr>
                <w:p w14:paraId="5DF9430D">
                  <w:pPr>
                    <w:pStyle w:val="60"/>
                    <w:bidi w:val="0"/>
                    <w:jc w:val="center"/>
                    <w:rPr>
                      <w:color w:val="auto"/>
                      <w:sz w:val="21"/>
                      <w:szCs w:val="21"/>
                      <w:highlight w:val="none"/>
                      <w:lang w:val="en-US" w:eastAsia="zh-CN"/>
                    </w:rPr>
                  </w:pPr>
                  <w:r>
                    <w:rPr>
                      <w:color w:val="auto"/>
                      <w:sz w:val="21"/>
                      <w:szCs w:val="21"/>
                      <w:highlight w:val="none"/>
                      <w:lang w:val="en-US" w:eastAsia="zh-CN"/>
                    </w:rPr>
                    <w:t>窑炉类别：燃煤（油）炉、窑</w:t>
                  </w:r>
                </w:p>
                <w:p w14:paraId="0BEC3364">
                  <w:pPr>
                    <w:pStyle w:val="60"/>
                    <w:bidi w:val="0"/>
                    <w:jc w:val="center"/>
                    <w:rPr>
                      <w:color w:val="auto"/>
                      <w:sz w:val="21"/>
                      <w:szCs w:val="21"/>
                      <w:highlight w:val="none"/>
                      <w:lang w:val="en-US" w:eastAsia="zh-CN"/>
                    </w:rPr>
                  </w:pPr>
                  <w:r>
                    <w:rPr>
                      <w:color w:val="auto"/>
                      <w:sz w:val="21"/>
                      <w:szCs w:val="21"/>
                      <w:highlight w:val="none"/>
                      <w:lang w:val="en-US" w:eastAsia="zh-CN"/>
                    </w:rPr>
                    <w:t>二氧化硫排放浓度：</w:t>
                  </w:r>
                  <w:r>
                    <w:rPr>
                      <w:rFonts w:hint="eastAsia"/>
                      <w:color w:val="auto"/>
                      <w:sz w:val="21"/>
                      <w:szCs w:val="21"/>
                      <w:highlight w:val="none"/>
                      <w:lang w:val="en-US" w:eastAsia="zh-CN"/>
                    </w:rPr>
                    <w:t>850</w:t>
                  </w:r>
                  <w:r>
                    <w:rPr>
                      <w:color w:val="auto"/>
                      <w:sz w:val="21"/>
                      <w:szCs w:val="21"/>
                      <w:highlight w:val="none"/>
                      <w:lang w:val="en-US" w:eastAsia="zh-CN"/>
                    </w:rPr>
                    <w:t>mg/</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p>
              </w:tc>
              <w:tc>
                <w:tcPr>
                  <w:tcW w:w="1221" w:type="pct"/>
                  <w:vMerge w:val="continue"/>
                  <w:tcBorders>
                    <w:tl2br w:val="nil"/>
                    <w:tr2bl w:val="nil"/>
                  </w:tcBorders>
                  <w:vAlign w:val="center"/>
                </w:tcPr>
                <w:p w14:paraId="0DB91C3D">
                  <w:pPr>
                    <w:pStyle w:val="60"/>
                    <w:bidi w:val="0"/>
                    <w:rPr>
                      <w:color w:val="auto"/>
                      <w:sz w:val="21"/>
                      <w:szCs w:val="21"/>
                      <w:highlight w:val="none"/>
                      <w:lang w:val="en-US" w:eastAsia="zh-CN"/>
                    </w:rPr>
                  </w:pPr>
                </w:p>
              </w:tc>
            </w:tr>
            <w:tr w14:paraId="58678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5" w:type="dxa"/>
                  <w:tcBorders>
                    <w:tl2br w:val="nil"/>
                    <w:tr2bl w:val="nil"/>
                  </w:tcBorders>
                  <w:vAlign w:val="center"/>
                </w:tcPr>
                <w:p w14:paraId="65F545A4">
                  <w:pPr>
                    <w:pStyle w:val="60"/>
                    <w:bidi w:val="0"/>
                    <w:ind w:firstLine="0" w:firstLineChars="0"/>
                    <w:rPr>
                      <w:color w:val="auto"/>
                      <w:sz w:val="21"/>
                      <w:szCs w:val="21"/>
                      <w:highlight w:val="none"/>
                      <w:lang w:val="en-US" w:eastAsia="zh-CN"/>
                    </w:rPr>
                  </w:pPr>
                  <w:r>
                    <w:rPr>
                      <w:rFonts w:hint="eastAsia"/>
                      <w:color w:val="auto"/>
                      <w:highlight w:val="none"/>
                      <w:lang w:val="en-US" w:eastAsia="zh-CN"/>
                    </w:rPr>
                    <w:t>颗粒物</w:t>
                  </w:r>
                </w:p>
              </w:tc>
              <w:tc>
                <w:tcPr>
                  <w:tcW w:w="931" w:type="dxa"/>
                  <w:tcBorders>
                    <w:tl2br w:val="nil"/>
                    <w:tr2bl w:val="nil"/>
                  </w:tcBorders>
                  <w:vAlign w:val="center"/>
                </w:tcPr>
                <w:p w14:paraId="0223EC96">
                  <w:pPr>
                    <w:pStyle w:val="60"/>
                    <w:bidi w:val="0"/>
                    <w:ind w:firstLine="0" w:firstLineChars="0"/>
                    <w:rPr>
                      <w:color w:val="auto"/>
                      <w:sz w:val="21"/>
                      <w:szCs w:val="21"/>
                      <w:highlight w:val="none"/>
                      <w:lang w:val="en-US" w:eastAsia="zh-CN"/>
                    </w:rPr>
                  </w:pPr>
                  <w:r>
                    <w:rPr>
                      <w:rFonts w:hint="eastAsia"/>
                      <w:color w:val="auto"/>
                      <w:sz w:val="21"/>
                      <w:szCs w:val="21"/>
                      <w:highlight w:val="none"/>
                      <w:lang w:val="en-US" w:eastAsia="zh-CN"/>
                    </w:rPr>
                    <w:t>无组织</w:t>
                  </w:r>
                </w:p>
              </w:tc>
              <w:tc>
                <w:tcPr>
                  <w:tcW w:w="3459" w:type="dxa"/>
                  <w:tcBorders>
                    <w:tl2br w:val="nil"/>
                    <w:tr2bl w:val="nil"/>
                  </w:tcBorders>
                  <w:vAlign w:val="center"/>
                </w:tcPr>
                <w:p w14:paraId="37FA56A3">
                  <w:pPr>
                    <w:pStyle w:val="60"/>
                    <w:bidi w:val="0"/>
                    <w:jc w:val="center"/>
                    <w:rPr>
                      <w:rFonts w:hint="eastAsia"/>
                      <w:color w:val="auto"/>
                      <w:sz w:val="21"/>
                      <w:szCs w:val="21"/>
                      <w:highlight w:val="none"/>
                      <w:lang w:val="en-US" w:eastAsia="zh-CN"/>
                    </w:rPr>
                  </w:pPr>
                  <w:r>
                    <w:rPr>
                      <w:rFonts w:hint="eastAsia"/>
                      <w:color w:val="auto"/>
                      <w:sz w:val="21"/>
                      <w:szCs w:val="21"/>
                      <w:highlight w:val="none"/>
                      <w:lang w:val="en-US" w:eastAsia="zh-CN"/>
                    </w:rPr>
                    <w:t>有车间厂房</w:t>
                  </w:r>
                </w:p>
                <w:p w14:paraId="580D0CBC">
                  <w:pPr>
                    <w:pStyle w:val="45"/>
                    <w:ind w:left="0" w:leftChars="0" w:firstLine="0" w:firstLineChars="0"/>
                    <w:jc w:val="center"/>
                    <w:rPr>
                      <w:color w:val="auto"/>
                      <w:sz w:val="21"/>
                      <w:szCs w:val="21"/>
                      <w:highlight w:val="none"/>
                      <w:lang w:val="en-US" w:eastAsia="zh-CN"/>
                    </w:rPr>
                  </w:pPr>
                  <w:r>
                    <w:rPr>
                      <w:rFonts w:hint="eastAsia"/>
                      <w:color w:val="auto"/>
                      <w:sz w:val="21"/>
                      <w:szCs w:val="21"/>
                      <w:highlight w:val="none"/>
                      <w:lang w:val="en-US" w:eastAsia="zh-CN"/>
                    </w:rPr>
                    <w:t>其他炉窑5</w:t>
                  </w:r>
                  <w:r>
                    <w:rPr>
                      <w:color w:val="auto"/>
                      <w:sz w:val="21"/>
                      <w:szCs w:val="21"/>
                      <w:highlight w:val="none"/>
                      <w:lang w:val="en-US" w:eastAsia="zh-CN"/>
                    </w:rPr>
                    <w:t>mg/</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p>
              </w:tc>
              <w:tc>
                <w:tcPr>
                  <w:tcW w:w="1828" w:type="dxa"/>
                  <w:tcBorders>
                    <w:tl2br w:val="nil"/>
                    <w:tr2bl w:val="nil"/>
                  </w:tcBorders>
                  <w:vAlign w:val="center"/>
                </w:tcPr>
                <w:p w14:paraId="0E485E06">
                  <w:pPr>
                    <w:pStyle w:val="60"/>
                    <w:bidi w:val="0"/>
                    <w:ind w:firstLine="0" w:firstLineChars="0"/>
                    <w:rPr>
                      <w:color w:val="auto"/>
                      <w:sz w:val="21"/>
                      <w:szCs w:val="21"/>
                      <w:highlight w:val="none"/>
                      <w:lang w:val="en-US" w:eastAsia="zh-CN"/>
                    </w:rPr>
                  </w:pPr>
                  <w:r>
                    <w:rPr>
                      <w:rFonts w:hint="eastAsia"/>
                      <w:color w:val="auto"/>
                      <w:highlight w:val="none"/>
                      <w:lang w:val="en-US" w:eastAsia="zh-CN"/>
                    </w:rPr>
                    <w:t>《工业炉窑大气污染物排放标准》（GB9078-1996）表3要求</w:t>
                  </w:r>
                </w:p>
              </w:tc>
            </w:tr>
          </w:tbl>
          <w:p w14:paraId="6FD09A0B">
            <w:pPr>
              <w:pStyle w:val="52"/>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废水排放标准</w:t>
            </w:r>
          </w:p>
          <w:p w14:paraId="7A60CA30">
            <w:pPr>
              <w:pStyle w:val="46"/>
              <w:bidi w:val="0"/>
              <w:rPr>
                <w:color w:val="auto"/>
                <w:highlight w:val="none"/>
              </w:rPr>
            </w:pPr>
            <w:r>
              <w:rPr>
                <w:color w:val="auto"/>
                <w:highlight w:val="none"/>
              </w:rPr>
              <w:t>项目运营期无生产废水产生，生活污水排入防渗旱厕后定期清掏、外运堆肥。</w:t>
            </w:r>
          </w:p>
          <w:p w14:paraId="096E9660">
            <w:pPr>
              <w:pStyle w:val="46"/>
              <w:bidi w:val="0"/>
              <w:rPr>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噪声排放标准</w:t>
            </w:r>
          </w:p>
          <w:p w14:paraId="2A9771B3">
            <w:pPr>
              <w:pStyle w:val="46"/>
              <w:bidi w:val="0"/>
              <w:rPr>
                <w:color w:val="auto"/>
                <w:highlight w:val="none"/>
              </w:rPr>
            </w:pPr>
            <w:r>
              <w:rPr>
                <w:rFonts w:hint="eastAsia"/>
                <w:color w:val="auto"/>
                <w:highlight w:val="none"/>
              </w:rPr>
              <w:t>本</w:t>
            </w:r>
            <w:r>
              <w:rPr>
                <w:color w:val="auto"/>
                <w:highlight w:val="none"/>
              </w:rPr>
              <w:t>项目厂界执行</w:t>
            </w:r>
            <w:r>
              <w:rPr>
                <w:rFonts w:hint="eastAsia"/>
                <w:color w:val="auto"/>
                <w:highlight w:val="none"/>
                <w:lang w:eastAsia="zh-CN"/>
              </w:rPr>
              <w:t>《工业企业厂界环境噪声排放标准》（GB12348-2008）表1中2类标准</w:t>
            </w:r>
            <w:r>
              <w:rPr>
                <w:rFonts w:hint="default" w:ascii="Times New Roman" w:hAnsi="Times New Roman" w:cs="Times New Roman"/>
                <w:color w:val="auto"/>
                <w:kern w:val="0"/>
                <w:sz w:val="24"/>
                <w:highlight w:val="none"/>
                <w:lang w:eastAsia="zh-CN"/>
              </w:rPr>
              <w:t>。</w:t>
            </w:r>
            <w:r>
              <w:rPr>
                <w:color w:val="auto"/>
                <w:highlight w:val="none"/>
              </w:rPr>
              <w:t>具体标准限值见表3-</w:t>
            </w:r>
            <w:r>
              <w:rPr>
                <w:rFonts w:hint="eastAsia"/>
                <w:color w:val="auto"/>
                <w:highlight w:val="none"/>
                <w:lang w:val="en-US" w:eastAsia="zh-CN"/>
              </w:rPr>
              <w:t>11</w:t>
            </w:r>
            <w:r>
              <w:rPr>
                <w:color w:val="auto"/>
                <w:highlight w:val="none"/>
              </w:rPr>
              <w:t>。</w:t>
            </w:r>
          </w:p>
          <w:p w14:paraId="4680C1A9">
            <w:pPr>
              <w:pStyle w:val="55"/>
              <w:bidi w:val="0"/>
              <w:rPr>
                <w:color w:val="auto"/>
                <w:highlight w:val="none"/>
                <w:lang w:val="en-US" w:eastAsia="zh-CN"/>
              </w:rPr>
            </w:pPr>
            <w:r>
              <w:rPr>
                <w:color w:val="auto"/>
                <w:highlight w:val="none"/>
                <w:lang w:val="en-US" w:eastAsia="zh-CN"/>
              </w:rPr>
              <w:t>表3-</w:t>
            </w:r>
            <w:r>
              <w:rPr>
                <w:rFonts w:hint="eastAsia"/>
                <w:color w:val="auto"/>
                <w:highlight w:val="none"/>
                <w:lang w:val="en-US" w:eastAsia="zh-CN"/>
              </w:rPr>
              <w:t xml:space="preserve">11 </w:t>
            </w:r>
            <w:r>
              <w:rPr>
                <w:color w:val="auto"/>
                <w:highlight w:val="none"/>
                <w:lang w:val="en-US" w:eastAsia="zh-CN"/>
              </w:rPr>
              <w:t xml:space="preserve">  厂界环境噪声排放标准</w:t>
            </w:r>
          </w:p>
          <w:tbl>
            <w:tblPr>
              <w:tblStyle w:val="38"/>
              <w:tblW w:w="0" w:type="auto"/>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108" w:type="dxa"/>
                <w:bottom w:w="0" w:type="dxa"/>
                <w:right w:w="108" w:type="dxa"/>
              </w:tblCellMar>
            </w:tblPr>
            <w:tblGrid>
              <w:gridCol w:w="2198"/>
              <w:gridCol w:w="849"/>
              <w:gridCol w:w="851"/>
              <w:gridCol w:w="3589"/>
            </w:tblGrid>
            <w:tr w14:paraId="48830FE4">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1467" w:type="pct"/>
                  <w:vAlign w:val="center"/>
                </w:tcPr>
                <w:p w14:paraId="182A815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p>
              </w:tc>
              <w:tc>
                <w:tcPr>
                  <w:tcW w:w="567" w:type="pct"/>
                  <w:vAlign w:val="center"/>
                </w:tcPr>
                <w:p w14:paraId="2A24380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p>
              </w:tc>
              <w:tc>
                <w:tcPr>
                  <w:tcW w:w="568" w:type="pct"/>
                  <w:vAlign w:val="center"/>
                </w:tcPr>
                <w:p w14:paraId="5442990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p>
              </w:tc>
              <w:tc>
                <w:tcPr>
                  <w:tcW w:w="2396" w:type="pct"/>
                  <w:vAlign w:val="center"/>
                </w:tcPr>
                <w:p w14:paraId="091AE3B2">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依据</w:t>
                  </w:r>
                </w:p>
              </w:tc>
            </w:tr>
            <w:tr w14:paraId="25D5D12C">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1467" w:type="pct"/>
                  <w:vAlign w:val="center"/>
                </w:tcPr>
                <w:p w14:paraId="6B43D393">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营运期</w:t>
                  </w:r>
                  <w:r>
                    <w:rPr>
                      <w:rFonts w:hint="default" w:ascii="Times New Roman" w:hAnsi="Times New Roman" w:cs="Times New Roman"/>
                      <w:color w:val="auto"/>
                      <w:highlight w:val="none"/>
                      <w:lang w:val="en-US" w:eastAsia="zh-CN"/>
                    </w:rPr>
                    <w:t>厂界</w:t>
                  </w:r>
                </w:p>
              </w:tc>
              <w:tc>
                <w:tcPr>
                  <w:tcW w:w="567" w:type="pct"/>
                  <w:vAlign w:val="center"/>
                </w:tcPr>
                <w:p w14:paraId="5589A3B3">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60</w:t>
                  </w:r>
                </w:p>
              </w:tc>
              <w:tc>
                <w:tcPr>
                  <w:tcW w:w="568" w:type="pct"/>
                  <w:vAlign w:val="center"/>
                </w:tcPr>
                <w:p w14:paraId="2F47836B">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w:t>
                  </w:r>
                </w:p>
              </w:tc>
              <w:tc>
                <w:tcPr>
                  <w:tcW w:w="2396" w:type="pct"/>
                  <w:vAlign w:val="center"/>
                </w:tcPr>
                <w:p w14:paraId="3A1737A7">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《工业企业厂界环境噪声排放标准》（GB12348-2008）</w:t>
                  </w:r>
                  <w:r>
                    <w:rPr>
                      <w:rFonts w:hint="eastAsia" w:cs="Times New Roman"/>
                      <w:color w:val="auto"/>
                      <w:highlight w:val="none"/>
                      <w:lang w:eastAsia="zh-CN"/>
                    </w:rPr>
                    <w:t>表1中2类</w:t>
                  </w:r>
                  <w:r>
                    <w:rPr>
                      <w:rFonts w:hint="default" w:ascii="Times New Roman" w:hAnsi="Times New Roman" w:cs="Times New Roman"/>
                      <w:color w:val="auto"/>
                      <w:highlight w:val="none"/>
                    </w:rPr>
                    <w:t>标准</w:t>
                  </w:r>
                </w:p>
              </w:tc>
            </w:tr>
          </w:tbl>
          <w:p w14:paraId="08DC9964">
            <w:pPr>
              <w:pStyle w:val="52"/>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固体废物排放标准</w:t>
            </w:r>
          </w:p>
          <w:p w14:paraId="4859ABA2">
            <w:pPr>
              <w:pStyle w:val="46"/>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一般固废的暂存和处置执行《固体废物分类与代码目录2024》和《中华人民共和国固体废物污染环境防治法》（2020年9</w:t>
            </w:r>
            <w:r>
              <w:rPr>
                <w:rFonts w:hint="eastAsia" w:cs="Times New Roman"/>
                <w:color w:val="auto"/>
                <w:highlight w:val="none"/>
                <w:lang w:eastAsia="zh-CN"/>
              </w:rPr>
              <w:t>月1日起施行）</w:t>
            </w:r>
            <w:r>
              <w:rPr>
                <w:rFonts w:hint="default" w:ascii="Times New Roman" w:hAnsi="Times New Roman" w:cs="Times New Roman"/>
                <w:color w:val="auto"/>
                <w:highlight w:val="none"/>
              </w:rPr>
              <w:t>中的有关规定，贮存过程参照《一般工业固体废物贮存和填埋污染控制标准》（GB18599-2020）应满足防渗漏、防雨淋、防扬尘等环境保护要求。</w:t>
            </w:r>
          </w:p>
        </w:tc>
      </w:tr>
      <w:tr w14:paraId="363A7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1" w:hRule="atLeast"/>
          <w:jc w:val="center"/>
        </w:trPr>
        <w:tc>
          <w:tcPr>
            <w:tcW w:w="481" w:type="pct"/>
            <w:noWrap w:val="0"/>
            <w:vAlign w:val="center"/>
          </w:tcPr>
          <w:p w14:paraId="15CF772A">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总量</w:t>
            </w:r>
          </w:p>
          <w:p w14:paraId="001011BA">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控制</w:t>
            </w:r>
          </w:p>
          <w:p w14:paraId="6F25C41E">
            <w:pPr>
              <w:adjustRightInd w:val="0"/>
              <w:snapToGrid w:val="0"/>
              <w:spacing w:line="240"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指标</w:t>
            </w:r>
          </w:p>
        </w:tc>
        <w:tc>
          <w:tcPr>
            <w:tcW w:w="4518" w:type="pct"/>
            <w:noWrap w:val="0"/>
            <w:vAlign w:val="center"/>
          </w:tcPr>
          <w:p w14:paraId="77E32552">
            <w:pPr>
              <w:pStyle w:val="50"/>
              <w:keepNext w:val="0"/>
              <w:keepLines w:val="0"/>
              <w:pageBreakBefore w:val="0"/>
              <w:widowControl w:val="0"/>
              <w:kinsoku/>
              <w:wordWrap w:val="0"/>
              <w:overflowPunct/>
              <w:topLinePunct w:val="0"/>
              <w:autoSpaceDE/>
              <w:autoSpaceDN/>
              <w:bidi w:val="0"/>
              <w:adjustRightInd/>
              <w:snapToGrid/>
              <w:spacing w:before="157" w:beforeLines="50"/>
              <w:textAlignment w:val="auto"/>
              <w:rPr>
                <w:rFonts w:hint="default" w:eastAsia="宋体"/>
                <w:color w:val="auto"/>
                <w:highlight w:val="none"/>
                <w:lang w:val="en-US" w:eastAsia="zh-CN"/>
              </w:rPr>
            </w:pPr>
            <w:r>
              <w:rPr>
                <w:rFonts w:hint="default"/>
                <w:color w:val="auto"/>
                <w:highlight w:val="none"/>
              </w:rPr>
              <w:t>表3-</w:t>
            </w:r>
            <w:r>
              <w:rPr>
                <w:rFonts w:hint="eastAsia"/>
                <w:color w:val="auto"/>
                <w:highlight w:val="none"/>
                <w:lang w:val="en-US" w:eastAsia="zh-CN"/>
              </w:rPr>
              <w:t xml:space="preserve">12  </w:t>
            </w:r>
            <w:r>
              <w:rPr>
                <w:rFonts w:hint="default"/>
                <w:color w:val="auto"/>
                <w:highlight w:val="none"/>
              </w:rPr>
              <w:t xml:space="preserve"> </w:t>
            </w:r>
            <w:r>
              <w:rPr>
                <w:rFonts w:hint="eastAsia"/>
                <w:color w:val="auto"/>
                <w:highlight w:val="none"/>
                <w:lang w:val="en-US" w:eastAsia="zh-CN"/>
              </w:rPr>
              <w:t>本项目</w:t>
            </w:r>
            <w:r>
              <w:rPr>
                <w:rFonts w:hint="default"/>
                <w:color w:val="auto"/>
                <w:highlight w:val="none"/>
              </w:rPr>
              <w:t>总量控制表</w:t>
            </w:r>
            <w:r>
              <w:rPr>
                <w:rFonts w:hint="eastAsia"/>
                <w:color w:val="auto"/>
                <w:highlight w:val="none"/>
                <w:lang w:val="en-US" w:eastAsia="zh-CN"/>
              </w:rPr>
              <w:t xml:space="preserve">  单位：t/a</w:t>
            </w:r>
          </w:p>
          <w:tbl>
            <w:tblPr>
              <w:tblStyle w:val="3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209"/>
              <w:gridCol w:w="2209"/>
              <w:gridCol w:w="2209"/>
            </w:tblGrid>
            <w:tr w14:paraId="74EDD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4" w:type="pct"/>
                  <w:tcBorders>
                    <w:tl2br w:val="nil"/>
                    <w:tr2bl w:val="nil"/>
                  </w:tcBorders>
                  <w:noWrap w:val="0"/>
                  <w:vAlign w:val="center"/>
                </w:tcPr>
                <w:p w14:paraId="03098032">
                  <w:pPr>
                    <w:pStyle w:val="60"/>
                    <w:bidi w:val="0"/>
                    <w:rPr>
                      <w:rFonts w:hint="default"/>
                      <w:color w:val="auto"/>
                      <w:highlight w:val="none"/>
                    </w:rPr>
                  </w:pPr>
                  <w:r>
                    <w:rPr>
                      <w:rFonts w:hint="default"/>
                      <w:color w:val="auto"/>
                      <w:highlight w:val="none"/>
                    </w:rPr>
                    <w:t>类别</w:t>
                  </w:r>
                </w:p>
              </w:tc>
              <w:tc>
                <w:tcPr>
                  <w:tcW w:w="1475" w:type="pct"/>
                  <w:tcBorders>
                    <w:tl2br w:val="nil"/>
                    <w:tr2bl w:val="nil"/>
                  </w:tcBorders>
                  <w:noWrap w:val="0"/>
                  <w:vAlign w:val="center"/>
                </w:tcPr>
                <w:p w14:paraId="3E6A48B6">
                  <w:pPr>
                    <w:pStyle w:val="60"/>
                    <w:bidi w:val="0"/>
                    <w:rPr>
                      <w:rFonts w:hint="default"/>
                      <w:color w:val="auto"/>
                      <w:highlight w:val="none"/>
                    </w:rPr>
                  </w:pPr>
                  <w:r>
                    <w:rPr>
                      <w:rFonts w:hint="default"/>
                      <w:color w:val="auto"/>
                      <w:highlight w:val="none"/>
                    </w:rPr>
                    <w:t>污染物</w:t>
                  </w:r>
                </w:p>
              </w:tc>
              <w:tc>
                <w:tcPr>
                  <w:tcW w:w="1475" w:type="pct"/>
                  <w:tcBorders>
                    <w:tl2br w:val="nil"/>
                    <w:tr2bl w:val="nil"/>
                  </w:tcBorders>
                  <w:noWrap w:val="0"/>
                  <w:vAlign w:val="center"/>
                </w:tcPr>
                <w:p w14:paraId="7C5974A4">
                  <w:pPr>
                    <w:pStyle w:val="60"/>
                    <w:bidi w:val="0"/>
                    <w:rPr>
                      <w:rFonts w:hint="default"/>
                      <w:color w:val="auto"/>
                      <w:highlight w:val="none"/>
                    </w:rPr>
                  </w:pPr>
                  <w:r>
                    <w:rPr>
                      <w:rFonts w:hint="default"/>
                      <w:color w:val="auto"/>
                      <w:highlight w:val="none"/>
                    </w:rPr>
                    <w:t>预测排放量</w:t>
                  </w:r>
                </w:p>
              </w:tc>
              <w:tc>
                <w:tcPr>
                  <w:tcW w:w="1475" w:type="pct"/>
                  <w:tcBorders>
                    <w:tl2br w:val="nil"/>
                    <w:tr2bl w:val="nil"/>
                  </w:tcBorders>
                  <w:noWrap w:val="0"/>
                  <w:vAlign w:val="center"/>
                </w:tcPr>
                <w:p w14:paraId="13EA5FFB">
                  <w:pPr>
                    <w:pStyle w:val="60"/>
                    <w:bidi w:val="0"/>
                    <w:rPr>
                      <w:rFonts w:hint="eastAsia" w:eastAsia="宋体"/>
                      <w:color w:val="auto"/>
                      <w:highlight w:val="none"/>
                      <w:lang w:val="en-US" w:eastAsia="zh-CN"/>
                    </w:rPr>
                  </w:pPr>
                  <w:r>
                    <w:rPr>
                      <w:rFonts w:hint="eastAsia"/>
                      <w:color w:val="auto"/>
                      <w:highlight w:val="none"/>
                      <w:lang w:val="en-US" w:eastAsia="zh-CN"/>
                    </w:rPr>
                    <w:t>核定排放量</w:t>
                  </w:r>
                </w:p>
              </w:tc>
            </w:tr>
            <w:tr w14:paraId="6B22B2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4" w:type="pct"/>
                  <w:vMerge w:val="restart"/>
                  <w:tcBorders>
                    <w:tl2br w:val="nil"/>
                    <w:tr2bl w:val="nil"/>
                  </w:tcBorders>
                  <w:noWrap w:val="0"/>
                  <w:vAlign w:val="center"/>
                </w:tcPr>
                <w:p w14:paraId="562B3AF4">
                  <w:pPr>
                    <w:pStyle w:val="60"/>
                    <w:bidi w:val="0"/>
                    <w:rPr>
                      <w:rFonts w:hint="default"/>
                      <w:color w:val="auto"/>
                      <w:highlight w:val="none"/>
                      <w:lang w:val="en-US" w:eastAsia="zh-CN"/>
                    </w:rPr>
                  </w:pPr>
                  <w:r>
                    <w:rPr>
                      <w:rFonts w:hint="eastAsia"/>
                      <w:color w:val="auto"/>
                      <w:highlight w:val="none"/>
                      <w:lang w:val="en-US" w:eastAsia="zh-CN"/>
                    </w:rPr>
                    <w:t>废气</w:t>
                  </w:r>
                </w:p>
              </w:tc>
              <w:tc>
                <w:tcPr>
                  <w:tcW w:w="1475" w:type="pct"/>
                  <w:tcBorders>
                    <w:tl2br w:val="nil"/>
                    <w:tr2bl w:val="nil"/>
                  </w:tcBorders>
                  <w:shd w:val="clear" w:color="auto" w:fill="auto"/>
                  <w:noWrap w:val="0"/>
                  <w:vAlign w:val="center"/>
                </w:tcPr>
                <w:p w14:paraId="3318A7A3">
                  <w:pPr>
                    <w:pStyle w:val="60"/>
                    <w:bidi w:val="0"/>
                    <w:rPr>
                      <w:rFonts w:hint="default"/>
                      <w:color w:val="auto"/>
                      <w:highlight w:val="none"/>
                      <w:lang w:val="en-US" w:eastAsia="zh-CN"/>
                    </w:rPr>
                  </w:pPr>
                  <w:r>
                    <w:rPr>
                      <w:rFonts w:hint="eastAsia"/>
                      <w:color w:val="auto"/>
                      <w:highlight w:val="none"/>
                      <w:lang w:val="en-US" w:eastAsia="zh-CN"/>
                    </w:rPr>
                    <w:t>颗粒物</w:t>
                  </w:r>
                </w:p>
              </w:tc>
              <w:tc>
                <w:tcPr>
                  <w:tcW w:w="1475" w:type="pct"/>
                  <w:tcBorders>
                    <w:tl2br w:val="nil"/>
                    <w:tr2bl w:val="nil"/>
                  </w:tcBorders>
                  <w:shd w:val="clear" w:color="auto" w:fill="auto"/>
                  <w:noWrap w:val="0"/>
                  <w:vAlign w:val="center"/>
                </w:tcPr>
                <w:p w14:paraId="47D46546">
                  <w:pPr>
                    <w:pStyle w:val="48"/>
                    <w:bidi w:val="0"/>
                    <w:rPr>
                      <w:rFonts w:hint="default"/>
                      <w:highlight w:val="none"/>
                      <w:lang w:val="en-US" w:eastAsia="zh-CN"/>
                    </w:rPr>
                  </w:pPr>
                  <w:r>
                    <w:rPr>
                      <w:rFonts w:hint="eastAsia"/>
                      <w:highlight w:val="none"/>
                      <w:lang w:val="en-US" w:eastAsia="zh-CN"/>
                    </w:rPr>
                    <w:t>0.0585</w:t>
                  </w:r>
                </w:p>
              </w:tc>
              <w:tc>
                <w:tcPr>
                  <w:tcW w:w="1475" w:type="pct"/>
                  <w:tcBorders>
                    <w:tl2br w:val="nil"/>
                    <w:tr2bl w:val="nil"/>
                  </w:tcBorders>
                  <w:shd w:val="clear" w:color="auto" w:fill="auto"/>
                  <w:noWrap w:val="0"/>
                  <w:vAlign w:val="center"/>
                </w:tcPr>
                <w:p w14:paraId="1A0116A9">
                  <w:pPr>
                    <w:pStyle w:val="48"/>
                    <w:bidi w:val="0"/>
                    <w:rPr>
                      <w:rFonts w:hint="default"/>
                      <w:highlight w:val="none"/>
                      <w:lang w:val="en-US" w:eastAsia="zh-CN"/>
                    </w:rPr>
                  </w:pPr>
                  <w:r>
                    <w:rPr>
                      <w:rFonts w:hint="eastAsia"/>
                      <w:highlight w:val="none"/>
                      <w:lang w:val="en-US" w:eastAsia="zh-CN"/>
                    </w:rPr>
                    <w:t>0.8052</w:t>
                  </w:r>
                </w:p>
              </w:tc>
            </w:tr>
            <w:tr w14:paraId="194C9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4" w:type="pct"/>
                  <w:vMerge w:val="continue"/>
                  <w:tcBorders>
                    <w:tl2br w:val="nil"/>
                    <w:tr2bl w:val="nil"/>
                  </w:tcBorders>
                  <w:noWrap w:val="0"/>
                  <w:vAlign w:val="center"/>
                </w:tcPr>
                <w:p w14:paraId="1EB7A801">
                  <w:pPr>
                    <w:pStyle w:val="60"/>
                    <w:bidi w:val="0"/>
                    <w:rPr>
                      <w:rFonts w:hint="eastAsia"/>
                      <w:color w:val="auto"/>
                      <w:highlight w:val="none"/>
                      <w:lang w:val="en-US" w:eastAsia="zh-CN"/>
                    </w:rPr>
                  </w:pPr>
                </w:p>
              </w:tc>
              <w:tc>
                <w:tcPr>
                  <w:tcW w:w="1475" w:type="pct"/>
                  <w:tcBorders>
                    <w:tl2br w:val="nil"/>
                    <w:tr2bl w:val="nil"/>
                  </w:tcBorders>
                  <w:shd w:val="clear" w:color="auto" w:fill="auto"/>
                  <w:noWrap w:val="0"/>
                  <w:vAlign w:val="center"/>
                </w:tcPr>
                <w:p w14:paraId="7B60D3C1">
                  <w:pPr>
                    <w:pStyle w:val="60"/>
                    <w:bidi w:val="0"/>
                    <w:rPr>
                      <w:rFonts w:hint="eastAsia" w:eastAsia="宋体"/>
                      <w:color w:val="auto"/>
                      <w:highlight w:val="none"/>
                      <w:lang w:val="en-US" w:eastAsia="zh-CN"/>
                    </w:rPr>
                  </w:pPr>
                  <w:r>
                    <w:rPr>
                      <w:rFonts w:hint="eastAsia"/>
                      <w:color w:val="auto"/>
                      <w:highlight w:val="none"/>
                      <w:lang w:val="en-US" w:eastAsia="zh-CN"/>
                    </w:rPr>
                    <w:t>二氧化硫</w:t>
                  </w:r>
                </w:p>
              </w:tc>
              <w:tc>
                <w:tcPr>
                  <w:tcW w:w="1475" w:type="pct"/>
                  <w:tcBorders>
                    <w:tl2br w:val="nil"/>
                    <w:tr2bl w:val="nil"/>
                  </w:tcBorders>
                  <w:noWrap w:val="0"/>
                  <w:vAlign w:val="center"/>
                </w:tcPr>
                <w:p w14:paraId="18C3AF64">
                  <w:pPr>
                    <w:pStyle w:val="48"/>
                    <w:bidi w:val="0"/>
                    <w:rPr>
                      <w:rFonts w:hint="default"/>
                      <w:highlight w:val="none"/>
                      <w:lang w:val="en-US" w:eastAsia="zh-CN"/>
                    </w:rPr>
                  </w:pPr>
                  <w:r>
                    <w:rPr>
                      <w:rFonts w:hint="eastAsia"/>
                      <w:highlight w:val="none"/>
                      <w:lang w:val="en-US" w:eastAsia="zh-CN"/>
                    </w:rPr>
                    <w:t>1.0980</w:t>
                  </w:r>
                </w:p>
              </w:tc>
              <w:tc>
                <w:tcPr>
                  <w:tcW w:w="1475" w:type="pct"/>
                  <w:tcBorders>
                    <w:tl2br w:val="nil"/>
                    <w:tr2bl w:val="nil"/>
                  </w:tcBorders>
                  <w:noWrap w:val="0"/>
                  <w:vAlign w:val="center"/>
                </w:tcPr>
                <w:p w14:paraId="3F74F937">
                  <w:pPr>
                    <w:pStyle w:val="48"/>
                    <w:bidi w:val="0"/>
                    <w:rPr>
                      <w:rFonts w:hint="default"/>
                      <w:highlight w:val="none"/>
                      <w:lang w:val="en-US" w:eastAsia="zh-CN"/>
                    </w:rPr>
                  </w:pPr>
                  <w:r>
                    <w:rPr>
                      <w:rFonts w:hint="eastAsia"/>
                      <w:highlight w:val="none"/>
                      <w:lang w:val="en-US" w:eastAsia="zh-CN"/>
                    </w:rPr>
                    <w:t>2.6780</w:t>
                  </w:r>
                </w:p>
              </w:tc>
            </w:tr>
            <w:tr w14:paraId="0381DE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4" w:type="pct"/>
                  <w:vMerge w:val="continue"/>
                  <w:tcBorders>
                    <w:tl2br w:val="nil"/>
                    <w:tr2bl w:val="nil"/>
                  </w:tcBorders>
                  <w:noWrap w:val="0"/>
                  <w:vAlign w:val="center"/>
                </w:tcPr>
                <w:p w14:paraId="0AF1CBC9">
                  <w:pPr>
                    <w:pStyle w:val="60"/>
                    <w:bidi w:val="0"/>
                    <w:rPr>
                      <w:rFonts w:hint="eastAsia"/>
                      <w:color w:val="auto"/>
                      <w:highlight w:val="none"/>
                      <w:lang w:val="en-US" w:eastAsia="zh-CN"/>
                    </w:rPr>
                  </w:pPr>
                </w:p>
              </w:tc>
              <w:tc>
                <w:tcPr>
                  <w:tcW w:w="1475" w:type="pct"/>
                  <w:tcBorders>
                    <w:tl2br w:val="nil"/>
                    <w:tr2bl w:val="nil"/>
                  </w:tcBorders>
                  <w:shd w:val="clear" w:color="auto" w:fill="auto"/>
                  <w:noWrap w:val="0"/>
                  <w:vAlign w:val="center"/>
                </w:tcPr>
                <w:p w14:paraId="6883DE54">
                  <w:pPr>
                    <w:pStyle w:val="60"/>
                    <w:bidi w:val="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rPr>
                    <w:t>氮氧化物</w:t>
                  </w:r>
                </w:p>
              </w:tc>
              <w:tc>
                <w:tcPr>
                  <w:tcW w:w="1475" w:type="pct"/>
                  <w:tcBorders>
                    <w:tl2br w:val="nil"/>
                    <w:tr2bl w:val="nil"/>
                  </w:tcBorders>
                  <w:shd w:val="clear" w:color="auto" w:fill="auto"/>
                  <w:noWrap w:val="0"/>
                  <w:vAlign w:val="center"/>
                </w:tcPr>
                <w:p w14:paraId="0460B163">
                  <w:pPr>
                    <w:pStyle w:val="48"/>
                    <w:bidi w:val="0"/>
                    <w:rPr>
                      <w:rFonts w:hint="default"/>
                      <w:highlight w:val="none"/>
                      <w:lang w:val="en-US" w:eastAsia="zh-CN"/>
                    </w:rPr>
                  </w:pPr>
                  <w:r>
                    <w:rPr>
                      <w:rFonts w:hint="eastAsia"/>
                      <w:highlight w:val="none"/>
                      <w:lang w:val="en-US" w:eastAsia="zh-CN"/>
                    </w:rPr>
                    <w:t>3.1111</w:t>
                  </w:r>
                </w:p>
              </w:tc>
              <w:tc>
                <w:tcPr>
                  <w:tcW w:w="1475" w:type="pct"/>
                  <w:tcBorders>
                    <w:tl2br w:val="nil"/>
                    <w:tr2bl w:val="nil"/>
                  </w:tcBorders>
                  <w:shd w:val="clear" w:color="auto" w:fill="auto"/>
                  <w:noWrap w:val="0"/>
                  <w:vAlign w:val="center"/>
                </w:tcPr>
                <w:p w14:paraId="01DB86FC">
                  <w:pPr>
                    <w:pStyle w:val="48"/>
                    <w:bidi w:val="0"/>
                    <w:rPr>
                      <w:rFonts w:hint="default"/>
                      <w:highlight w:val="none"/>
                      <w:lang w:val="en-US" w:eastAsia="zh-CN"/>
                    </w:rPr>
                  </w:pPr>
                  <w:r>
                    <w:rPr>
                      <w:rFonts w:hint="eastAsia"/>
                      <w:highlight w:val="none"/>
                      <w:lang w:val="en-US" w:eastAsia="zh-CN"/>
                    </w:rPr>
                    <w:t>8.0310</w:t>
                  </w:r>
                </w:p>
              </w:tc>
            </w:tr>
          </w:tbl>
          <w:p w14:paraId="7FA67D4E">
            <w:pPr>
              <w:pStyle w:val="46"/>
              <w:ind w:left="0" w:leftChars="0" w:firstLine="0" w:firstLineChars="0"/>
              <w:rPr>
                <w:rFonts w:hint="default" w:ascii="Times New Roman" w:hAnsi="Times New Roman" w:cs="Times New Roman"/>
                <w:color w:val="auto"/>
                <w:kern w:val="0"/>
                <w:szCs w:val="21"/>
                <w:highlight w:val="none"/>
              </w:rPr>
            </w:pPr>
          </w:p>
        </w:tc>
      </w:tr>
    </w:tbl>
    <w:p w14:paraId="0FC345F7">
      <w:pPr>
        <w:spacing w:line="240" w:lineRule="auto"/>
        <w:rPr>
          <w:rFonts w:hint="default" w:ascii="Times New Roman" w:hAnsi="Times New Roman" w:cs="Times New Roman"/>
          <w:snapToGrid w:val="0"/>
          <w:color w:val="auto"/>
          <w:sz w:val="21"/>
          <w:szCs w:val="21"/>
          <w:highlight w:val="none"/>
        </w:rPr>
      </w:pPr>
      <w:r>
        <w:rPr>
          <w:rFonts w:hint="default" w:ascii="Times New Roman" w:hAnsi="Times New Roman" w:cs="Times New Roman"/>
          <w:snapToGrid w:val="0"/>
          <w:color w:val="auto"/>
          <w:sz w:val="21"/>
          <w:szCs w:val="21"/>
          <w:highlight w:val="none"/>
        </w:rPr>
        <w:br w:type="page"/>
      </w:r>
    </w:p>
    <w:p w14:paraId="6E47F577">
      <w:pPr>
        <w:wordWrap w:val="0"/>
        <w:topLinePunct/>
        <w:jc w:val="center"/>
        <w:outlineLvl w:val="0"/>
        <w:rPr>
          <w:rFonts w:hint="default" w:ascii="Times New Roman" w:hAnsi="Times New Roman" w:cs="Times New Roman"/>
          <w:b/>
          <w:snapToGrid w:val="0"/>
          <w:color w:val="auto"/>
          <w:sz w:val="30"/>
          <w:szCs w:val="30"/>
          <w:highlight w:val="none"/>
        </w:rPr>
      </w:pPr>
      <w:bookmarkStart w:id="10" w:name="_Toc18901"/>
      <w:r>
        <w:rPr>
          <w:rFonts w:hint="default" w:ascii="Times New Roman" w:hAnsi="Times New Roman" w:cs="Times New Roman"/>
          <w:b/>
          <w:snapToGrid w:val="0"/>
          <w:color w:val="auto"/>
          <w:sz w:val="30"/>
          <w:szCs w:val="30"/>
          <w:highlight w:val="none"/>
        </w:rPr>
        <w:t>四、主要环境影响和保护措施</w:t>
      </w:r>
      <w:bookmarkEnd w:id="10"/>
    </w:p>
    <w:tbl>
      <w:tblPr>
        <w:tblStyle w:val="38"/>
        <w:tblW w:w="50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2"/>
        <w:gridCol w:w="7811"/>
      </w:tblGrid>
      <w:tr w14:paraId="33C63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noWrap w:val="0"/>
            <w:tcMar>
              <w:left w:w="28" w:type="dxa"/>
              <w:right w:w="28" w:type="dxa"/>
            </w:tcMar>
            <w:vAlign w:val="center"/>
          </w:tcPr>
          <w:p w14:paraId="3FA48C4B">
            <w:pPr>
              <w:overflowPunct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w:t>
            </w:r>
          </w:p>
          <w:p w14:paraId="5953266E">
            <w:pPr>
              <w:overflowPunct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期环</w:t>
            </w:r>
          </w:p>
          <w:p w14:paraId="0B5F3771">
            <w:pPr>
              <w:overflowPunct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境保</w:t>
            </w:r>
          </w:p>
          <w:p w14:paraId="48301F9C">
            <w:pPr>
              <w:overflowPunct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护措</w:t>
            </w:r>
          </w:p>
          <w:p w14:paraId="33F2CA2B">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color w:val="auto"/>
                <w:highlight w:val="none"/>
              </w:rPr>
              <w:t>施</w:t>
            </w:r>
          </w:p>
        </w:tc>
        <w:tc>
          <w:tcPr>
            <w:tcW w:w="4539" w:type="pct"/>
            <w:noWrap w:val="0"/>
            <w:vAlign w:val="center"/>
          </w:tcPr>
          <w:p w14:paraId="2D1AABA3">
            <w:pPr>
              <w:pStyle w:val="52"/>
              <w:spacing w:before="120"/>
              <w:ind w:firstLine="482"/>
              <w:rPr>
                <w:rFonts w:hint="default"/>
                <w:b/>
                <w:bCs/>
                <w:color w:val="auto"/>
                <w:highlight w:val="none"/>
              </w:rPr>
            </w:pPr>
            <w:r>
              <w:rPr>
                <w:rFonts w:hint="default"/>
                <w:b/>
                <w:bCs/>
                <w:color w:val="auto"/>
                <w:highlight w:val="none"/>
              </w:rPr>
              <w:t>一、废气</w:t>
            </w:r>
          </w:p>
          <w:p w14:paraId="5886E22F">
            <w:pPr>
              <w:pStyle w:val="46"/>
              <w:bidi w:val="0"/>
              <w:rPr>
                <w:color w:val="auto"/>
                <w:highlight w:val="none"/>
              </w:rPr>
            </w:pPr>
            <w:r>
              <w:rPr>
                <w:color w:val="auto"/>
                <w:highlight w:val="none"/>
              </w:rPr>
              <w:t>本项目主要影响源为施工机械、运输车辆</w:t>
            </w:r>
            <w:r>
              <w:rPr>
                <w:rFonts w:hint="eastAsia"/>
                <w:color w:val="auto"/>
                <w:highlight w:val="none"/>
                <w:lang w:eastAsia="zh-CN"/>
              </w:rPr>
              <w:t>尾气</w:t>
            </w:r>
            <w:r>
              <w:rPr>
                <w:color w:val="auto"/>
                <w:highlight w:val="none"/>
              </w:rPr>
              <w:t>，以及施工引起的粉尘和土料运输引起的道路扬尘等。汽车尾气在当地大气条件下很容易扩散，对环境影响很小。</w:t>
            </w:r>
          </w:p>
          <w:p w14:paraId="49FEBAE1">
            <w:pPr>
              <w:pStyle w:val="46"/>
              <w:bidi w:val="0"/>
              <w:rPr>
                <w:color w:val="auto"/>
                <w:highlight w:val="none"/>
              </w:rPr>
            </w:pPr>
            <w:r>
              <w:rPr>
                <w:color w:val="auto"/>
                <w:highlight w:val="none"/>
              </w:rPr>
              <w:t>从扬尘的来源看，施工期扬尘主要有</w:t>
            </w:r>
            <w:r>
              <w:rPr>
                <w:rFonts w:hint="eastAsia"/>
                <w:color w:val="auto"/>
                <w:highlight w:val="none"/>
              </w:rPr>
              <w:t>以下两种</w:t>
            </w:r>
            <w:r>
              <w:rPr>
                <w:color w:val="auto"/>
                <w:highlight w:val="none"/>
              </w:rPr>
              <w:t>：</w:t>
            </w:r>
          </w:p>
          <w:p w14:paraId="518BD55A">
            <w:pPr>
              <w:pStyle w:val="46"/>
              <w:bidi w:val="0"/>
              <w:rPr>
                <w:color w:val="auto"/>
                <w:highlight w:val="none"/>
              </w:rPr>
            </w:pPr>
            <w:r>
              <w:rPr>
                <w:color w:val="auto"/>
                <w:highlight w:val="none"/>
              </w:rPr>
              <w:t>（1）建筑材料产生的扬尘</w:t>
            </w:r>
          </w:p>
          <w:p w14:paraId="44B46D13">
            <w:pPr>
              <w:pStyle w:val="46"/>
              <w:bidi w:val="0"/>
              <w:rPr>
                <w:color w:val="auto"/>
                <w:highlight w:val="none"/>
              </w:rPr>
            </w:pPr>
            <w:r>
              <w:rPr>
                <w:color w:val="auto"/>
                <w:highlight w:val="none"/>
              </w:rPr>
              <w:t>本项目使用商品混凝土不设置搅拌站，施工场地周围建筑材料</w:t>
            </w:r>
            <w:r>
              <w:rPr>
                <w:rFonts w:hint="eastAsia"/>
                <w:color w:val="auto"/>
                <w:highlight w:val="none"/>
              </w:rPr>
              <w:t>以及</w:t>
            </w:r>
            <w:r>
              <w:rPr>
                <w:color w:val="auto"/>
                <w:highlight w:val="none"/>
              </w:rPr>
              <w:t>运输车辆在运载散装建材时，由于超载或无防护措施，常在运输途中散落，会产生大量扬尘。</w:t>
            </w:r>
          </w:p>
          <w:p w14:paraId="5BC7F318">
            <w:pPr>
              <w:pStyle w:val="46"/>
              <w:bidi w:val="0"/>
              <w:rPr>
                <w:color w:val="auto"/>
                <w:highlight w:val="none"/>
              </w:rPr>
            </w:pPr>
            <w:r>
              <w:rPr>
                <w:color w:val="auto"/>
                <w:highlight w:val="none"/>
              </w:rPr>
              <w:t>（2）运输机械产生的扬尘</w:t>
            </w:r>
          </w:p>
          <w:p w14:paraId="29371BB1">
            <w:pPr>
              <w:pStyle w:val="46"/>
              <w:bidi w:val="0"/>
              <w:rPr>
                <w:color w:val="auto"/>
                <w:highlight w:val="none"/>
              </w:rPr>
            </w:pPr>
            <w:r>
              <w:rPr>
                <w:color w:val="auto"/>
                <w:highlight w:val="none"/>
              </w:rPr>
              <w:t>出入工地的施工机械的车轮轮胎和履带将工地上的泥土粘带到沿途道路上，经过来往车辆</w:t>
            </w:r>
            <w:r>
              <w:rPr>
                <w:rFonts w:hint="eastAsia"/>
                <w:color w:val="auto"/>
                <w:highlight w:val="none"/>
              </w:rPr>
              <w:t>碾压</w:t>
            </w:r>
            <w:r>
              <w:rPr>
                <w:color w:val="auto"/>
                <w:highlight w:val="none"/>
              </w:rPr>
              <w:t>形成灰尘，造成雨天泥泞，晴天风干，飘散飞扬。</w:t>
            </w:r>
          </w:p>
          <w:p w14:paraId="66AE7362">
            <w:pPr>
              <w:pStyle w:val="46"/>
              <w:bidi w:val="0"/>
              <w:rPr>
                <w:color w:val="auto"/>
                <w:highlight w:val="none"/>
              </w:rPr>
            </w:pPr>
            <w:r>
              <w:rPr>
                <w:color w:val="auto"/>
                <w:highlight w:val="none"/>
              </w:rPr>
              <w:t>基本措施如下：</w:t>
            </w:r>
          </w:p>
          <w:p w14:paraId="1E874EE2">
            <w:pPr>
              <w:pStyle w:val="46"/>
              <w:bidi w:val="0"/>
              <w:rPr>
                <w:color w:val="auto"/>
                <w:highlight w:val="none"/>
              </w:rPr>
            </w:pPr>
            <w:r>
              <w:rPr>
                <w:color w:val="auto"/>
                <w:highlight w:val="none"/>
              </w:rPr>
              <w:t>（1）本项目使用商品混凝土</w:t>
            </w:r>
            <w:r>
              <w:rPr>
                <w:rFonts w:hint="eastAsia"/>
                <w:color w:val="auto"/>
                <w:highlight w:val="none"/>
                <w:lang w:eastAsia="zh-CN"/>
              </w:rPr>
              <w:t>，</w:t>
            </w:r>
            <w:r>
              <w:rPr>
                <w:color w:val="auto"/>
                <w:highlight w:val="none"/>
              </w:rPr>
              <w:t>不设置搅拌站，</w:t>
            </w:r>
            <w:r>
              <w:rPr>
                <w:rFonts w:hint="eastAsia"/>
                <w:color w:val="auto"/>
                <w:highlight w:val="none"/>
                <w:lang w:eastAsia="zh-CN"/>
              </w:rPr>
              <w:t>应</w:t>
            </w:r>
            <w:r>
              <w:rPr>
                <w:color w:val="auto"/>
                <w:highlight w:val="none"/>
              </w:rPr>
              <w:t>合理设置设备和材料的堆放点，建筑材料设立临时仓库，运输车辆加盖篷布；</w:t>
            </w:r>
          </w:p>
          <w:p w14:paraId="3120977A">
            <w:pPr>
              <w:pStyle w:val="46"/>
              <w:bidi w:val="0"/>
              <w:rPr>
                <w:color w:val="auto"/>
                <w:highlight w:val="none"/>
              </w:rPr>
            </w:pPr>
            <w:r>
              <w:rPr>
                <w:color w:val="auto"/>
                <w:highlight w:val="none"/>
              </w:rPr>
              <w:t>（2）封闭施工场地，设置施工</w:t>
            </w:r>
            <w:r>
              <w:rPr>
                <w:rFonts w:hint="eastAsia"/>
                <w:color w:val="auto"/>
                <w:highlight w:val="none"/>
              </w:rPr>
              <w:t>场地</w:t>
            </w:r>
            <w:r>
              <w:rPr>
                <w:color w:val="auto"/>
                <w:highlight w:val="none"/>
              </w:rPr>
              <w:t>边界围挡；</w:t>
            </w:r>
          </w:p>
          <w:p w14:paraId="63BEA033">
            <w:pPr>
              <w:pStyle w:val="46"/>
              <w:bidi w:val="0"/>
              <w:rPr>
                <w:color w:val="auto"/>
                <w:highlight w:val="none"/>
              </w:rPr>
            </w:pPr>
            <w:r>
              <w:rPr>
                <w:color w:val="auto"/>
                <w:highlight w:val="none"/>
              </w:rPr>
              <w:t>（3）对物料应当采取相应的覆盖、喷淋等防风抑尘措施；</w:t>
            </w:r>
          </w:p>
          <w:p w14:paraId="7E7B608C">
            <w:pPr>
              <w:pStyle w:val="46"/>
              <w:bidi w:val="0"/>
              <w:rPr>
                <w:color w:val="auto"/>
                <w:highlight w:val="none"/>
              </w:rPr>
            </w:pPr>
            <w:r>
              <w:rPr>
                <w:color w:val="auto"/>
                <w:highlight w:val="none"/>
              </w:rPr>
              <w:t>（4）施工现场定期喷洒，保证地面湿润，不起尘；</w:t>
            </w:r>
          </w:p>
          <w:p w14:paraId="5369C582">
            <w:pPr>
              <w:pStyle w:val="46"/>
              <w:bidi w:val="0"/>
              <w:rPr>
                <w:color w:val="auto"/>
                <w:highlight w:val="none"/>
              </w:rPr>
            </w:pPr>
            <w:r>
              <w:rPr>
                <w:color w:val="auto"/>
                <w:highlight w:val="none"/>
              </w:rPr>
              <w:t>（5）建筑垃圾在48小时内未能清运的，应当在施工</w:t>
            </w:r>
            <w:r>
              <w:rPr>
                <w:rFonts w:hint="eastAsia"/>
                <w:color w:val="auto"/>
                <w:highlight w:val="none"/>
                <w:lang w:eastAsia="zh-CN"/>
              </w:rPr>
              <w:t>场地</w:t>
            </w:r>
            <w:r>
              <w:rPr>
                <w:color w:val="auto"/>
                <w:highlight w:val="none"/>
              </w:rPr>
              <w:t>内设置临时堆放场并采取围挡、遮盖等防尘措施。</w:t>
            </w:r>
          </w:p>
          <w:p w14:paraId="11199C99">
            <w:pPr>
              <w:pStyle w:val="46"/>
              <w:bidi w:val="0"/>
              <w:rPr>
                <w:color w:val="auto"/>
                <w:highlight w:val="none"/>
              </w:rPr>
            </w:pPr>
            <w:r>
              <w:rPr>
                <w:color w:val="auto"/>
                <w:highlight w:val="none"/>
              </w:rPr>
              <w:t>经上述措施处理后，施工期产生无组织颗粒物</w:t>
            </w:r>
            <w:r>
              <w:rPr>
                <w:rFonts w:hint="eastAsia"/>
                <w:color w:val="auto"/>
                <w:highlight w:val="none"/>
                <w:lang w:val="en-US" w:eastAsia="zh-CN"/>
              </w:rPr>
              <w:t>满足</w:t>
            </w:r>
            <w:r>
              <w:rPr>
                <w:color w:val="auto"/>
                <w:highlight w:val="none"/>
              </w:rPr>
              <w:t>《大气污染物综合排放标准》（GB16297-1996）无组织排放限值。</w:t>
            </w:r>
          </w:p>
          <w:p w14:paraId="113AF999">
            <w:pPr>
              <w:pStyle w:val="46"/>
              <w:ind w:firstLine="482"/>
              <w:rPr>
                <w:b/>
                <w:bCs/>
                <w:color w:val="auto"/>
                <w:highlight w:val="none"/>
              </w:rPr>
            </w:pPr>
            <w:r>
              <w:rPr>
                <w:b/>
                <w:bCs/>
                <w:color w:val="auto"/>
                <w:highlight w:val="none"/>
              </w:rPr>
              <w:t>二、废水</w:t>
            </w:r>
          </w:p>
          <w:p w14:paraId="3F76A527">
            <w:pPr>
              <w:pStyle w:val="46"/>
              <w:bidi w:val="0"/>
              <w:rPr>
                <w:color w:val="auto"/>
                <w:highlight w:val="none"/>
              </w:rPr>
            </w:pPr>
            <w:r>
              <w:rPr>
                <w:color w:val="auto"/>
                <w:highlight w:val="none"/>
              </w:rPr>
              <w:t>施工过程中产生的废水主要为施工人员排放的生活污水</w:t>
            </w:r>
            <w:r>
              <w:rPr>
                <w:rFonts w:hint="eastAsia"/>
                <w:color w:val="auto"/>
                <w:highlight w:val="none"/>
                <w:lang w:val="en-US" w:eastAsia="zh-CN"/>
              </w:rPr>
              <w:t>与施工废水，</w:t>
            </w:r>
            <w:r>
              <w:rPr>
                <w:rFonts w:hint="default"/>
                <w:color w:val="auto"/>
                <w:highlight w:val="none"/>
                <w:lang w:val="en-US" w:eastAsia="zh-CN"/>
              </w:rPr>
              <w:t>建筑工程的生产废水应排入临时沉淀池，沉淀池上清液可用于工地的洒水降尘。</w:t>
            </w:r>
            <w:r>
              <w:rPr>
                <w:color w:val="auto"/>
                <w:highlight w:val="none"/>
              </w:rPr>
              <w:t>生活污水</w:t>
            </w:r>
            <w:r>
              <w:rPr>
                <w:rFonts w:hint="eastAsia"/>
                <w:color w:val="auto"/>
                <w:highlight w:val="none"/>
              </w:rPr>
              <w:t>排入临时防渗旱厕，定期清掏处理</w:t>
            </w:r>
            <w:r>
              <w:rPr>
                <w:color w:val="auto"/>
                <w:highlight w:val="none"/>
              </w:rPr>
              <w:t>。</w:t>
            </w:r>
          </w:p>
          <w:p w14:paraId="03F27E2B">
            <w:pPr>
              <w:pStyle w:val="46"/>
              <w:ind w:firstLine="482"/>
              <w:rPr>
                <w:b/>
                <w:bCs/>
                <w:color w:val="auto"/>
                <w:highlight w:val="none"/>
              </w:rPr>
            </w:pPr>
            <w:r>
              <w:rPr>
                <w:b/>
                <w:bCs/>
                <w:color w:val="auto"/>
                <w:highlight w:val="none"/>
              </w:rPr>
              <w:t>三、噪声</w:t>
            </w:r>
          </w:p>
          <w:p w14:paraId="30B16BDD">
            <w:pPr>
              <w:pStyle w:val="46"/>
              <w:bidi w:val="0"/>
              <w:rPr>
                <w:color w:val="auto"/>
                <w:highlight w:val="none"/>
              </w:rPr>
            </w:pPr>
            <w:r>
              <w:rPr>
                <w:color w:val="auto"/>
                <w:highlight w:val="none"/>
              </w:rPr>
              <w:t>噪声主要是施工机械设备噪声，本项目开始动工后，在建筑施工等作业中，将动用大量的施工作业设备和机械。因此，不可避免地产生建筑施工噪声。</w:t>
            </w:r>
          </w:p>
          <w:p w14:paraId="1E9716EE">
            <w:pPr>
              <w:pStyle w:val="46"/>
              <w:bidi w:val="0"/>
              <w:rPr>
                <w:color w:val="auto"/>
                <w:highlight w:val="none"/>
              </w:rPr>
            </w:pPr>
            <w:r>
              <w:rPr>
                <w:color w:val="auto"/>
                <w:highlight w:val="none"/>
              </w:rPr>
              <w:t>（1）合理布局施工现场</w:t>
            </w:r>
          </w:p>
          <w:p w14:paraId="65D9455E">
            <w:pPr>
              <w:pStyle w:val="46"/>
              <w:bidi w:val="0"/>
              <w:rPr>
                <w:color w:val="auto"/>
                <w:highlight w:val="none"/>
              </w:rPr>
            </w:pPr>
            <w:r>
              <w:rPr>
                <w:color w:val="auto"/>
                <w:highlight w:val="none"/>
              </w:rPr>
              <w:t>施工过程中避免在同一地点安排大量动力机械设备施工，以减缓局部累积声级过高风险；各高噪声机械置于地块较中间位置作业，尽量远离</w:t>
            </w:r>
            <w:r>
              <w:rPr>
                <w:rFonts w:hint="eastAsia"/>
                <w:color w:val="auto"/>
                <w:highlight w:val="none"/>
              </w:rPr>
              <w:t>厂界</w:t>
            </w:r>
            <w:r>
              <w:rPr>
                <w:color w:val="auto"/>
                <w:highlight w:val="none"/>
              </w:rPr>
              <w:t>。</w:t>
            </w:r>
          </w:p>
          <w:p w14:paraId="4E404E7D">
            <w:pPr>
              <w:pStyle w:val="46"/>
              <w:bidi w:val="0"/>
              <w:rPr>
                <w:color w:val="auto"/>
                <w:highlight w:val="none"/>
              </w:rPr>
            </w:pPr>
            <w:r>
              <w:rPr>
                <w:color w:val="auto"/>
                <w:highlight w:val="none"/>
              </w:rPr>
              <w:t>（2）合理安排施工时间</w:t>
            </w:r>
          </w:p>
          <w:p w14:paraId="06435201">
            <w:pPr>
              <w:pStyle w:val="46"/>
              <w:bidi w:val="0"/>
              <w:rPr>
                <w:color w:val="auto"/>
                <w:highlight w:val="none"/>
              </w:rPr>
            </w:pPr>
            <w:r>
              <w:rPr>
                <w:color w:val="auto"/>
                <w:highlight w:val="none"/>
              </w:rPr>
              <w:t>避免高噪声设备同时施工，造成施工噪声集中现象。合理安排施工时间，</w:t>
            </w:r>
            <w:r>
              <w:rPr>
                <w:rFonts w:hint="eastAsia"/>
                <w:color w:val="auto"/>
                <w:highlight w:val="none"/>
              </w:rPr>
              <w:t>制定</w:t>
            </w:r>
            <w:r>
              <w:rPr>
                <w:color w:val="auto"/>
                <w:highlight w:val="none"/>
              </w:rPr>
              <w:t>施工计划。禁止夜间（22</w:t>
            </w:r>
            <w:r>
              <w:rPr>
                <w:rFonts w:hint="eastAsia"/>
                <w:color w:val="auto"/>
                <w:highlight w:val="none"/>
                <w:lang w:eastAsia="zh-CN"/>
              </w:rPr>
              <w:t>:</w:t>
            </w:r>
            <w:r>
              <w:rPr>
                <w:color w:val="auto"/>
                <w:highlight w:val="none"/>
              </w:rPr>
              <w:t>00~6</w:t>
            </w:r>
            <w:r>
              <w:rPr>
                <w:rFonts w:hint="eastAsia"/>
                <w:color w:val="auto"/>
                <w:highlight w:val="none"/>
                <w:lang w:eastAsia="zh-CN"/>
              </w:rPr>
              <w:t>:</w:t>
            </w:r>
            <w:r>
              <w:rPr>
                <w:color w:val="auto"/>
                <w:highlight w:val="none"/>
              </w:rPr>
              <w:t>00）施工，施工单位应征求、听取周围群众的意见，对施工中可能出现的扰民现象及时予以通报，并接受公众监督。</w:t>
            </w:r>
          </w:p>
          <w:p w14:paraId="5879279B">
            <w:pPr>
              <w:pStyle w:val="46"/>
              <w:bidi w:val="0"/>
              <w:rPr>
                <w:color w:val="auto"/>
                <w:highlight w:val="none"/>
              </w:rPr>
            </w:pPr>
            <w:r>
              <w:rPr>
                <w:color w:val="auto"/>
                <w:highlight w:val="none"/>
              </w:rPr>
              <w:t>（3）降低设备声级</w:t>
            </w:r>
          </w:p>
          <w:p w14:paraId="601EC8E8">
            <w:pPr>
              <w:pStyle w:val="46"/>
              <w:bidi w:val="0"/>
              <w:rPr>
                <w:color w:val="auto"/>
                <w:highlight w:val="none"/>
              </w:rPr>
            </w:pPr>
            <w:r>
              <w:rPr>
                <w:color w:val="auto"/>
                <w:highlight w:val="none"/>
              </w:rPr>
              <w:t>设备选型上，在不影响施工质量的前提下，应采用低噪声、低振动的设备与施工方式进行地基施工与结构施工；经常对施工设备进行维修保养，避免因设备性能减退而使噪声增强的现象发生。</w:t>
            </w:r>
          </w:p>
          <w:p w14:paraId="041CB6DF">
            <w:pPr>
              <w:pStyle w:val="46"/>
              <w:bidi w:val="0"/>
              <w:rPr>
                <w:color w:val="auto"/>
                <w:highlight w:val="none"/>
              </w:rPr>
            </w:pPr>
            <w:r>
              <w:rPr>
                <w:color w:val="auto"/>
                <w:highlight w:val="none"/>
              </w:rPr>
              <w:t>（4）施工时采用降噪作业方式</w:t>
            </w:r>
          </w:p>
          <w:p w14:paraId="47A00B05">
            <w:pPr>
              <w:pStyle w:val="46"/>
              <w:bidi w:val="0"/>
              <w:rPr>
                <w:color w:val="auto"/>
                <w:highlight w:val="none"/>
              </w:rPr>
            </w:pPr>
            <w:r>
              <w:rPr>
                <w:color w:val="auto"/>
                <w:highlight w:val="none"/>
              </w:rPr>
              <w:t>对动力机械设备进行定期的维修、养护，避免设备因松动部件的振动或消声器的损坏而增加其工作时的声压级；设备用完后或不用时应立即关闭。</w:t>
            </w:r>
          </w:p>
          <w:p w14:paraId="62BDCDE4">
            <w:pPr>
              <w:pStyle w:val="46"/>
              <w:bidi w:val="0"/>
              <w:rPr>
                <w:color w:val="auto"/>
                <w:highlight w:val="none"/>
              </w:rPr>
            </w:pPr>
            <w:r>
              <w:rPr>
                <w:color w:val="auto"/>
                <w:highlight w:val="none"/>
              </w:rPr>
              <w:t>（5）最大限度地降低人为噪音</w:t>
            </w:r>
          </w:p>
          <w:p w14:paraId="4D1525C7">
            <w:pPr>
              <w:pStyle w:val="46"/>
              <w:bidi w:val="0"/>
              <w:rPr>
                <w:color w:val="auto"/>
                <w:highlight w:val="none"/>
              </w:rPr>
            </w:pPr>
            <w:r>
              <w:rPr>
                <w:color w:val="auto"/>
                <w:highlight w:val="none"/>
              </w:rPr>
              <w:t>不要采取噪声较大的钢模板作业方式；在操作中尽量避免敲打砼导管；搬卸物品应轻放，施工工具不要乱扔；运输车辆进入现场应减速、并减少鸣笛等。</w:t>
            </w:r>
          </w:p>
          <w:p w14:paraId="57C09F8D">
            <w:pPr>
              <w:pStyle w:val="46"/>
              <w:bidi w:val="0"/>
              <w:rPr>
                <w:color w:val="auto"/>
                <w:highlight w:val="none"/>
              </w:rPr>
            </w:pPr>
            <w:r>
              <w:rPr>
                <w:color w:val="auto"/>
                <w:highlight w:val="none"/>
              </w:rPr>
              <w:t>（6）施工车辆管理</w:t>
            </w:r>
          </w:p>
          <w:p w14:paraId="1EBCCB9E">
            <w:pPr>
              <w:pStyle w:val="46"/>
              <w:bidi w:val="0"/>
              <w:rPr>
                <w:color w:val="auto"/>
                <w:highlight w:val="none"/>
              </w:rPr>
            </w:pPr>
            <w:r>
              <w:rPr>
                <w:color w:val="auto"/>
                <w:highlight w:val="none"/>
              </w:rPr>
              <w:t>加强施工车辆管理，运输车辆尽量采用较低声级的喇叭，并在环境敏感点限制车辆鸣笛。</w:t>
            </w:r>
          </w:p>
          <w:p w14:paraId="71ED7647">
            <w:pPr>
              <w:pStyle w:val="46"/>
              <w:bidi w:val="0"/>
              <w:rPr>
                <w:color w:val="auto"/>
                <w:highlight w:val="none"/>
              </w:rPr>
            </w:pPr>
            <w:r>
              <w:rPr>
                <w:color w:val="auto"/>
                <w:highlight w:val="none"/>
              </w:rPr>
              <w:t>采取上述措施，施工场界噪声能够满足《</w:t>
            </w:r>
            <w:r>
              <w:rPr>
                <w:rFonts w:hint="eastAsia"/>
                <w:color w:val="auto"/>
                <w:highlight w:val="none"/>
                <w:lang w:eastAsia="zh-CN"/>
              </w:rPr>
              <w:t>建筑施工噪声排放标准</w:t>
            </w:r>
            <w:r>
              <w:rPr>
                <w:color w:val="auto"/>
                <w:highlight w:val="none"/>
              </w:rPr>
              <w:t>》（GB1</w:t>
            </w:r>
            <w:r>
              <w:rPr>
                <w:rFonts w:hint="eastAsia"/>
                <w:color w:val="auto"/>
                <w:highlight w:val="none"/>
              </w:rPr>
              <w:t>25</w:t>
            </w:r>
            <w:r>
              <w:rPr>
                <w:rFonts w:hint="eastAsia"/>
                <w:color w:val="auto"/>
                <w:highlight w:val="none"/>
                <w:lang w:val="en-US" w:eastAsia="zh-CN"/>
              </w:rPr>
              <w:t>2</w:t>
            </w:r>
            <w:r>
              <w:rPr>
                <w:color w:val="auto"/>
                <w:highlight w:val="none"/>
              </w:rPr>
              <w:t>3-20</w:t>
            </w:r>
            <w:r>
              <w:rPr>
                <w:rFonts w:hint="eastAsia"/>
                <w:color w:val="auto"/>
                <w:highlight w:val="none"/>
                <w:lang w:val="en-US" w:eastAsia="zh-CN"/>
              </w:rPr>
              <w:t>25</w:t>
            </w:r>
            <w:r>
              <w:rPr>
                <w:color w:val="auto"/>
                <w:highlight w:val="none"/>
              </w:rPr>
              <w:t>）要求，施工噪声对周围声环境影响可接受。</w:t>
            </w:r>
          </w:p>
          <w:p w14:paraId="54A7D5D2">
            <w:pPr>
              <w:pStyle w:val="46"/>
              <w:ind w:firstLine="482"/>
              <w:rPr>
                <w:b/>
                <w:bCs/>
                <w:color w:val="auto"/>
                <w:highlight w:val="none"/>
              </w:rPr>
            </w:pPr>
            <w:r>
              <w:rPr>
                <w:b/>
                <w:bCs/>
                <w:color w:val="auto"/>
                <w:highlight w:val="none"/>
              </w:rPr>
              <w:t>四、固体废物</w:t>
            </w:r>
          </w:p>
          <w:p w14:paraId="256D9972">
            <w:pPr>
              <w:pStyle w:val="46"/>
              <w:bidi w:val="0"/>
              <w:rPr>
                <w:rFonts w:hint="eastAsia"/>
                <w:color w:val="auto"/>
                <w:highlight w:val="none"/>
              </w:rPr>
            </w:pPr>
            <w:r>
              <w:rPr>
                <w:rFonts w:hint="eastAsia"/>
                <w:color w:val="auto"/>
                <w:highlight w:val="none"/>
              </w:rPr>
              <w:t>施工现场的施工垃圾和生活垃圾，应当设置密闭式垃圾站集中分类存放，及时清运。楼层内以及脚手架作业平台清理施工垃圾，应当使用密闭式串筒或者采用封闭容器清运，严禁高处随意</w:t>
            </w:r>
            <w:r>
              <w:rPr>
                <w:rFonts w:hint="eastAsia"/>
                <w:color w:val="auto"/>
                <w:highlight w:val="none"/>
                <w:lang w:eastAsia="zh-CN"/>
              </w:rPr>
              <w:t>抛洒</w:t>
            </w:r>
            <w:r>
              <w:rPr>
                <w:rFonts w:hint="eastAsia"/>
                <w:color w:val="auto"/>
                <w:highlight w:val="none"/>
              </w:rPr>
              <w:t>。施工现场应当专门设置集中堆放建筑垃圾、工程渣土的场地，并在48小时内完成清运，不能按时完成清运的建筑垃圾，应采取</w:t>
            </w:r>
            <w:r>
              <w:rPr>
                <w:rFonts w:hint="eastAsia"/>
                <w:color w:val="auto"/>
                <w:highlight w:val="none"/>
                <w:lang w:eastAsia="zh-CN"/>
              </w:rPr>
              <w:t>围挡</w:t>
            </w:r>
            <w:r>
              <w:rPr>
                <w:rFonts w:hint="eastAsia"/>
                <w:color w:val="auto"/>
                <w:highlight w:val="none"/>
              </w:rPr>
              <w:t>、遮盖等防尘措施，不能按时完成清运的土方，应采取固化、覆盖或绿化等扬尘控制措施。</w:t>
            </w:r>
          </w:p>
          <w:p w14:paraId="562C1A81">
            <w:pPr>
              <w:pStyle w:val="46"/>
              <w:ind w:firstLine="480"/>
              <w:rPr>
                <w:rFonts w:hint="default"/>
                <w:color w:val="auto"/>
                <w:highlight w:val="none"/>
              </w:rPr>
            </w:pPr>
            <w:r>
              <w:rPr>
                <w:color w:val="auto"/>
                <w:highlight w:val="none"/>
              </w:rPr>
              <w:t>本项目施工期间的固体废物主要是建筑垃圾和生活垃圾，生活垃圾由环卫部门统一处置，避免随意堆放。</w:t>
            </w:r>
            <w:r>
              <w:rPr>
                <w:rFonts w:hint="eastAsia"/>
                <w:color w:val="auto"/>
                <w:sz w:val="24"/>
                <w:szCs w:val="24"/>
                <w:highlight w:val="none"/>
                <w:lang w:val="en-US" w:eastAsia="zh-CN"/>
              </w:rPr>
              <w:t>建筑垃圾分类处理，可回收利用的部分交由资源回收公司或建材公司综合利用，不可回收部分外运</w:t>
            </w:r>
            <w:r>
              <w:rPr>
                <w:color w:val="auto"/>
                <w:highlight w:val="none"/>
              </w:rPr>
              <w:t>至市政指定地点堆存。</w:t>
            </w:r>
          </w:p>
        </w:tc>
      </w:tr>
      <w:tr w14:paraId="6CD23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noWrap w:val="0"/>
            <w:tcMar>
              <w:left w:w="28" w:type="dxa"/>
              <w:right w:w="28" w:type="dxa"/>
            </w:tcMar>
            <w:vAlign w:val="center"/>
          </w:tcPr>
          <w:p w14:paraId="28EA61F1">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运营</w:t>
            </w:r>
          </w:p>
          <w:p w14:paraId="09AE2508">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期环</w:t>
            </w:r>
          </w:p>
          <w:p w14:paraId="7B62FC77">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境影</w:t>
            </w:r>
          </w:p>
          <w:p w14:paraId="0CF91C19">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响和</w:t>
            </w:r>
          </w:p>
          <w:p w14:paraId="67C45878">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保护</w:t>
            </w:r>
          </w:p>
          <w:p w14:paraId="5B7BAFA8">
            <w:pPr>
              <w:overflowPunct w:val="0"/>
              <w:topLinePunct/>
              <w:spacing w:line="240" w:lineRule="auto"/>
              <w:jc w:val="center"/>
              <w:rPr>
                <w:rFonts w:hint="default" w:ascii="Times New Roman" w:hAnsi="Times New Roman" w:cs="Times New Roman"/>
                <w:color w:val="auto"/>
                <w:highlight w:val="none"/>
              </w:rPr>
            </w:pPr>
            <w:r>
              <w:rPr>
                <w:rFonts w:hint="default" w:ascii="Times New Roman" w:hAnsi="Times New Roman" w:cs="Times New Roman"/>
                <w:bCs/>
                <w:color w:val="auto"/>
                <w:highlight w:val="none"/>
              </w:rPr>
              <w:t>措施</w:t>
            </w:r>
          </w:p>
        </w:tc>
        <w:tc>
          <w:tcPr>
            <w:tcW w:w="4539" w:type="pct"/>
            <w:noWrap w:val="0"/>
            <w:vAlign w:val="center"/>
          </w:tcPr>
          <w:p w14:paraId="47D3E429">
            <w:pPr>
              <w:pStyle w:val="52"/>
              <w:bidi w:val="0"/>
              <w:rPr>
                <w:rFonts w:hint="default"/>
                <w:b/>
                <w:bCs/>
                <w:color w:val="auto"/>
                <w:highlight w:val="none"/>
              </w:rPr>
            </w:pPr>
            <w:r>
              <w:rPr>
                <w:rFonts w:hint="eastAsia"/>
                <w:b/>
                <w:bCs/>
                <w:color w:val="auto"/>
                <w:highlight w:val="none"/>
                <w:lang w:val="en-US" w:eastAsia="zh-CN"/>
              </w:rPr>
              <w:t>1.</w:t>
            </w:r>
            <w:r>
              <w:rPr>
                <w:rFonts w:hint="default"/>
                <w:b/>
                <w:bCs/>
                <w:color w:val="auto"/>
                <w:highlight w:val="none"/>
              </w:rPr>
              <w:t>废气</w:t>
            </w:r>
          </w:p>
          <w:p w14:paraId="7F3957D8">
            <w:pPr>
              <w:pStyle w:val="46"/>
              <w:bidi w:val="0"/>
              <w:rPr>
                <w:color w:val="auto"/>
                <w:highlight w:val="none"/>
              </w:rPr>
            </w:pPr>
            <w:r>
              <w:rPr>
                <w:rFonts w:hint="eastAsia"/>
                <w:color w:val="auto"/>
                <w:highlight w:val="none"/>
                <w:lang w:val="en-US" w:eastAsia="zh-CN"/>
              </w:rPr>
              <w:t>本项目废气产污环节及污染物为：</w:t>
            </w:r>
            <w:r>
              <w:rPr>
                <w:rFonts w:hint="default"/>
                <w:color w:val="auto"/>
                <w:highlight w:val="none"/>
                <w:lang w:val="en-US" w:eastAsia="zh-CN"/>
              </w:rPr>
              <w:t>卡车进场卸料</w:t>
            </w:r>
            <w:r>
              <w:rPr>
                <w:rFonts w:hint="eastAsia"/>
                <w:color w:val="auto"/>
                <w:highlight w:val="none"/>
                <w:lang w:val="en-US" w:eastAsia="zh-CN"/>
              </w:rPr>
              <w:t>/</w:t>
            </w:r>
            <w:r>
              <w:rPr>
                <w:rFonts w:hint="default"/>
                <w:color w:val="auto"/>
                <w:highlight w:val="none"/>
                <w:lang w:val="en-US" w:eastAsia="zh-CN"/>
              </w:rPr>
              <w:t>装</w:t>
            </w:r>
            <w:r>
              <w:rPr>
                <w:rFonts w:hint="eastAsia"/>
                <w:color w:val="auto"/>
                <w:highlight w:val="none"/>
                <w:lang w:val="en-US" w:eastAsia="zh-CN"/>
              </w:rPr>
              <w:t>车外运、</w:t>
            </w:r>
            <w:r>
              <w:rPr>
                <w:rFonts w:hint="default"/>
                <w:color w:val="auto"/>
                <w:highlight w:val="none"/>
                <w:lang w:val="en-US" w:eastAsia="zh-CN"/>
              </w:rPr>
              <w:t>筛分机过筛和清理</w:t>
            </w:r>
            <w:r>
              <w:rPr>
                <w:rFonts w:hint="eastAsia"/>
                <w:color w:val="auto"/>
                <w:highlight w:val="none"/>
                <w:lang w:val="en-US" w:eastAsia="zh-CN"/>
              </w:rPr>
              <w:t>、</w:t>
            </w:r>
            <w:r>
              <w:rPr>
                <w:rFonts w:hint="default"/>
                <w:color w:val="auto"/>
                <w:highlight w:val="none"/>
                <w:lang w:val="en-US" w:eastAsia="zh-CN"/>
              </w:rPr>
              <w:t>传送机转运和运输</w:t>
            </w:r>
            <w:r>
              <w:rPr>
                <w:rFonts w:hint="eastAsia"/>
                <w:color w:val="auto"/>
                <w:highlight w:val="none"/>
                <w:lang w:val="en-US" w:eastAsia="zh-CN"/>
              </w:rPr>
              <w:t>、</w:t>
            </w:r>
            <w:r>
              <w:rPr>
                <w:rFonts w:hint="default"/>
                <w:color w:val="auto"/>
                <w:highlight w:val="none"/>
                <w:lang w:val="en-US" w:eastAsia="zh-CN"/>
              </w:rPr>
              <w:t>烘干塔干燥</w:t>
            </w:r>
            <w:r>
              <w:rPr>
                <w:rFonts w:hint="eastAsia"/>
                <w:color w:val="auto"/>
                <w:highlight w:val="none"/>
                <w:lang w:val="en-US" w:eastAsia="zh-CN"/>
              </w:rPr>
              <w:t>等产生的无组织颗粒物，热风炉产生的有组织颗粒物、二氧化硫、氮氧化物、烟气黑度等污染物，具体分析内容如下：</w:t>
            </w:r>
          </w:p>
          <w:p w14:paraId="640DCC94">
            <w:pPr>
              <w:pStyle w:val="46"/>
              <w:bidi w:val="0"/>
              <w:rPr>
                <w:rFonts w:hint="default"/>
                <w:b/>
                <w:bCs/>
                <w:color w:val="auto"/>
                <w:highlight w:val="none"/>
                <w:lang w:val="en-US" w:eastAsia="zh-CN"/>
              </w:rPr>
            </w:pPr>
            <w:r>
              <w:rPr>
                <w:rFonts w:hint="eastAsia"/>
                <w:b/>
                <w:bCs/>
                <w:color w:val="auto"/>
                <w:highlight w:val="none"/>
                <w:lang w:eastAsia="zh-CN"/>
              </w:rPr>
              <w:t>1.</w:t>
            </w:r>
            <w:r>
              <w:rPr>
                <w:rFonts w:hint="eastAsia"/>
                <w:b/>
                <w:bCs/>
                <w:color w:val="auto"/>
                <w:highlight w:val="none"/>
                <w:lang w:val="en-US" w:eastAsia="zh-CN"/>
              </w:rPr>
              <w:t>热风炉烟气</w:t>
            </w:r>
          </w:p>
          <w:p w14:paraId="3E2CA373">
            <w:pPr>
              <w:pStyle w:val="46"/>
              <w:bidi w:val="0"/>
              <w:rPr>
                <w:rFonts w:hint="default"/>
                <w:color w:val="auto"/>
                <w:highlight w:val="none"/>
                <w:lang w:val="en-US" w:eastAsia="zh-CN"/>
              </w:rPr>
            </w:pPr>
            <w:r>
              <w:rPr>
                <w:rFonts w:hint="eastAsia"/>
                <w:color w:val="auto"/>
                <w:highlight w:val="none"/>
                <w:lang w:val="en-US" w:eastAsia="zh-CN"/>
              </w:rPr>
              <w:t>①产生源强核算</w:t>
            </w:r>
          </w:p>
          <w:p w14:paraId="31D0A745">
            <w:pPr>
              <w:pStyle w:val="46"/>
              <w:bidi w:val="0"/>
              <w:rPr>
                <w:rFonts w:hint="default"/>
                <w:color w:val="auto"/>
                <w:highlight w:val="none"/>
                <w:lang w:val="en-US" w:eastAsia="zh-CN"/>
              </w:rPr>
            </w:pPr>
            <w:r>
              <w:rPr>
                <w:rFonts w:hint="eastAsia"/>
                <w:color w:val="auto"/>
                <w:highlight w:val="none"/>
                <w:lang w:val="en-US" w:eastAsia="zh-CN"/>
              </w:rPr>
              <w:t>本项目烘干塔热源为燃生物质成型燃料热风炉，生物质</w:t>
            </w:r>
            <w:r>
              <w:rPr>
                <w:rFonts w:hint="eastAsia"/>
                <w:color w:val="auto"/>
                <w:sz w:val="24"/>
                <w:szCs w:val="24"/>
                <w:highlight w:val="none"/>
              </w:rPr>
              <w:t>燃料检测报告中</w:t>
            </w:r>
            <w:r>
              <w:rPr>
                <w:rFonts w:hint="eastAsia"/>
                <w:color w:val="auto"/>
                <w:sz w:val="24"/>
                <w:szCs w:val="24"/>
                <w:highlight w:val="none"/>
                <w:lang w:val="en-US" w:eastAsia="zh-CN"/>
              </w:rPr>
              <w:t>无</w:t>
            </w:r>
            <w:r>
              <w:rPr>
                <w:rFonts w:hint="eastAsia"/>
                <w:color w:val="auto"/>
                <w:sz w:val="24"/>
                <w:szCs w:val="24"/>
                <w:highlight w:val="none"/>
              </w:rPr>
              <w:t>汞</w:t>
            </w:r>
            <w:r>
              <w:rPr>
                <w:rFonts w:hint="eastAsia"/>
                <w:color w:val="auto"/>
                <w:sz w:val="24"/>
                <w:szCs w:val="24"/>
                <w:highlight w:val="none"/>
                <w:lang w:val="en-US" w:eastAsia="zh-CN"/>
              </w:rPr>
              <w:t>相关数据</w:t>
            </w:r>
            <w:r>
              <w:rPr>
                <w:rFonts w:hint="eastAsia"/>
                <w:color w:val="auto"/>
                <w:sz w:val="24"/>
                <w:szCs w:val="24"/>
                <w:highlight w:val="none"/>
              </w:rPr>
              <w:t>，</w:t>
            </w:r>
            <w:r>
              <w:rPr>
                <w:color w:val="auto"/>
                <w:szCs w:val="21"/>
                <w:highlight w:val="none"/>
              </w:rPr>
              <w:t>根据《直接法测定固体生物质燃料中汞的试验研究》（煤质技术，2020年）</w:t>
            </w:r>
            <w:r>
              <w:rPr>
                <w:rFonts w:hint="eastAsia"/>
                <w:color w:val="auto"/>
                <w:szCs w:val="21"/>
                <w:highlight w:val="none"/>
                <w:lang w:eastAsia="zh-CN"/>
              </w:rPr>
              <w:t>，</w:t>
            </w:r>
            <w:r>
              <w:rPr>
                <w:rFonts w:hint="eastAsia"/>
                <w:color w:val="auto"/>
                <w:highlight w:val="none"/>
                <w:lang w:val="en-US" w:eastAsia="zh-CN"/>
              </w:rPr>
              <w:t>由于生物质汞含量极低的特点，</w:t>
            </w:r>
            <w:r>
              <w:rPr>
                <w:rFonts w:hint="eastAsia"/>
                <w:color w:val="auto"/>
                <w:sz w:val="24"/>
                <w:szCs w:val="24"/>
                <w:highlight w:val="none"/>
                <w:lang w:val="en-US" w:eastAsia="zh-CN"/>
              </w:rPr>
              <w:t>项目</w:t>
            </w:r>
            <w:r>
              <w:rPr>
                <w:rFonts w:hint="eastAsia"/>
                <w:color w:val="auto"/>
                <w:sz w:val="24"/>
                <w:szCs w:val="24"/>
                <w:highlight w:val="none"/>
              </w:rPr>
              <w:t>不对汞进行评价</w:t>
            </w:r>
            <w:r>
              <w:rPr>
                <w:rFonts w:hint="eastAsia"/>
                <w:color w:val="auto"/>
                <w:highlight w:val="none"/>
                <w:lang w:val="en-US" w:eastAsia="zh-CN"/>
              </w:rPr>
              <w:t>。热风炉烟气中颗粒物、二氧化硫源强核算参照</w:t>
            </w:r>
            <w:r>
              <w:rPr>
                <w:rFonts w:hint="eastAsia"/>
                <w:color w:val="auto"/>
                <w:highlight w:val="none"/>
              </w:rPr>
              <w:t>《污染源源强核算技术指南 锅炉》（HJ991-2018）中的物料衡算法</w:t>
            </w:r>
            <w:r>
              <w:rPr>
                <w:rFonts w:hint="eastAsia"/>
                <w:color w:val="auto"/>
                <w:highlight w:val="none"/>
                <w:lang w:eastAsia="zh-CN"/>
              </w:rPr>
              <w:t>，</w:t>
            </w:r>
            <w:r>
              <w:rPr>
                <w:rFonts w:hint="eastAsia"/>
                <w:color w:val="auto"/>
                <w:highlight w:val="none"/>
                <w:lang w:val="en-US" w:eastAsia="zh-CN"/>
              </w:rPr>
              <w:t>热风炉烟气中氮氧化物源强及烟气量核算参照《4430工业锅炉（热力供应）行业系数手册》中经验公式估算法。具体核算过程如下：</w:t>
            </w:r>
          </w:p>
          <w:p w14:paraId="0337EFB4">
            <w:pPr>
              <w:pStyle w:val="46"/>
              <w:bidi w:val="0"/>
              <w:rPr>
                <w:rFonts w:hint="default"/>
                <w:color w:val="auto"/>
                <w:highlight w:val="none"/>
                <w:lang w:val="en-US" w:eastAsia="zh-CN"/>
              </w:rPr>
            </w:pPr>
            <w:r>
              <w:rPr>
                <w:rFonts w:hint="eastAsia"/>
                <w:color w:val="auto"/>
                <w:highlight w:val="none"/>
                <w:lang w:val="en-US" w:eastAsia="zh-CN"/>
              </w:rPr>
              <w:t>（a）热风炉烟气量</w:t>
            </w:r>
          </w:p>
          <w:p w14:paraId="0042DCA3">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根据《污染源源强核算技术指南 锅炉》附录 C.5，</w:t>
            </w:r>
            <w:r>
              <w:rPr>
                <w:rFonts w:hint="eastAsia" w:cs="Times New Roman"/>
                <w:color w:val="auto"/>
                <w:highlight w:val="none"/>
                <w:lang w:eastAsia="zh-CN"/>
              </w:rPr>
              <w:t>“</w:t>
            </w:r>
            <w:r>
              <w:rPr>
                <w:rFonts w:hint="default" w:ascii="Times New Roman" w:hAnsi="Times New Roman" w:cs="Times New Roman"/>
                <w:color w:val="auto"/>
                <w:highlight w:val="none"/>
              </w:rPr>
              <w:t>没有全元素分析时干烟气排放量的经验公式计算参照 HJ953</w:t>
            </w:r>
            <w:r>
              <w:rPr>
                <w:rFonts w:hint="eastAsia" w:cs="Times New Roman"/>
                <w:color w:val="auto"/>
                <w:highlight w:val="none"/>
                <w:lang w:eastAsia="zh-CN"/>
              </w:rPr>
              <w:t>”</w:t>
            </w:r>
            <w:r>
              <w:rPr>
                <w:rFonts w:hint="default" w:ascii="Times New Roman" w:hAnsi="Times New Roman" w:cs="Times New Roman"/>
                <w:color w:val="auto"/>
                <w:highlight w:val="none"/>
              </w:rPr>
              <w:t>。</w:t>
            </w:r>
            <w:r>
              <w:rPr>
                <w:rFonts w:hint="eastAsia" w:cs="Times New Roman"/>
                <w:color w:val="auto"/>
                <w:highlight w:val="none"/>
                <w:lang w:val="en-US" w:eastAsia="zh-CN"/>
              </w:rPr>
              <w:t>根据《排污许可证申请与核发技术规范 锅炉》（</w:t>
            </w:r>
            <w:r>
              <w:rPr>
                <w:rFonts w:hint="default" w:ascii="Times New Roman" w:hAnsi="Times New Roman" w:cs="Times New Roman"/>
                <w:color w:val="auto"/>
                <w:highlight w:val="none"/>
              </w:rPr>
              <w:t>HJ953</w:t>
            </w:r>
            <w:r>
              <w:rPr>
                <w:rFonts w:hint="eastAsia" w:cs="Times New Roman"/>
                <w:color w:val="auto"/>
                <w:highlight w:val="none"/>
                <w:lang w:val="en-US" w:eastAsia="zh-CN"/>
              </w:rPr>
              <w:t xml:space="preserve">-2018）中“5.2.3.2 基准烟气量核算方法 b）经验公式估算法 </w:t>
            </w:r>
            <w:r>
              <w:rPr>
                <w:rFonts w:hint="default" w:ascii="Times New Roman" w:hAnsi="Times New Roman" w:cs="Times New Roman"/>
                <w:color w:val="auto"/>
                <w:highlight w:val="none"/>
              </w:rPr>
              <w:t>锅炉排污单位燃料无全元素分析数据，可根据燃料低位发热量计算基准烟气量</w:t>
            </w:r>
            <w:r>
              <w:rPr>
                <w:rFonts w:hint="eastAsia" w:cs="Times New Roman"/>
                <w:color w:val="auto"/>
                <w:highlight w:val="none"/>
                <w:lang w:val="en-US" w:eastAsia="zh-CN"/>
              </w:rPr>
              <w:t>”</w:t>
            </w:r>
            <w:r>
              <w:rPr>
                <w:rFonts w:hint="default" w:ascii="Times New Roman" w:hAnsi="Times New Roman" w:cs="Times New Roman"/>
                <w:color w:val="auto"/>
                <w:highlight w:val="none"/>
              </w:rPr>
              <w:t>。</w:t>
            </w:r>
          </w:p>
          <w:p w14:paraId="2016FBFC">
            <w:pPr>
              <w:pStyle w:val="5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表4-1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基准烟气量取值表</w:t>
            </w:r>
          </w:p>
          <w:tbl>
            <w:tblPr>
              <w:tblStyle w:val="3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83"/>
              <w:gridCol w:w="1425"/>
              <w:gridCol w:w="2670"/>
              <w:gridCol w:w="958"/>
            </w:tblGrid>
            <w:tr w14:paraId="0E94B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0" w:type="pct"/>
                  <w:gridSpan w:val="3"/>
                  <w:tcBorders>
                    <w:tl2br w:val="nil"/>
                    <w:tr2bl w:val="nil"/>
                  </w:tcBorders>
                  <w:vAlign w:val="center"/>
                </w:tcPr>
                <w:p w14:paraId="2CCDB0D1">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锅炉</w:t>
                  </w:r>
                </w:p>
              </w:tc>
              <w:tc>
                <w:tcPr>
                  <w:tcW w:w="1758" w:type="pct"/>
                  <w:tcBorders>
                    <w:tl2br w:val="nil"/>
                    <w:tr2bl w:val="nil"/>
                  </w:tcBorders>
                  <w:vAlign w:val="center"/>
                </w:tcPr>
                <w:p w14:paraId="6A05019D">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基准烟气量</w:t>
                  </w:r>
                </w:p>
              </w:tc>
              <w:tc>
                <w:tcPr>
                  <w:tcW w:w="630" w:type="pct"/>
                  <w:tcBorders>
                    <w:tl2br w:val="nil"/>
                    <w:tr2bl w:val="nil"/>
                  </w:tcBorders>
                  <w:vAlign w:val="center"/>
                </w:tcPr>
                <w:p w14:paraId="5D1BCD02">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单位</w:t>
                  </w:r>
                </w:p>
              </w:tc>
            </w:tr>
            <w:tr w14:paraId="0C0C5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vMerge w:val="restart"/>
                  <w:tcBorders>
                    <w:tl2br w:val="nil"/>
                    <w:tr2bl w:val="nil"/>
                  </w:tcBorders>
                  <w:vAlign w:val="center"/>
                </w:tcPr>
                <w:p w14:paraId="797A8FA9">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燃生物质热风炉</w:t>
                  </w:r>
                </w:p>
              </w:tc>
              <w:tc>
                <w:tcPr>
                  <w:tcW w:w="1042" w:type="pct"/>
                  <w:vMerge w:val="restart"/>
                  <w:tcBorders>
                    <w:tl2br w:val="nil"/>
                    <w:tr2bl w:val="nil"/>
                  </w:tcBorders>
                  <w:vAlign w:val="center"/>
                </w:tcPr>
                <w:p w14:paraId="6DE639EE">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Qnet</w:t>
                  </w:r>
                  <w:r>
                    <w:rPr>
                      <w:rFonts w:hint="eastAsia" w:cs="Times New Roman"/>
                      <w:color w:val="auto"/>
                      <w:highlight w:val="none"/>
                      <w:lang w:eastAsia="zh-CN"/>
                    </w:rPr>
                    <w:t xml:space="preserve">, </w:t>
                  </w:r>
                  <w:r>
                    <w:rPr>
                      <w:rFonts w:hint="default" w:ascii="Times New Roman" w:hAnsi="Times New Roman" w:cs="Times New Roman"/>
                      <w:color w:val="auto"/>
                      <w:highlight w:val="none"/>
                    </w:rPr>
                    <w:t>ar≥12.54MJ/kg</w:t>
                  </w:r>
                </w:p>
              </w:tc>
              <w:tc>
                <w:tcPr>
                  <w:tcW w:w="938" w:type="pct"/>
                  <w:tcBorders>
                    <w:tl2br w:val="nil"/>
                    <w:tr2bl w:val="nil"/>
                  </w:tcBorders>
                  <w:vAlign w:val="center"/>
                </w:tcPr>
                <w:p w14:paraId="34496343">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Vdaf</w:t>
                  </w:r>
                  <w:r>
                    <w:rPr>
                      <w:rFonts w:hint="default" w:ascii="Times New Roman" w:hAnsi="Times New Roman" w:cs="Times New Roman"/>
                      <w:color w:val="auto"/>
                      <w:highlight w:val="none"/>
                      <w:lang w:val="zh-CN"/>
                    </w:rPr>
                    <w:t>≥</w:t>
                  </w:r>
                  <w:r>
                    <w:rPr>
                      <w:rFonts w:hint="default" w:ascii="Times New Roman" w:hAnsi="Times New Roman" w:cs="Times New Roman"/>
                      <w:color w:val="auto"/>
                      <w:highlight w:val="none"/>
                    </w:rPr>
                    <w:t>15%</w:t>
                  </w:r>
                </w:p>
              </w:tc>
              <w:tc>
                <w:tcPr>
                  <w:tcW w:w="1758" w:type="pct"/>
                  <w:tcBorders>
                    <w:tl2br w:val="nil"/>
                    <w:tr2bl w:val="nil"/>
                  </w:tcBorders>
                  <w:vAlign w:val="center"/>
                </w:tcPr>
                <w:p w14:paraId="7E71C84B">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Vgy=0.393</w:t>
                  </w:r>
                  <w:r>
                    <w:rPr>
                      <w:rFonts w:hint="default" w:ascii="Times New Roman" w:hAnsi="Times New Roman" w:cs="Times New Roman"/>
                      <w:color w:val="auto"/>
                      <w:highlight w:val="none"/>
                      <w:lang w:val="zh-CN"/>
                    </w:rPr>
                    <w:t>Qnet</w:t>
                  </w:r>
                  <w:r>
                    <w:rPr>
                      <w:rFonts w:hint="eastAsia" w:cs="Times New Roman"/>
                      <w:color w:val="auto"/>
                      <w:highlight w:val="none"/>
                      <w:lang w:val="zh-CN"/>
                    </w:rPr>
                    <w:t xml:space="preserve">, </w:t>
                  </w:r>
                  <w:r>
                    <w:rPr>
                      <w:rFonts w:hint="default" w:ascii="Times New Roman" w:hAnsi="Times New Roman" w:cs="Times New Roman"/>
                      <w:color w:val="auto"/>
                      <w:highlight w:val="none"/>
                      <w:lang w:val="zh-CN"/>
                    </w:rPr>
                    <w:t>ar</w:t>
                  </w:r>
                  <w:r>
                    <w:rPr>
                      <w:rFonts w:hint="default" w:ascii="Times New Roman" w:hAnsi="Times New Roman" w:cs="Times New Roman"/>
                      <w:color w:val="auto"/>
                      <w:highlight w:val="none"/>
                    </w:rPr>
                    <w:t>+0.876</w:t>
                  </w:r>
                </w:p>
              </w:tc>
              <w:tc>
                <w:tcPr>
                  <w:tcW w:w="630" w:type="pct"/>
                  <w:tcBorders>
                    <w:tl2br w:val="nil"/>
                    <w:tr2bl w:val="nil"/>
                  </w:tcBorders>
                  <w:vAlign w:val="center"/>
                </w:tcPr>
                <w:p w14:paraId="6E1DE5F8">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/kg</w:t>
                  </w:r>
                </w:p>
              </w:tc>
            </w:tr>
            <w:tr w14:paraId="0CAFF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vMerge w:val="continue"/>
                  <w:tcBorders>
                    <w:tl2br w:val="nil"/>
                    <w:tr2bl w:val="nil"/>
                  </w:tcBorders>
                  <w:vAlign w:val="center"/>
                </w:tcPr>
                <w:p w14:paraId="51734038">
                  <w:pPr>
                    <w:pStyle w:val="60"/>
                    <w:bidi w:val="0"/>
                    <w:rPr>
                      <w:rFonts w:hint="default" w:ascii="Times New Roman" w:hAnsi="Times New Roman" w:cs="Times New Roman"/>
                      <w:color w:val="auto"/>
                      <w:highlight w:val="none"/>
                    </w:rPr>
                  </w:pPr>
                </w:p>
              </w:tc>
              <w:tc>
                <w:tcPr>
                  <w:tcW w:w="1042" w:type="pct"/>
                  <w:vMerge w:val="continue"/>
                  <w:tcBorders>
                    <w:tl2br w:val="nil"/>
                    <w:tr2bl w:val="nil"/>
                  </w:tcBorders>
                  <w:vAlign w:val="center"/>
                </w:tcPr>
                <w:p w14:paraId="4D7373EB">
                  <w:pPr>
                    <w:pStyle w:val="60"/>
                    <w:bidi w:val="0"/>
                    <w:rPr>
                      <w:rFonts w:hint="default" w:ascii="Times New Roman" w:hAnsi="Times New Roman" w:cs="Times New Roman"/>
                      <w:color w:val="auto"/>
                      <w:highlight w:val="none"/>
                    </w:rPr>
                  </w:pPr>
                </w:p>
              </w:tc>
              <w:tc>
                <w:tcPr>
                  <w:tcW w:w="938" w:type="pct"/>
                  <w:tcBorders>
                    <w:tl2br w:val="nil"/>
                    <w:tr2bl w:val="nil"/>
                  </w:tcBorders>
                  <w:vAlign w:val="center"/>
                </w:tcPr>
                <w:p w14:paraId="6132D476">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Vdaf＜15%</w:t>
                  </w:r>
                </w:p>
              </w:tc>
              <w:tc>
                <w:tcPr>
                  <w:tcW w:w="1758" w:type="pct"/>
                  <w:tcBorders>
                    <w:tl2br w:val="nil"/>
                    <w:tr2bl w:val="nil"/>
                  </w:tcBorders>
                  <w:vAlign w:val="center"/>
                </w:tcPr>
                <w:p w14:paraId="760DA7C1">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Vgy=0.385</w:t>
                  </w:r>
                  <w:r>
                    <w:rPr>
                      <w:rFonts w:hint="default" w:ascii="Times New Roman" w:hAnsi="Times New Roman" w:cs="Times New Roman"/>
                      <w:color w:val="auto"/>
                      <w:highlight w:val="none"/>
                      <w:lang w:val="zh-CN"/>
                    </w:rPr>
                    <w:t>Qnet</w:t>
                  </w:r>
                  <w:r>
                    <w:rPr>
                      <w:rFonts w:hint="eastAsia" w:cs="Times New Roman"/>
                      <w:color w:val="auto"/>
                      <w:highlight w:val="none"/>
                      <w:lang w:val="zh-CN"/>
                    </w:rPr>
                    <w:t xml:space="preserve">, </w:t>
                  </w:r>
                  <w:r>
                    <w:rPr>
                      <w:rFonts w:hint="default" w:ascii="Times New Roman" w:hAnsi="Times New Roman" w:cs="Times New Roman"/>
                      <w:color w:val="auto"/>
                      <w:highlight w:val="none"/>
                      <w:lang w:val="zh-CN"/>
                    </w:rPr>
                    <w:t>ar</w:t>
                  </w:r>
                  <w:r>
                    <w:rPr>
                      <w:rFonts w:hint="default" w:ascii="Times New Roman" w:hAnsi="Times New Roman" w:cs="Times New Roman"/>
                      <w:color w:val="auto"/>
                      <w:highlight w:val="none"/>
                    </w:rPr>
                    <w:t>+1.095</w:t>
                  </w:r>
                </w:p>
              </w:tc>
              <w:tc>
                <w:tcPr>
                  <w:tcW w:w="630" w:type="pct"/>
                  <w:tcBorders>
                    <w:tl2br w:val="nil"/>
                    <w:tr2bl w:val="nil"/>
                  </w:tcBorders>
                  <w:vAlign w:val="center"/>
                </w:tcPr>
                <w:p w14:paraId="04E97EBE">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/kg</w:t>
                  </w:r>
                </w:p>
              </w:tc>
            </w:tr>
            <w:tr w14:paraId="3079A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vMerge w:val="continue"/>
                  <w:tcBorders>
                    <w:tl2br w:val="nil"/>
                    <w:tr2bl w:val="nil"/>
                  </w:tcBorders>
                  <w:vAlign w:val="center"/>
                </w:tcPr>
                <w:p w14:paraId="562D5C34">
                  <w:pPr>
                    <w:pStyle w:val="60"/>
                    <w:bidi w:val="0"/>
                    <w:rPr>
                      <w:rFonts w:hint="default" w:ascii="Times New Roman" w:hAnsi="Times New Roman" w:cs="Times New Roman"/>
                      <w:color w:val="auto"/>
                      <w:highlight w:val="none"/>
                    </w:rPr>
                  </w:pPr>
                </w:p>
              </w:tc>
              <w:tc>
                <w:tcPr>
                  <w:tcW w:w="1981" w:type="pct"/>
                  <w:gridSpan w:val="2"/>
                  <w:tcBorders>
                    <w:tl2br w:val="nil"/>
                    <w:tr2bl w:val="nil"/>
                  </w:tcBorders>
                  <w:vAlign w:val="center"/>
                </w:tcPr>
                <w:p w14:paraId="25371F91">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Qnet</w:t>
                  </w:r>
                  <w:r>
                    <w:rPr>
                      <w:rFonts w:hint="eastAsia" w:cs="Times New Roman"/>
                      <w:color w:val="auto"/>
                      <w:highlight w:val="none"/>
                      <w:lang w:eastAsia="zh-CN"/>
                    </w:rPr>
                    <w:t xml:space="preserve">, </w:t>
                  </w:r>
                  <w:r>
                    <w:rPr>
                      <w:rFonts w:hint="default" w:ascii="Times New Roman" w:hAnsi="Times New Roman" w:cs="Times New Roman"/>
                      <w:color w:val="auto"/>
                      <w:highlight w:val="none"/>
                    </w:rPr>
                    <w:t>ar＜12.54MJ/kg</w:t>
                  </w:r>
                </w:p>
              </w:tc>
              <w:tc>
                <w:tcPr>
                  <w:tcW w:w="1758" w:type="pct"/>
                  <w:tcBorders>
                    <w:tl2br w:val="nil"/>
                    <w:tr2bl w:val="nil"/>
                  </w:tcBorders>
                  <w:vAlign w:val="center"/>
                </w:tcPr>
                <w:p w14:paraId="4EC2CE00">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Vgy=0.385Qnet</w:t>
                  </w:r>
                  <w:r>
                    <w:rPr>
                      <w:rFonts w:hint="eastAsia" w:cs="Times New Roman"/>
                      <w:color w:val="auto"/>
                      <w:highlight w:val="none"/>
                      <w:lang w:eastAsia="zh-CN"/>
                    </w:rPr>
                    <w:t xml:space="preserve">, </w:t>
                  </w:r>
                  <w:r>
                    <w:rPr>
                      <w:rFonts w:hint="default" w:ascii="Times New Roman" w:hAnsi="Times New Roman" w:cs="Times New Roman"/>
                      <w:color w:val="auto"/>
                      <w:highlight w:val="none"/>
                    </w:rPr>
                    <w:t>ar+0.788</w:t>
                  </w:r>
                </w:p>
              </w:tc>
              <w:tc>
                <w:tcPr>
                  <w:tcW w:w="630" w:type="pct"/>
                  <w:tcBorders>
                    <w:tl2br w:val="nil"/>
                    <w:tr2bl w:val="nil"/>
                  </w:tcBorders>
                  <w:vAlign w:val="center"/>
                </w:tcPr>
                <w:p w14:paraId="2265A50D">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Nm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/kg</w:t>
                  </w:r>
                </w:p>
              </w:tc>
            </w:tr>
          </w:tbl>
          <w:p w14:paraId="474AC76D">
            <w:pPr>
              <w:pStyle w:val="52"/>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本项目Qnet,ar（收到基低位发热量）为</w:t>
            </w:r>
            <w:r>
              <w:rPr>
                <w:rFonts w:hint="default" w:ascii="Times New Roman" w:hAnsi="Times New Roman" w:cs="Times New Roman"/>
                <w:color w:val="auto"/>
                <w:highlight w:val="none"/>
                <w:lang w:val="en-US" w:eastAsia="zh-CN"/>
              </w:rPr>
              <w:t>17.77</w:t>
            </w:r>
            <w:r>
              <w:rPr>
                <w:rFonts w:hint="default" w:ascii="Times New Roman" w:hAnsi="Times New Roman" w:cs="Times New Roman"/>
                <w:color w:val="auto"/>
                <w:highlight w:val="none"/>
              </w:rPr>
              <w:t>MJ/kg，Vdaf&gt;15%，则基准烟气量经验公式可定为Vgy=0.393Qnet.ar+0.876，本项目年燃生物质的量为</w:t>
            </w:r>
            <w:r>
              <w:rPr>
                <w:rFonts w:hint="eastAsia" w:cs="Times New Roman"/>
                <w:color w:val="auto"/>
                <w:highlight w:val="none"/>
                <w:lang w:val="en-US" w:eastAsia="zh-CN"/>
              </w:rPr>
              <w:t>3050.13</w:t>
            </w:r>
            <w:r>
              <w:rPr>
                <w:rFonts w:hint="default" w:ascii="Times New Roman" w:hAnsi="Times New Roman" w:cs="Times New Roman"/>
                <w:color w:val="auto"/>
                <w:highlight w:val="none"/>
              </w:rPr>
              <w:t>t。</w:t>
            </w:r>
          </w:p>
          <w:p w14:paraId="1AD1859B">
            <w:pPr>
              <w:pStyle w:val="4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则本项目的基准烟气量为Vgy=（0.393×1</w:t>
            </w:r>
            <w:r>
              <w:rPr>
                <w:rFonts w:hint="default" w:ascii="Times New Roman" w:hAnsi="Times New Roman" w:cs="Times New Roman"/>
                <w:color w:val="auto"/>
                <w:highlight w:val="none"/>
                <w:lang w:val="en-US" w:eastAsia="zh-CN"/>
              </w:rPr>
              <w:t>7.77</w:t>
            </w:r>
            <w:r>
              <w:rPr>
                <w:rFonts w:hint="default" w:ascii="Times New Roman" w:hAnsi="Times New Roman" w:cs="Times New Roman"/>
                <w:color w:val="auto"/>
                <w:highlight w:val="none"/>
              </w:rPr>
              <w:t>+0.876）=</w:t>
            </w:r>
            <w:r>
              <w:rPr>
                <w:rFonts w:hint="default" w:ascii="Times New Roman" w:hAnsi="Times New Roman" w:cs="Times New Roman"/>
                <w:color w:val="auto"/>
                <w:highlight w:val="none"/>
                <w:lang w:val="en-US" w:eastAsia="zh-CN"/>
              </w:rPr>
              <w:t>7.85961</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/kg</w:t>
            </w:r>
            <w:r>
              <w:rPr>
                <w:rFonts w:hint="default" w:ascii="Times New Roman" w:hAnsi="Times New Roman" w:cs="Times New Roman"/>
                <w:color w:val="auto"/>
                <w:highlight w:val="none"/>
                <w:lang w:eastAsia="zh-CN"/>
              </w:rPr>
              <w:t>；</w:t>
            </w:r>
          </w:p>
          <w:p w14:paraId="72FF3916">
            <w:pPr>
              <w:pStyle w:val="46"/>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热风炉</w:t>
            </w:r>
            <w:r>
              <w:rPr>
                <w:rFonts w:hint="default" w:ascii="Times New Roman" w:hAnsi="Times New Roman" w:cs="Times New Roman"/>
                <w:color w:val="auto"/>
                <w:highlight w:val="none"/>
              </w:rPr>
              <w:t>烟气量：</w:t>
            </w:r>
            <w:r>
              <w:rPr>
                <w:rFonts w:hint="default" w:ascii="Times New Roman" w:hAnsi="Times New Roman" w:cs="Times New Roman"/>
                <w:color w:val="auto"/>
                <w:highlight w:val="none"/>
                <w:lang w:val="en-US" w:eastAsia="zh-CN"/>
              </w:rPr>
              <w:t>7.85961</w:t>
            </w:r>
            <w:r>
              <w:rPr>
                <w:rFonts w:hint="default" w:ascii="Times New Roman" w:hAnsi="Times New Roman" w:cs="Times New Roman"/>
                <w:color w:val="auto"/>
                <w:highlight w:val="none"/>
              </w:rPr>
              <w:t>×</w:t>
            </w:r>
            <w:r>
              <w:rPr>
                <w:rFonts w:hint="eastAsia" w:cs="Times New Roman"/>
                <w:color w:val="auto"/>
                <w:highlight w:val="none"/>
                <w:lang w:val="en-US" w:eastAsia="zh-CN"/>
              </w:rPr>
              <w:t>3050.13</w:t>
            </w:r>
            <w:r>
              <w:rPr>
                <w:rFonts w:hint="default" w:ascii="Times New Roman" w:hAnsi="Times New Roman" w:cs="Times New Roman"/>
                <w:color w:val="auto"/>
                <w:highlight w:val="none"/>
              </w:rPr>
              <w:t>×10</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r>
              <w:rPr>
                <w:rFonts w:hint="eastAsia" w:cs="Times New Roman"/>
                <w:color w:val="auto"/>
                <w:highlight w:val="none"/>
                <w:lang w:val="en-US" w:eastAsia="zh-CN"/>
              </w:rPr>
              <w:t>23972827.87</w:t>
            </w:r>
            <w:r>
              <w:rPr>
                <w:rFonts w:hint="default" w:ascii="Times New Roman" w:hAnsi="Times New Roman" w:cs="Times New Roman"/>
                <w:color w:val="auto"/>
                <w:highlight w:val="none"/>
              </w:rPr>
              <w:t>Nm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16647.80</w:t>
            </w:r>
            <w:r>
              <w:rPr>
                <w:rFonts w:hint="default" w:ascii="Times New Roman" w:hAnsi="Times New Roman" w:cs="Times New Roman"/>
                <w:color w:val="auto"/>
                <w:highlight w:val="none"/>
              </w:rPr>
              <w:t>Nm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/h</w:t>
            </w:r>
            <w:r>
              <w:rPr>
                <w:rFonts w:hint="default" w:ascii="Times New Roman" w:hAnsi="Times New Roman" w:cs="Times New Roman"/>
                <w:color w:val="auto"/>
                <w:highlight w:val="none"/>
                <w:lang w:eastAsia="zh-CN"/>
              </w:rPr>
              <w:t>）</w:t>
            </w:r>
            <w:r>
              <w:rPr>
                <w:rFonts w:hint="eastAsia" w:cs="Times New Roman"/>
                <w:color w:val="auto"/>
                <w:highlight w:val="none"/>
                <w:lang w:eastAsia="zh-CN"/>
              </w:rPr>
              <w:t>；</w:t>
            </w:r>
          </w:p>
          <w:p w14:paraId="6F659E6A">
            <w:pPr>
              <w:pStyle w:val="50"/>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表4-</w:t>
            </w:r>
            <w:r>
              <w:rPr>
                <w:rFonts w:hint="eastAsia" w:cs="Times New Roman"/>
                <w:color w:val="auto"/>
                <w:highlight w:val="none"/>
                <w:lang w:val="en-US" w:eastAsia="zh-CN"/>
              </w:rPr>
              <w:t>2</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基准烟气量取值</w:t>
            </w:r>
            <w:r>
              <w:rPr>
                <w:rFonts w:hint="eastAsia" w:cs="Times New Roman"/>
                <w:color w:val="auto"/>
                <w:highlight w:val="none"/>
                <w:lang w:val="en-US" w:eastAsia="zh-CN"/>
              </w:rPr>
              <w:t>结果</w:t>
            </w:r>
          </w:p>
          <w:tbl>
            <w:tblPr>
              <w:tblStyle w:val="3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31"/>
              <w:gridCol w:w="2531"/>
              <w:gridCol w:w="2533"/>
            </w:tblGrid>
            <w:tr w14:paraId="7482D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6" w:type="pct"/>
                  <w:tcBorders>
                    <w:tl2br w:val="nil"/>
                    <w:tr2bl w:val="nil"/>
                  </w:tcBorders>
                  <w:vAlign w:val="center"/>
                </w:tcPr>
                <w:p w14:paraId="632A5E6B">
                  <w:pPr>
                    <w:pStyle w:val="60"/>
                    <w:bidi w:val="0"/>
                    <w:rPr>
                      <w:rFonts w:hint="eastAsia" w:ascii="Times New Roman" w:hAnsi="Times New Roman" w:eastAsia="宋体" w:cs="Times New Roman"/>
                      <w:color w:val="auto"/>
                      <w:highlight w:val="none"/>
                      <w:lang w:eastAsia="zh-CN"/>
                    </w:rPr>
                  </w:pPr>
                  <w:r>
                    <w:rPr>
                      <w:color w:val="auto"/>
                      <w:sz w:val="21"/>
                      <w:szCs w:val="21"/>
                      <w:highlight w:val="none"/>
                    </w:rPr>
                    <w:t>装置</w:t>
                  </w:r>
                </w:p>
              </w:tc>
              <w:tc>
                <w:tcPr>
                  <w:tcW w:w="1666" w:type="pct"/>
                  <w:tcBorders>
                    <w:tl2br w:val="nil"/>
                    <w:tr2bl w:val="nil"/>
                  </w:tcBorders>
                  <w:vAlign w:val="center"/>
                </w:tcPr>
                <w:p w14:paraId="392DC8F4">
                  <w:pPr>
                    <w:pStyle w:val="60"/>
                    <w:bidi w:val="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烟气量</w:t>
                  </w:r>
                </w:p>
              </w:tc>
              <w:tc>
                <w:tcPr>
                  <w:tcW w:w="1667" w:type="pct"/>
                  <w:tcBorders>
                    <w:tl2br w:val="nil"/>
                    <w:tr2bl w:val="nil"/>
                  </w:tcBorders>
                  <w:vAlign w:val="center"/>
                </w:tcPr>
                <w:p w14:paraId="5E35056C">
                  <w:pPr>
                    <w:pStyle w:val="60"/>
                    <w:bidi w:val="0"/>
                    <w:rPr>
                      <w:rFonts w:hint="default" w:cs="Times New Roman"/>
                      <w:color w:val="auto"/>
                      <w:highlight w:val="none"/>
                      <w:lang w:val="en-US" w:eastAsia="zh-CN"/>
                    </w:rPr>
                  </w:pPr>
                  <w:r>
                    <w:rPr>
                      <w:rFonts w:hint="eastAsia" w:cs="Times New Roman"/>
                      <w:color w:val="auto"/>
                      <w:highlight w:val="none"/>
                      <w:lang w:val="en-US" w:eastAsia="zh-CN"/>
                    </w:rPr>
                    <w:t>单位</w:t>
                  </w:r>
                </w:p>
              </w:tc>
            </w:tr>
            <w:tr w14:paraId="165DD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6" w:type="pct"/>
                  <w:tcBorders>
                    <w:tl2br w:val="nil"/>
                    <w:tr2bl w:val="nil"/>
                  </w:tcBorders>
                  <w:vAlign w:val="center"/>
                </w:tcPr>
                <w:p w14:paraId="5530A648">
                  <w:pPr>
                    <w:pStyle w:val="60"/>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热风炉</w:t>
                  </w:r>
                </w:p>
              </w:tc>
              <w:tc>
                <w:tcPr>
                  <w:tcW w:w="1666" w:type="pct"/>
                  <w:tcBorders>
                    <w:tl2br w:val="nil"/>
                    <w:tr2bl w:val="nil"/>
                  </w:tcBorders>
                  <w:vAlign w:val="center"/>
                </w:tcPr>
                <w:p w14:paraId="46D3A28D">
                  <w:pPr>
                    <w:pStyle w:val="60"/>
                    <w:bidi w:val="0"/>
                    <w:rPr>
                      <w:rFonts w:hint="default" w:ascii="Times New Roman" w:hAnsi="Times New Roman" w:cs="Times New Roman"/>
                      <w:color w:val="auto"/>
                      <w:highlight w:val="none"/>
                    </w:rPr>
                  </w:pPr>
                  <w:r>
                    <w:rPr>
                      <w:rFonts w:hint="eastAsia" w:cs="Times New Roman"/>
                      <w:color w:val="auto"/>
                      <w:highlight w:val="none"/>
                      <w:lang w:val="en-US" w:eastAsia="zh-CN"/>
                    </w:rPr>
                    <w:t>16647.80</w:t>
                  </w:r>
                </w:p>
              </w:tc>
              <w:tc>
                <w:tcPr>
                  <w:tcW w:w="1667" w:type="pct"/>
                  <w:tcBorders>
                    <w:tl2br w:val="nil"/>
                    <w:tr2bl w:val="nil"/>
                  </w:tcBorders>
                  <w:vAlign w:val="center"/>
                </w:tcPr>
                <w:p w14:paraId="04FD80D3">
                  <w:pPr>
                    <w:pStyle w:val="60"/>
                    <w:bidi w:val="0"/>
                    <w:rPr>
                      <w:rFonts w:hint="eastAsia"/>
                      <w:color w:val="auto"/>
                      <w:highlight w:val="none"/>
                      <w:lang w:val="en-US" w:eastAsia="zh-CN"/>
                    </w:rPr>
                  </w:pPr>
                  <w:r>
                    <w:rPr>
                      <w:rFonts w:hint="default"/>
                      <w:color w:val="auto"/>
                      <w:highlight w:val="none"/>
                    </w:rPr>
                    <w:t>Nm</w:t>
                  </w:r>
                  <w:r>
                    <w:rPr>
                      <w:rFonts w:hint="default"/>
                      <w:color w:val="auto"/>
                      <w:highlight w:val="none"/>
                      <w:vertAlign w:val="superscript"/>
                      <w:lang w:val="en-US" w:eastAsia="zh-CN"/>
                    </w:rPr>
                    <w:t>3</w:t>
                  </w:r>
                  <w:r>
                    <w:rPr>
                      <w:rFonts w:hint="default"/>
                      <w:color w:val="auto"/>
                      <w:highlight w:val="none"/>
                      <w:lang w:val="en-US" w:eastAsia="zh-CN"/>
                    </w:rPr>
                    <w:t>/h</w:t>
                  </w:r>
                </w:p>
              </w:tc>
            </w:tr>
          </w:tbl>
          <w:p w14:paraId="67DE7365">
            <w:pPr>
              <w:pStyle w:val="52"/>
              <w:bidi w:val="0"/>
              <w:rPr>
                <w:rFonts w:hint="default"/>
                <w:color w:val="auto"/>
                <w:highlight w:val="none"/>
                <w:lang w:val="en-US" w:eastAsia="zh-CN"/>
              </w:rPr>
            </w:pPr>
            <w:r>
              <w:rPr>
                <w:rFonts w:hint="eastAsia"/>
                <w:color w:val="auto"/>
                <w:highlight w:val="none"/>
                <w:lang w:val="en-US" w:eastAsia="zh-CN"/>
              </w:rPr>
              <w:t>（b）颗粒物</w:t>
            </w:r>
          </w:p>
          <w:p w14:paraId="2F293DF1">
            <w:pPr>
              <w:pStyle w:val="46"/>
              <w:bidi w:val="0"/>
              <w:rPr>
                <w:rFonts w:hint="default"/>
                <w:color w:val="auto"/>
                <w:highlight w:val="none"/>
                <w:lang w:val="en-US" w:eastAsia="zh-CN"/>
              </w:rPr>
            </w:pPr>
            <w:r>
              <w:rPr>
                <w:rFonts w:hint="default"/>
                <w:color w:val="auto"/>
                <w:highlight w:val="none"/>
              </w:rPr>
              <w:t>在《排污许可证申请与核发技术规范</w:t>
            </w:r>
            <w:r>
              <w:rPr>
                <w:rFonts w:hint="default"/>
                <w:color w:val="auto"/>
                <w:highlight w:val="none"/>
                <w:lang w:val="en-US" w:eastAsia="zh-CN"/>
              </w:rPr>
              <w:t xml:space="preserve"> </w:t>
            </w:r>
            <w:r>
              <w:rPr>
                <w:rFonts w:hint="default"/>
                <w:color w:val="auto"/>
                <w:highlight w:val="none"/>
              </w:rPr>
              <w:t>工业炉窑》（HJ1121—2020）中</w:t>
            </w:r>
            <w:r>
              <w:rPr>
                <w:rFonts w:hint="default"/>
                <w:color w:val="auto"/>
                <w:highlight w:val="none"/>
                <w:lang w:val="en-US" w:eastAsia="zh-CN"/>
              </w:rPr>
              <w:t>烟尘</w:t>
            </w:r>
            <w:r>
              <w:rPr>
                <w:rFonts w:hint="default"/>
                <w:color w:val="auto"/>
                <w:highlight w:val="none"/>
              </w:rPr>
              <w:t>没有物料衡算法，所以</w:t>
            </w:r>
            <w:r>
              <w:rPr>
                <w:rFonts w:hint="default"/>
                <w:color w:val="auto"/>
                <w:highlight w:val="none"/>
                <w:lang w:val="en-US" w:eastAsia="zh-CN"/>
              </w:rPr>
              <w:t>烟尘</w:t>
            </w:r>
            <w:r>
              <w:rPr>
                <w:rFonts w:hint="default"/>
                <w:color w:val="auto"/>
                <w:highlight w:val="none"/>
              </w:rPr>
              <w:t>参照《污染源源强核算技术指南 锅炉》（HJ991-2018）中物料衡算法</w:t>
            </w:r>
            <w:r>
              <w:rPr>
                <w:rFonts w:hint="eastAsia"/>
                <w:color w:val="auto"/>
                <w:highlight w:val="none"/>
                <w:lang w:eastAsia="zh-CN"/>
              </w:rPr>
              <w:t>，</w:t>
            </w:r>
            <w:r>
              <w:rPr>
                <w:rFonts w:hint="eastAsia"/>
                <w:color w:val="auto"/>
                <w:highlight w:val="none"/>
                <w:lang w:val="en-US" w:eastAsia="zh-CN"/>
              </w:rPr>
              <w:t>热风炉烟气颗粒物源强计算公式如下：</w:t>
            </w:r>
          </w:p>
          <w:p w14:paraId="48B6666F">
            <w:pPr>
              <w:pStyle w:val="50"/>
              <w:bidi w:val="0"/>
              <w:rPr>
                <w:rFonts w:hint="eastAsia" w:ascii="Times New Roman" w:hAnsi="Times New Roman" w:eastAsia="宋体" w:cs="Times New Roman"/>
                <w:color w:val="auto"/>
                <w:sz w:val="24"/>
                <w:highlight w:val="none"/>
                <w:lang w:val="en-US" w:eastAsia="zh-CN" w:bidi="ar"/>
              </w:rPr>
            </w:pPr>
            <w:r>
              <w:rPr>
                <w:color w:val="auto"/>
                <w:position w:val="-56"/>
                <w:sz w:val="24"/>
                <w:highlight w:val="none"/>
              </w:rPr>
              <w:object>
                <v:shape id="_x0000_i1030" o:spt="75" type="#_x0000_t75" style="height:56.7pt;width:129.7pt;" o:ole="t" filled="f" o:preferrelative="t" stroked="f" coordsize="21600,21600">
                  <v:path/>
                  <v:fill on="f" focussize="0,0"/>
                  <v:stroke on="f"/>
                  <v:imagedata r:id="rId33" o:title=""/>
                  <o:lock v:ext="edit" aspectratio="t"/>
                  <w10:wrap type="none"/>
                  <w10:anchorlock/>
                </v:shape>
                <o:OLEObject Type="Embed" ProgID="Equation.KSEE3" ShapeID="_x0000_i1030" DrawAspect="Content" ObjectID="_1468075730" r:id="rId32">
                  <o:LockedField>false</o:LockedField>
                </o:OLEObject>
              </w:object>
            </w:r>
          </w:p>
          <w:p w14:paraId="15D9C939">
            <w:pPr>
              <w:pStyle w:val="46"/>
              <w:bidi w:val="0"/>
              <w:rPr>
                <w:color w:val="auto"/>
                <w:highlight w:val="none"/>
              </w:rPr>
            </w:pPr>
            <w:r>
              <w:rPr>
                <w:color w:val="auto"/>
                <w:highlight w:val="none"/>
              </w:rPr>
              <w:t>式中：</w:t>
            </w:r>
          </w:p>
          <w:p w14:paraId="5D15A946">
            <w:pPr>
              <w:pStyle w:val="46"/>
              <w:bidi w:val="0"/>
              <w:rPr>
                <w:color w:val="auto"/>
                <w:highlight w:val="none"/>
              </w:rPr>
            </w:pPr>
            <w:r>
              <w:rPr>
                <w:rFonts w:cs="Times New Roman"/>
                <w:color w:val="auto"/>
                <w:position w:val="-10"/>
                <w:highlight w:val="none"/>
              </w:rPr>
              <w:object>
                <v:shape id="_x0000_i1031" o:spt="75" type="#_x0000_t75" style="height:17pt;width:17pt;" o:ole="t" filled="f" o:preferrelative="t" stroked="f" coordsize="21600,21600">
                  <v:path/>
                  <v:fill on="f" focussize="0,0"/>
                  <v:stroke on="f"/>
                  <v:imagedata r:id="rId35" o:title=""/>
                  <o:lock v:ext="edit" aspectratio="t"/>
                  <w10:wrap type="none"/>
                  <w10:anchorlock/>
                </v:shape>
                <o:OLEObject Type="Embed" ProgID="Equation.KSEE3" ShapeID="_x0000_i1031" DrawAspect="Content" ObjectID="_1468075731" r:id="rId34">
                  <o:LockedField>false</o:LockedField>
                </o:OLEObject>
              </w:object>
            </w:r>
            <w:r>
              <w:rPr>
                <w:color w:val="auto"/>
                <w:highlight w:val="none"/>
              </w:rPr>
              <w:t>—核算时段颗粒物（烟尘）排放量，t；</w:t>
            </w:r>
          </w:p>
          <w:p w14:paraId="0B3F43EF">
            <w:pPr>
              <w:pStyle w:val="46"/>
              <w:bidi w:val="0"/>
              <w:rPr>
                <w:rFonts w:hint="eastAsia"/>
                <w:color w:val="auto"/>
                <w:highlight w:val="none"/>
                <w:lang w:val="en-US" w:eastAsia="zh-CN"/>
              </w:rPr>
            </w:pPr>
            <w:r>
              <w:rPr>
                <w:rFonts w:ascii="Times New Roman" w:hAnsi="Times New Roman" w:eastAsia="宋体" w:cs="Times New Roman"/>
                <w:color w:val="auto"/>
                <w:kern w:val="2"/>
                <w:szCs w:val="24"/>
                <w:highlight w:val="none"/>
                <w:lang w:val="en-US" w:eastAsia="zh-CN" w:bidi="ar-SA"/>
              </w:rPr>
              <w:object>
                <v:shape id="_x0000_i1032" o:spt="75" type="#_x0000_t75" style="height:12.75pt;width:11.9pt;" o:ole="t" filled="f" o:preferrelative="t" stroked="f" coordsize="21600,21600">
                  <v:path/>
                  <v:fill on="f" focussize="0,0"/>
                  <v:stroke on="f"/>
                  <v:imagedata r:id="rId37" o:title=""/>
                  <o:lock v:ext="edit" aspectratio="t"/>
                  <w10:wrap type="none"/>
                  <w10:anchorlock/>
                </v:shape>
                <o:OLEObject Type="Embed" ProgID="Equation.KSEE3" ShapeID="_x0000_i1032" DrawAspect="Content" ObjectID="_1468075732" r:id="rId36">
                  <o:LockedField>false</o:LockedField>
                </o:OLEObject>
              </w:object>
            </w:r>
            <w:r>
              <w:rPr>
                <w:color w:val="auto"/>
                <w:highlight w:val="none"/>
                <w:lang w:val="en-US" w:eastAsia="zh-CN"/>
              </w:rPr>
              <w:t>—核算时段内锅炉燃料耗量，</w:t>
            </w:r>
            <w:r>
              <w:rPr>
                <w:rFonts w:hint="eastAsia"/>
                <w:color w:val="auto"/>
                <w:highlight w:val="none"/>
                <w:lang w:val="en-US" w:eastAsia="zh-CN"/>
              </w:rPr>
              <w:t>3050.13t</w:t>
            </w:r>
            <w:r>
              <w:rPr>
                <w:color w:val="auto"/>
                <w:highlight w:val="none"/>
                <w:lang w:val="en-US" w:eastAsia="zh-CN"/>
              </w:rPr>
              <w:t>；</w:t>
            </w:r>
          </w:p>
          <w:p w14:paraId="6741019D">
            <w:pPr>
              <w:pStyle w:val="46"/>
              <w:bidi w:val="0"/>
              <w:rPr>
                <w:rFonts w:hint="default"/>
                <w:color w:val="auto"/>
                <w:highlight w:val="none"/>
              </w:rPr>
            </w:pPr>
            <w:r>
              <w:rPr>
                <w:rFonts w:hint="default" w:ascii="Times New Roman" w:hAnsi="Times New Roman" w:eastAsia="宋体" w:cs="Times New Roman"/>
                <w:color w:val="auto"/>
                <w:highlight w:val="none"/>
              </w:rPr>
              <w:object>
                <v:shape id="_x0000_i1033" o:spt="75" type="#_x0000_t75" style="height:17.25pt;width:17.25pt;" o:ole="t" filled="f" o:preferrelative="t" stroked="f" coordsize="21600,21600">
                  <v:path/>
                  <v:fill on="f" focussize="0,0"/>
                  <v:stroke on="f"/>
                  <v:imagedata r:id="rId39" o:title=""/>
                  <o:lock v:ext="edit" aspectratio="t"/>
                  <w10:wrap type="none"/>
                  <w10:anchorlock/>
                </v:shape>
                <o:OLEObject Type="Embed" ProgID="Equation.KSEE3" ShapeID="_x0000_i1033" DrawAspect="Content" ObjectID="_1468075733" r:id="rId38">
                  <o:LockedField>false</o:LockedField>
                </o:OLEObject>
              </w:object>
            </w:r>
            <w:r>
              <w:rPr>
                <w:rFonts w:hint="default"/>
                <w:color w:val="auto"/>
                <w:highlight w:val="none"/>
              </w:rPr>
              <w:t>—收到基灰分的质量分数，</w:t>
            </w:r>
            <w:r>
              <w:rPr>
                <w:rFonts w:hint="eastAsia"/>
                <w:color w:val="auto"/>
                <w:highlight w:val="none"/>
                <w:lang w:val="en-US" w:eastAsia="zh-CN"/>
              </w:rPr>
              <w:t>0.33</w:t>
            </w:r>
            <w:r>
              <w:rPr>
                <w:rFonts w:hint="default"/>
                <w:color w:val="auto"/>
                <w:highlight w:val="none"/>
              </w:rPr>
              <w:t>%（</w:t>
            </w:r>
            <w:r>
              <w:rPr>
                <w:rFonts w:hint="default" w:ascii="Times New Roman" w:hAnsi="Times New Roman" w:eastAsia="宋体" w:cs="Times New Roman"/>
                <w:color w:val="auto"/>
                <w:spacing w:val="0"/>
                <w:kern w:val="0"/>
                <w:sz w:val="24"/>
                <w:szCs w:val="24"/>
                <w:highlight w:val="none"/>
                <w:lang w:val="en-US" w:eastAsia="zh-CN"/>
              </w:rPr>
              <w:t>根据生物质成分分析报告换算得出：Aar=Aad×（1-Mt</w:t>
            </w:r>
            <w:r>
              <w:rPr>
                <w:rFonts w:hint="eastAsia" w:cs="Times New Roman"/>
                <w:color w:val="auto"/>
                <w:spacing w:val="0"/>
                <w:kern w:val="0"/>
                <w:sz w:val="24"/>
                <w:szCs w:val="24"/>
                <w:highlight w:val="none"/>
                <w:lang w:val="en-US" w:eastAsia="zh-CN"/>
              </w:rPr>
              <w:t>，</w:t>
            </w:r>
            <w:r>
              <w:rPr>
                <w:rFonts w:hint="default" w:ascii="Times New Roman" w:hAnsi="Times New Roman" w:eastAsia="宋体" w:cs="Times New Roman"/>
                <w:color w:val="auto"/>
                <w:spacing w:val="0"/>
                <w:kern w:val="0"/>
                <w:sz w:val="24"/>
                <w:szCs w:val="24"/>
                <w:highlight w:val="none"/>
                <w:lang w:val="en-US" w:eastAsia="zh-CN"/>
              </w:rPr>
              <w:t>ar）/（1-Mad）</w:t>
            </w:r>
            <w:r>
              <w:rPr>
                <w:rFonts w:hint="default"/>
                <w:color w:val="auto"/>
                <w:highlight w:val="none"/>
              </w:rPr>
              <w:t>）</w:t>
            </w:r>
          </w:p>
          <w:p w14:paraId="231A74B1">
            <w:pPr>
              <w:pStyle w:val="46"/>
              <w:bidi w:val="0"/>
              <w:rPr>
                <w:rFonts w:hint="default"/>
                <w:color w:val="auto"/>
                <w:highlight w:val="none"/>
              </w:rPr>
            </w:pPr>
            <w:r>
              <w:rPr>
                <w:rFonts w:hint="default" w:ascii="Times New Roman" w:hAnsi="Times New Roman" w:cs="Times New Roman"/>
                <w:color w:val="auto"/>
                <w:position w:val="-14"/>
                <w:highlight w:val="none"/>
              </w:rPr>
              <w:object>
                <v:shape id="_x0000_i1034" o:spt="75" type="#_x0000_t75" style="height:18.75pt;width:17.25pt;" o:ole="t" filled="f" o:preferrelative="t" stroked="f" coordsize="21600,21600">
                  <v:path/>
                  <v:fill on="f" focussize="0,0"/>
                  <v:stroke on="f" joinstyle="miter"/>
                  <v:imagedata r:id="rId41" o:title=""/>
                  <o:lock v:ext="edit" aspectratio="t"/>
                  <w10:wrap type="none"/>
                  <w10:anchorlock/>
                </v:shape>
                <o:OLEObject Type="Embed" ProgID="Equation.KSEE3" ShapeID="_x0000_i1034" DrawAspect="Content" ObjectID="_1468075734" r:id="rId40">
                  <o:LockedField>false</o:LockedField>
                </o:OLEObject>
              </w:object>
            </w:r>
            <w:r>
              <w:rPr>
                <w:rFonts w:hint="default"/>
                <w:color w:val="auto"/>
                <w:highlight w:val="none"/>
              </w:rPr>
              <w:t>—锅炉烟气带出的飞灰份额，取</w:t>
            </w:r>
            <w:r>
              <w:rPr>
                <w:rFonts w:hint="eastAsia"/>
                <w:color w:val="auto"/>
                <w:highlight w:val="none"/>
                <w:lang w:val="en-US" w:eastAsia="zh-CN"/>
              </w:rPr>
              <w:t>50</w:t>
            </w:r>
            <w:r>
              <w:rPr>
                <w:rFonts w:hint="default"/>
                <w:color w:val="auto"/>
                <w:highlight w:val="none"/>
              </w:rPr>
              <w:t>%（</w:t>
            </w:r>
            <w:r>
              <w:rPr>
                <w:rFonts w:hint="default" w:ascii="Times New Roman" w:hAnsi="Times New Roman" w:eastAsia="宋体" w:cs="Times New Roman"/>
                <w:color w:val="auto"/>
                <w:spacing w:val="0"/>
                <w:kern w:val="0"/>
                <w:sz w:val="24"/>
                <w:szCs w:val="24"/>
                <w:highlight w:val="none"/>
                <w:lang w:val="en-US" w:eastAsia="zh-CN"/>
              </w:rPr>
              <w:t>链条炉排炉灰分份额为</w:t>
            </w:r>
            <w:r>
              <w:rPr>
                <w:rFonts w:hint="eastAsia" w:cs="Times New Roman"/>
                <w:color w:val="auto"/>
                <w:spacing w:val="0"/>
                <w:kern w:val="0"/>
                <w:sz w:val="24"/>
                <w:szCs w:val="24"/>
                <w:highlight w:val="none"/>
                <w:lang w:val="en-US" w:eastAsia="zh-CN"/>
              </w:rPr>
              <w:t>10%—20%</w:t>
            </w:r>
            <w:r>
              <w:rPr>
                <w:rFonts w:hint="default" w:ascii="Times New Roman" w:hAnsi="Times New Roman" w:eastAsia="宋体" w:cs="Times New Roman"/>
                <w:color w:val="auto"/>
                <w:spacing w:val="0"/>
                <w:kern w:val="0"/>
                <w:sz w:val="24"/>
                <w:szCs w:val="24"/>
                <w:highlight w:val="none"/>
                <w:lang w:val="en-US" w:eastAsia="zh-CN"/>
              </w:rPr>
              <w:t>，本项目取20%，燃生物质时飞灰份额加30%，则最终灰分份额取50%</w:t>
            </w:r>
            <w:r>
              <w:rPr>
                <w:rFonts w:hint="default"/>
                <w:color w:val="auto"/>
                <w:highlight w:val="none"/>
              </w:rPr>
              <w:t>）</w:t>
            </w:r>
          </w:p>
          <w:p w14:paraId="3A5708B8">
            <w:pPr>
              <w:pStyle w:val="46"/>
              <w:bidi w:val="0"/>
              <w:rPr>
                <w:rFonts w:hint="eastAsia"/>
                <w:color w:val="auto"/>
                <w:highlight w:val="none"/>
                <w:lang w:eastAsia="zh-CN"/>
              </w:rPr>
            </w:pPr>
            <w:r>
              <w:rPr>
                <w:rFonts w:hint="default" w:ascii="Times New Roman" w:hAnsi="Times New Roman" w:cs="Times New Roman"/>
                <w:color w:val="auto"/>
                <w:position w:val="-12"/>
                <w:highlight w:val="none"/>
              </w:rPr>
              <w:object>
                <v:shape id="_x0000_i1035" o:spt="75" type="#_x0000_t75" style="height:17.25pt;width:12.75pt;" o:ole="t" filled="f" o:preferrelative="t" stroked="f" coordsize="21600,21600">
                  <v:path/>
                  <v:fill on="f" focussize="0,0"/>
                  <v:stroke on="f" joinstyle="miter"/>
                  <v:imagedata r:id="rId43" o:title=""/>
                  <o:lock v:ext="edit" aspectratio="t"/>
                  <w10:wrap type="none"/>
                  <w10:anchorlock/>
                </v:shape>
                <o:OLEObject Type="Embed" ProgID="Equation.KSEE3" ShapeID="_x0000_i1035" DrawAspect="Content" ObjectID="_1468075735" r:id="rId42">
                  <o:LockedField>false</o:LockedField>
                </o:OLEObject>
              </w:object>
            </w:r>
            <w:r>
              <w:rPr>
                <w:rFonts w:hint="default"/>
                <w:color w:val="auto"/>
                <w:highlight w:val="none"/>
              </w:rPr>
              <w:t>—综合除尘效率，99%</w:t>
            </w:r>
            <w:r>
              <w:rPr>
                <w:rFonts w:hint="eastAsia"/>
                <w:color w:val="auto"/>
                <w:highlight w:val="none"/>
                <w:lang w:eastAsia="zh-CN"/>
              </w:rPr>
              <w:t>；</w:t>
            </w:r>
          </w:p>
          <w:p w14:paraId="001AA0AD">
            <w:pPr>
              <w:pStyle w:val="46"/>
              <w:bidi w:val="0"/>
              <w:rPr>
                <w:rFonts w:hint="default"/>
                <w:color w:val="auto"/>
                <w:highlight w:val="none"/>
                <w:lang w:val="en-US" w:eastAsia="zh-CN"/>
              </w:rPr>
            </w:pPr>
            <w:r>
              <w:rPr>
                <w:rFonts w:hint="default" w:ascii="Times New Roman" w:hAnsi="Times New Roman" w:eastAsia="宋体" w:cs="Times New Roman"/>
                <w:color w:val="auto"/>
                <w:kern w:val="2"/>
                <w:position w:val="-10"/>
                <w:szCs w:val="24"/>
                <w:highlight w:val="none"/>
                <w:lang w:val="en-US" w:eastAsia="zh-CN" w:bidi="ar-SA"/>
              </w:rPr>
              <w:object>
                <v:shape id="_x0000_i1036" o:spt="75" type="#_x0000_t75" style="height:18.75pt;width:18.75pt;" o:ole="t" filled="f" o:preferrelative="t" stroked="f" coordsize="21600,21600">
                  <v:path/>
                  <v:fill on="f" focussize="0,0"/>
                  <v:stroke on="f"/>
                  <v:imagedata r:id="rId45" o:title=""/>
                  <o:lock v:ext="edit" aspectratio="t"/>
                  <w10:wrap type="none"/>
                  <w10:anchorlock/>
                </v:shape>
                <o:OLEObject Type="Embed" ProgID="Equation.KSEE3" ShapeID="_x0000_i1036" DrawAspect="Content" ObjectID="_1468075736" r:id="rId44">
                  <o:LockedField>false</o:LockedField>
                </o:OLEObject>
              </w:object>
            </w:r>
            <w:r>
              <w:rPr>
                <w:rFonts w:hint="default"/>
                <w:color w:val="auto"/>
                <w:highlight w:val="none"/>
                <w:lang w:val="en-US" w:eastAsia="zh-CN"/>
              </w:rPr>
              <w:t>—飞灰中的可燃物含量，取</w:t>
            </w:r>
            <w:r>
              <w:rPr>
                <w:rFonts w:hint="eastAsia"/>
                <w:color w:val="auto"/>
                <w:highlight w:val="none"/>
                <w:lang w:val="en-US" w:eastAsia="zh-CN"/>
              </w:rPr>
              <w:t>14</w:t>
            </w:r>
            <w:r>
              <w:rPr>
                <w:rFonts w:hint="default"/>
                <w:color w:val="auto"/>
                <w:highlight w:val="none"/>
                <w:lang w:val="en-US" w:eastAsia="zh-CN"/>
              </w:rPr>
              <w:t>%（数据来源《工业锅炉经济运行》（GB/T17954-2007）表4）</w:t>
            </w:r>
            <w:r>
              <w:rPr>
                <w:rFonts w:hint="eastAsia"/>
                <w:color w:val="auto"/>
                <w:highlight w:val="none"/>
                <w:lang w:val="en-US" w:eastAsia="zh-CN"/>
              </w:rPr>
              <w:t>。</w:t>
            </w:r>
          </w:p>
          <w:p w14:paraId="687A5575">
            <w:pPr>
              <w:pStyle w:val="46"/>
              <w:bidi w:val="0"/>
              <w:rPr>
                <w:rFonts w:hint="eastAsia"/>
                <w:color w:val="auto"/>
                <w:highlight w:val="none"/>
                <w:lang w:val="en-US" w:eastAsia="zh-CN"/>
              </w:rPr>
            </w:pPr>
            <w:r>
              <w:rPr>
                <w:rFonts w:hint="default"/>
                <w:color w:val="auto"/>
                <w:highlight w:val="none"/>
                <w:lang w:val="en-US" w:eastAsia="zh-CN"/>
              </w:rPr>
              <w:t>计算</w:t>
            </w:r>
            <w:r>
              <w:rPr>
                <w:rFonts w:hint="eastAsia"/>
                <w:color w:val="auto"/>
                <w:highlight w:val="none"/>
                <w:lang w:val="en-US" w:eastAsia="zh-CN"/>
              </w:rPr>
              <w:t>结果如下：</w:t>
            </w:r>
          </w:p>
          <w:p w14:paraId="5D8041B6">
            <w:pPr>
              <w:pStyle w:val="50"/>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表4-</w:t>
            </w:r>
            <w:r>
              <w:rPr>
                <w:rFonts w:hint="eastAsia" w:cs="Times New Roman"/>
                <w:color w:val="auto"/>
                <w:highlight w:val="none"/>
                <w:lang w:val="en-US" w:eastAsia="zh-CN"/>
              </w:rPr>
              <w:t>3</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eastAsia"/>
                <w:color w:val="auto"/>
                <w:highlight w:val="none"/>
                <w:lang w:val="en-US" w:eastAsia="zh-CN"/>
              </w:rPr>
              <w:t>颗粒物产生、排放计算</w:t>
            </w:r>
            <w:r>
              <w:rPr>
                <w:rFonts w:hint="eastAsia" w:cs="Times New Roman"/>
                <w:color w:val="auto"/>
                <w:highlight w:val="none"/>
                <w:lang w:val="en-US" w:eastAsia="zh-CN"/>
              </w:rPr>
              <w:t>结果</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1"/>
              <w:gridCol w:w="853"/>
              <w:gridCol w:w="908"/>
              <w:gridCol w:w="840"/>
              <w:gridCol w:w="840"/>
              <w:gridCol w:w="840"/>
              <w:gridCol w:w="840"/>
              <w:gridCol w:w="845"/>
              <w:gridCol w:w="708"/>
            </w:tblGrid>
            <w:tr w14:paraId="17604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restart"/>
                  <w:noWrap w:val="0"/>
                  <w:vAlign w:val="center"/>
                </w:tcPr>
                <w:p w14:paraId="2311EADE">
                  <w:pPr>
                    <w:pStyle w:val="60"/>
                    <w:bidi w:val="0"/>
                    <w:rPr>
                      <w:color w:val="auto"/>
                      <w:sz w:val="21"/>
                      <w:szCs w:val="21"/>
                      <w:highlight w:val="none"/>
                    </w:rPr>
                  </w:pPr>
                  <w:r>
                    <w:rPr>
                      <w:color w:val="auto"/>
                      <w:sz w:val="21"/>
                      <w:szCs w:val="21"/>
                      <w:highlight w:val="none"/>
                    </w:rPr>
                    <w:t>装置</w:t>
                  </w:r>
                </w:p>
              </w:tc>
              <w:tc>
                <w:tcPr>
                  <w:tcW w:w="561" w:type="pct"/>
                  <w:vMerge w:val="restart"/>
                  <w:noWrap w:val="0"/>
                  <w:vAlign w:val="center"/>
                </w:tcPr>
                <w:p w14:paraId="74F9182D">
                  <w:pPr>
                    <w:pStyle w:val="60"/>
                    <w:bidi w:val="0"/>
                    <w:rPr>
                      <w:color w:val="auto"/>
                      <w:sz w:val="21"/>
                      <w:szCs w:val="21"/>
                      <w:highlight w:val="none"/>
                    </w:rPr>
                  </w:pPr>
                  <w:r>
                    <w:rPr>
                      <w:color w:val="auto"/>
                      <w:sz w:val="21"/>
                      <w:szCs w:val="21"/>
                      <w:highlight w:val="none"/>
                    </w:rPr>
                    <w:t>污染物</w:t>
                  </w:r>
                </w:p>
              </w:tc>
              <w:tc>
                <w:tcPr>
                  <w:tcW w:w="1703" w:type="pct"/>
                  <w:gridSpan w:val="3"/>
                  <w:noWrap w:val="0"/>
                  <w:vAlign w:val="center"/>
                </w:tcPr>
                <w:p w14:paraId="48275019">
                  <w:pPr>
                    <w:pStyle w:val="60"/>
                    <w:bidi w:val="0"/>
                    <w:rPr>
                      <w:color w:val="auto"/>
                      <w:sz w:val="21"/>
                      <w:szCs w:val="21"/>
                      <w:highlight w:val="none"/>
                    </w:rPr>
                  </w:pPr>
                  <w:r>
                    <w:rPr>
                      <w:color w:val="auto"/>
                      <w:sz w:val="21"/>
                      <w:szCs w:val="21"/>
                      <w:highlight w:val="none"/>
                    </w:rPr>
                    <w:t>污染物产生</w:t>
                  </w:r>
                </w:p>
              </w:tc>
              <w:tc>
                <w:tcPr>
                  <w:tcW w:w="1662" w:type="pct"/>
                  <w:gridSpan w:val="3"/>
                  <w:noWrap w:val="0"/>
                  <w:vAlign w:val="center"/>
                </w:tcPr>
                <w:p w14:paraId="674D68EF">
                  <w:pPr>
                    <w:pStyle w:val="60"/>
                    <w:bidi w:val="0"/>
                    <w:rPr>
                      <w:color w:val="auto"/>
                      <w:sz w:val="21"/>
                      <w:szCs w:val="21"/>
                      <w:highlight w:val="none"/>
                    </w:rPr>
                  </w:pPr>
                  <w:r>
                    <w:rPr>
                      <w:color w:val="auto"/>
                      <w:sz w:val="21"/>
                      <w:szCs w:val="21"/>
                      <w:highlight w:val="none"/>
                    </w:rPr>
                    <w:t>污染物排放</w:t>
                  </w:r>
                </w:p>
              </w:tc>
              <w:tc>
                <w:tcPr>
                  <w:tcW w:w="466" w:type="pct"/>
                  <w:vMerge w:val="restart"/>
                  <w:noWrap w:val="0"/>
                  <w:vAlign w:val="center"/>
                </w:tcPr>
                <w:p w14:paraId="2D7C6FA3">
                  <w:pPr>
                    <w:pStyle w:val="60"/>
                    <w:bidi w:val="0"/>
                    <w:rPr>
                      <w:color w:val="auto"/>
                      <w:sz w:val="21"/>
                      <w:szCs w:val="21"/>
                      <w:highlight w:val="none"/>
                    </w:rPr>
                  </w:pPr>
                  <w:r>
                    <w:rPr>
                      <w:color w:val="auto"/>
                      <w:sz w:val="21"/>
                      <w:szCs w:val="21"/>
                      <w:highlight w:val="none"/>
                    </w:rPr>
                    <w:t>排放时间</w:t>
                  </w:r>
                  <w:r>
                    <w:rPr>
                      <w:rFonts w:hint="eastAsia"/>
                      <w:color w:val="auto"/>
                      <w:sz w:val="21"/>
                      <w:szCs w:val="21"/>
                      <w:highlight w:val="none"/>
                    </w:rPr>
                    <w:t>（h）</w:t>
                  </w:r>
                </w:p>
              </w:tc>
            </w:tr>
            <w:tr w14:paraId="3D800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continue"/>
                  <w:noWrap w:val="0"/>
                  <w:vAlign w:val="center"/>
                </w:tcPr>
                <w:p w14:paraId="48250BBF">
                  <w:pPr>
                    <w:pStyle w:val="60"/>
                    <w:bidi w:val="0"/>
                    <w:rPr>
                      <w:color w:val="auto"/>
                      <w:sz w:val="21"/>
                      <w:szCs w:val="21"/>
                      <w:highlight w:val="none"/>
                    </w:rPr>
                  </w:pPr>
                </w:p>
              </w:tc>
              <w:tc>
                <w:tcPr>
                  <w:tcW w:w="561" w:type="pct"/>
                  <w:vMerge w:val="continue"/>
                  <w:noWrap w:val="0"/>
                  <w:vAlign w:val="center"/>
                </w:tcPr>
                <w:p w14:paraId="0E6B709D">
                  <w:pPr>
                    <w:pStyle w:val="60"/>
                    <w:bidi w:val="0"/>
                    <w:rPr>
                      <w:color w:val="auto"/>
                      <w:sz w:val="21"/>
                      <w:szCs w:val="21"/>
                      <w:highlight w:val="none"/>
                    </w:rPr>
                  </w:pPr>
                </w:p>
              </w:tc>
              <w:tc>
                <w:tcPr>
                  <w:tcW w:w="597" w:type="pct"/>
                  <w:noWrap w:val="0"/>
                  <w:vAlign w:val="center"/>
                </w:tcPr>
                <w:p w14:paraId="4F12C862">
                  <w:pPr>
                    <w:pStyle w:val="60"/>
                    <w:bidi w:val="0"/>
                    <w:rPr>
                      <w:rFonts w:hint="eastAsia" w:eastAsia="宋体"/>
                      <w:color w:val="auto"/>
                      <w:sz w:val="21"/>
                      <w:szCs w:val="21"/>
                      <w:highlight w:val="none"/>
                      <w:lang w:val="en-US" w:eastAsia="zh-CN"/>
                    </w:rPr>
                  </w:pPr>
                  <w:r>
                    <w:rPr>
                      <w:rFonts w:hint="eastAsia"/>
                      <w:color w:val="auto"/>
                      <w:sz w:val="21"/>
                      <w:szCs w:val="21"/>
                      <w:highlight w:val="none"/>
                      <w:lang w:val="en-US" w:eastAsia="zh-CN"/>
                    </w:rPr>
                    <w:t>产生量（t/a）</w:t>
                  </w:r>
                </w:p>
              </w:tc>
              <w:tc>
                <w:tcPr>
                  <w:tcW w:w="552" w:type="pct"/>
                  <w:shd w:val="clear" w:color="auto" w:fill="auto"/>
                  <w:noWrap w:val="0"/>
                  <w:vAlign w:val="center"/>
                </w:tcPr>
                <w:p w14:paraId="1A6E91A6">
                  <w:pPr>
                    <w:pStyle w:val="60"/>
                    <w:bidi w:val="0"/>
                    <w:rPr>
                      <w:rFonts w:hint="eastAsia" w:eastAsia="宋体"/>
                      <w:color w:val="auto"/>
                      <w:sz w:val="21"/>
                      <w:szCs w:val="21"/>
                      <w:highlight w:val="none"/>
                      <w:lang w:eastAsia="zh-CN"/>
                    </w:rPr>
                  </w:pPr>
                  <w:r>
                    <w:rPr>
                      <w:color w:val="auto"/>
                      <w:sz w:val="21"/>
                      <w:szCs w:val="21"/>
                      <w:highlight w:val="none"/>
                    </w:rPr>
                    <w:t>产生</w:t>
                  </w:r>
                  <w:r>
                    <w:rPr>
                      <w:rFonts w:hint="eastAsia"/>
                      <w:color w:val="auto"/>
                      <w:sz w:val="21"/>
                      <w:szCs w:val="21"/>
                      <w:highlight w:val="none"/>
                      <w:lang w:val="en-US" w:eastAsia="zh-CN"/>
                    </w:rPr>
                    <w:t>速率</w:t>
                  </w:r>
                </w:p>
                <w:p w14:paraId="6538F005">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eastAsia="zh-CN"/>
                    </w:rPr>
                    <w:t>(</w:t>
                  </w:r>
                  <w:r>
                    <w:rPr>
                      <w:color w:val="auto"/>
                      <w:sz w:val="21"/>
                      <w:szCs w:val="21"/>
                      <w:highlight w:val="none"/>
                    </w:rPr>
                    <w:t>kg/h</w:t>
                  </w:r>
                  <w:r>
                    <w:rPr>
                      <w:rFonts w:hint="eastAsia"/>
                      <w:color w:val="auto"/>
                      <w:sz w:val="21"/>
                      <w:szCs w:val="21"/>
                      <w:highlight w:val="none"/>
                      <w:lang w:eastAsia="zh-CN"/>
                    </w:rPr>
                    <w:t>)</w:t>
                  </w:r>
                </w:p>
              </w:tc>
              <w:tc>
                <w:tcPr>
                  <w:tcW w:w="552" w:type="pct"/>
                  <w:noWrap w:val="0"/>
                  <w:vAlign w:val="center"/>
                </w:tcPr>
                <w:p w14:paraId="78A10D0B">
                  <w:pPr>
                    <w:pStyle w:val="60"/>
                    <w:bidi w:val="0"/>
                    <w:rPr>
                      <w:color w:val="auto"/>
                      <w:sz w:val="21"/>
                      <w:szCs w:val="21"/>
                      <w:highlight w:val="none"/>
                    </w:rPr>
                  </w:pPr>
                  <w:r>
                    <w:rPr>
                      <w:color w:val="auto"/>
                      <w:sz w:val="21"/>
                      <w:szCs w:val="21"/>
                      <w:highlight w:val="none"/>
                    </w:rPr>
                    <w:t>产生质量浓度（mg/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552" w:type="pct"/>
                  <w:noWrap w:val="0"/>
                  <w:vAlign w:val="center"/>
                </w:tcPr>
                <w:p w14:paraId="0382D4E9">
                  <w:pPr>
                    <w:pStyle w:val="60"/>
                    <w:bidi w:val="0"/>
                    <w:rPr>
                      <w:color w:val="auto"/>
                      <w:sz w:val="21"/>
                      <w:szCs w:val="21"/>
                      <w:highlight w:val="none"/>
                    </w:rPr>
                  </w:pPr>
                  <w:r>
                    <w:rPr>
                      <w:rFonts w:hint="eastAsia"/>
                      <w:color w:val="auto"/>
                      <w:sz w:val="21"/>
                      <w:szCs w:val="21"/>
                      <w:highlight w:val="none"/>
                      <w:lang w:val="en-US" w:eastAsia="zh-CN"/>
                    </w:rPr>
                    <w:t>排放量（t/a）</w:t>
                  </w:r>
                </w:p>
              </w:tc>
              <w:tc>
                <w:tcPr>
                  <w:tcW w:w="552" w:type="pct"/>
                  <w:shd w:val="clear" w:color="auto" w:fill="auto"/>
                  <w:noWrap w:val="0"/>
                  <w:vAlign w:val="center"/>
                </w:tcPr>
                <w:p w14:paraId="42B044A5">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color w:val="auto"/>
                      <w:sz w:val="21"/>
                      <w:szCs w:val="21"/>
                      <w:highlight w:val="none"/>
                    </w:rPr>
                    <w:t>排放</w:t>
                  </w:r>
                  <w:r>
                    <w:rPr>
                      <w:rFonts w:hint="eastAsia"/>
                      <w:color w:val="auto"/>
                      <w:sz w:val="21"/>
                      <w:szCs w:val="21"/>
                      <w:highlight w:val="none"/>
                      <w:lang w:val="en-US" w:eastAsia="zh-CN"/>
                    </w:rPr>
                    <w:t>速率</w:t>
                  </w:r>
                  <w:r>
                    <w:rPr>
                      <w:color w:val="auto"/>
                      <w:sz w:val="21"/>
                      <w:szCs w:val="21"/>
                      <w:highlight w:val="none"/>
                    </w:rPr>
                    <w:t>（kg/h）</w:t>
                  </w:r>
                </w:p>
              </w:tc>
              <w:tc>
                <w:tcPr>
                  <w:tcW w:w="556" w:type="pct"/>
                  <w:noWrap w:val="0"/>
                  <w:vAlign w:val="center"/>
                </w:tcPr>
                <w:p w14:paraId="132CC4DF">
                  <w:pPr>
                    <w:pStyle w:val="60"/>
                    <w:bidi w:val="0"/>
                    <w:rPr>
                      <w:color w:val="auto"/>
                      <w:sz w:val="21"/>
                      <w:szCs w:val="21"/>
                      <w:highlight w:val="none"/>
                    </w:rPr>
                  </w:pPr>
                  <w:r>
                    <w:rPr>
                      <w:color w:val="auto"/>
                      <w:sz w:val="21"/>
                      <w:szCs w:val="21"/>
                      <w:highlight w:val="none"/>
                    </w:rPr>
                    <w:t>排放质量浓度（mg/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466" w:type="pct"/>
                  <w:vMerge w:val="continue"/>
                  <w:noWrap w:val="0"/>
                  <w:vAlign w:val="center"/>
                </w:tcPr>
                <w:p w14:paraId="7EBAA442">
                  <w:pPr>
                    <w:pStyle w:val="60"/>
                    <w:bidi w:val="0"/>
                    <w:rPr>
                      <w:color w:val="auto"/>
                      <w:sz w:val="21"/>
                      <w:szCs w:val="21"/>
                      <w:highlight w:val="none"/>
                    </w:rPr>
                  </w:pPr>
                </w:p>
              </w:tc>
            </w:tr>
            <w:tr w14:paraId="4CD3F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noWrap w:val="0"/>
                  <w:vAlign w:val="center"/>
                </w:tcPr>
                <w:p w14:paraId="2EEF0DDB">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热风炉</w:t>
                  </w:r>
                </w:p>
              </w:tc>
              <w:tc>
                <w:tcPr>
                  <w:tcW w:w="561" w:type="pct"/>
                  <w:noWrap w:val="0"/>
                  <w:vAlign w:val="center"/>
                </w:tcPr>
                <w:p w14:paraId="1E80EE98">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908" w:type="dxa"/>
                  <w:noWrap w:val="0"/>
                  <w:vAlign w:val="center"/>
                </w:tcPr>
                <w:p w14:paraId="52CB575D">
                  <w:pPr>
                    <w:pStyle w:val="48"/>
                    <w:bidi w:val="0"/>
                    <w:rPr>
                      <w:rFonts w:hint="default"/>
                      <w:lang w:val="en-US"/>
                    </w:rPr>
                  </w:pPr>
                  <w:r>
                    <w:rPr>
                      <w:rFonts w:hint="eastAsia"/>
                      <w:lang w:val="en-US" w:eastAsia="zh-CN"/>
                    </w:rPr>
                    <w:t>5.8520</w:t>
                  </w:r>
                </w:p>
              </w:tc>
              <w:tc>
                <w:tcPr>
                  <w:tcW w:w="840" w:type="dxa"/>
                  <w:shd w:val="clear" w:color="auto" w:fill="auto"/>
                  <w:noWrap w:val="0"/>
                  <w:vAlign w:val="center"/>
                </w:tcPr>
                <w:p w14:paraId="1EA7D97D">
                  <w:pPr>
                    <w:pStyle w:val="48"/>
                    <w:bidi w:val="0"/>
                    <w:rPr>
                      <w:rFonts w:hint="default"/>
                      <w:lang w:val="en-US" w:eastAsia="zh-CN"/>
                    </w:rPr>
                  </w:pPr>
                  <w:r>
                    <w:rPr>
                      <w:rFonts w:hint="eastAsia"/>
                      <w:lang w:val="en-US" w:eastAsia="zh-CN"/>
                    </w:rPr>
                    <w:t>4.0639</w:t>
                  </w:r>
                </w:p>
              </w:tc>
              <w:tc>
                <w:tcPr>
                  <w:tcW w:w="840" w:type="dxa"/>
                  <w:noWrap w:val="0"/>
                  <w:vAlign w:val="center"/>
                </w:tcPr>
                <w:p w14:paraId="331DE018">
                  <w:pPr>
                    <w:pStyle w:val="48"/>
                    <w:bidi w:val="0"/>
                    <w:rPr>
                      <w:rFonts w:hint="default"/>
                      <w:lang w:val="en-US" w:eastAsia="zh-CN"/>
                    </w:rPr>
                  </w:pPr>
                  <w:r>
                    <w:rPr>
                      <w:rFonts w:hint="eastAsia"/>
                      <w:lang w:val="en-US" w:eastAsia="zh-CN"/>
                    </w:rPr>
                    <w:t>244.11</w:t>
                  </w:r>
                </w:p>
              </w:tc>
              <w:tc>
                <w:tcPr>
                  <w:tcW w:w="840" w:type="dxa"/>
                  <w:noWrap w:val="0"/>
                  <w:vAlign w:val="center"/>
                </w:tcPr>
                <w:p w14:paraId="746F2F5B">
                  <w:pPr>
                    <w:pStyle w:val="48"/>
                    <w:bidi w:val="0"/>
                    <w:rPr>
                      <w:rFonts w:hint="eastAsia"/>
                    </w:rPr>
                  </w:pPr>
                  <w:r>
                    <w:rPr>
                      <w:rFonts w:hint="eastAsia"/>
                      <w:lang w:val="en-US" w:eastAsia="zh-CN"/>
                    </w:rPr>
                    <w:t>0.0585</w:t>
                  </w:r>
                </w:p>
              </w:tc>
              <w:tc>
                <w:tcPr>
                  <w:tcW w:w="840" w:type="dxa"/>
                  <w:shd w:val="clear" w:color="auto" w:fill="auto"/>
                  <w:noWrap w:val="0"/>
                  <w:vAlign w:val="center"/>
                </w:tcPr>
                <w:p w14:paraId="1C38992E">
                  <w:pPr>
                    <w:pStyle w:val="48"/>
                    <w:bidi w:val="0"/>
                    <w:rPr>
                      <w:rFonts w:hint="default"/>
                      <w:lang w:val="en-US" w:eastAsia="zh-CN"/>
                    </w:rPr>
                  </w:pPr>
                  <w:r>
                    <w:rPr>
                      <w:rFonts w:hint="eastAsia"/>
                      <w:lang w:val="en-US" w:eastAsia="zh-CN"/>
                    </w:rPr>
                    <w:t>0.0406</w:t>
                  </w:r>
                </w:p>
              </w:tc>
              <w:tc>
                <w:tcPr>
                  <w:tcW w:w="845" w:type="dxa"/>
                  <w:noWrap w:val="0"/>
                  <w:vAlign w:val="center"/>
                </w:tcPr>
                <w:p w14:paraId="532DC240">
                  <w:pPr>
                    <w:pStyle w:val="48"/>
                    <w:bidi w:val="0"/>
                    <w:rPr>
                      <w:rFonts w:hint="default"/>
                      <w:lang w:val="en-US" w:eastAsia="zh-CN"/>
                    </w:rPr>
                  </w:pPr>
                  <w:r>
                    <w:rPr>
                      <w:rFonts w:hint="eastAsia"/>
                      <w:lang w:val="en-US" w:eastAsia="zh-CN"/>
                    </w:rPr>
                    <w:t>2.44</w:t>
                  </w:r>
                </w:p>
              </w:tc>
              <w:tc>
                <w:tcPr>
                  <w:tcW w:w="466" w:type="pct"/>
                  <w:noWrap w:val="0"/>
                  <w:vAlign w:val="center"/>
                </w:tcPr>
                <w:p w14:paraId="605DA248">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1440</w:t>
                  </w:r>
                </w:p>
              </w:tc>
            </w:tr>
          </w:tbl>
          <w:p w14:paraId="44B86313">
            <w:pPr>
              <w:pStyle w:val="52"/>
              <w:bidi w:val="0"/>
              <w:rPr>
                <w:rFonts w:hint="default"/>
                <w:color w:val="auto"/>
                <w:highlight w:val="none"/>
                <w:lang w:val="en-US" w:eastAsia="zh-CN"/>
              </w:rPr>
            </w:pPr>
            <w:r>
              <w:rPr>
                <w:rFonts w:hint="eastAsia"/>
                <w:color w:val="auto"/>
                <w:highlight w:val="none"/>
                <w:lang w:val="en-US" w:eastAsia="zh-CN"/>
              </w:rPr>
              <w:t>（c）二氧化硫</w:t>
            </w:r>
          </w:p>
          <w:p w14:paraId="06070D54">
            <w:pPr>
              <w:pStyle w:val="46"/>
              <w:bidi w:val="0"/>
              <w:rPr>
                <w:rFonts w:hint="default"/>
                <w:color w:val="auto"/>
                <w:highlight w:val="none"/>
                <w:lang w:val="en-US" w:eastAsia="zh-CN"/>
              </w:rPr>
            </w:pPr>
            <w:r>
              <w:rPr>
                <w:rFonts w:hint="default"/>
                <w:color w:val="auto"/>
                <w:highlight w:val="none"/>
                <w:lang w:val="en-US" w:eastAsia="zh-CN"/>
              </w:rPr>
              <w:t>二氧化硫排放量按下式计算：</w:t>
            </w:r>
          </w:p>
          <w:p w14:paraId="2B6C8802">
            <w:pPr>
              <w:pStyle w:val="50"/>
              <w:bidi w:val="0"/>
              <w:rPr>
                <w:rFonts w:hint="default" w:ascii="Times New Roman" w:hAnsi="Times New Roman" w:cs="Times New Roman"/>
                <w:color w:val="auto"/>
                <w:sz w:val="24"/>
                <w:highlight w:val="none"/>
                <w:lang w:val="en-US" w:eastAsia="zh-CN" w:bidi="ar"/>
              </w:rPr>
            </w:pPr>
            <w:r>
              <w:rPr>
                <w:color w:val="auto"/>
                <w:position w:val="-28"/>
                <w:sz w:val="24"/>
                <w:highlight w:val="none"/>
              </w:rPr>
              <w:object>
                <v:shape id="_x0000_i1037" o:spt="75" type="#_x0000_t75" style="height:28.35pt;width:172pt;" o:ole="t" filled="f" o:preferrelative="t" stroked="f" coordsize="21600,21600">
                  <v:path/>
                  <v:fill on="f" focussize="0,0"/>
                  <v:stroke on="f"/>
                  <v:imagedata r:id="rId47" o:title=""/>
                  <o:lock v:ext="edit" aspectratio="t"/>
                  <w10:wrap type="none"/>
                  <w10:anchorlock/>
                </v:shape>
                <o:OLEObject Type="Embed" ProgID="Equation.KSEE3" ShapeID="_x0000_i1037" DrawAspect="Content" ObjectID="_1468075737" r:id="rId46">
                  <o:LockedField>false</o:LockedField>
                </o:OLEObject>
              </w:object>
            </w:r>
          </w:p>
          <w:p w14:paraId="2DD3AA93">
            <w:pPr>
              <w:pStyle w:val="46"/>
              <w:bidi w:val="0"/>
              <w:rPr>
                <w:color w:val="auto"/>
                <w:highlight w:val="none"/>
              </w:rPr>
            </w:pPr>
            <w:r>
              <w:rPr>
                <w:color w:val="auto"/>
                <w:highlight w:val="none"/>
              </w:rPr>
              <w:t>式中：</w:t>
            </w:r>
          </w:p>
          <w:p w14:paraId="6475B15C">
            <w:pPr>
              <w:pStyle w:val="46"/>
              <w:bidi w:val="0"/>
              <w:rPr>
                <w:color w:val="auto"/>
                <w:highlight w:val="none"/>
              </w:rPr>
            </w:pPr>
            <w:r>
              <w:rPr>
                <w:color w:val="auto"/>
                <w:position w:val="-12"/>
                <w:highlight w:val="none"/>
              </w:rPr>
              <w:object>
                <v:shape id="_x0000_i1038" o:spt="75" type="#_x0000_t75" style="height:17.25pt;width:24pt;" o:ole="t" filled="f" o:preferrelative="t" stroked="f" coordsize="21600,21600">
                  <v:path/>
                  <v:fill on="f" focussize="0,0"/>
                  <v:stroke on="f" joinstyle="miter"/>
                  <v:imagedata r:id="rId49" o:title=""/>
                  <o:lock v:ext="edit" aspectratio="t"/>
                  <w10:wrap type="none"/>
                  <w10:anchorlock/>
                </v:shape>
                <o:OLEObject Type="Embed" ProgID="Equation.KSEE3" ShapeID="_x0000_i1038" DrawAspect="Content" ObjectID="_1468075738" r:id="rId48">
                  <o:LockedField>false</o:LockedField>
                </o:OLEObject>
              </w:object>
            </w:r>
            <w:r>
              <w:rPr>
                <w:color w:val="auto"/>
                <w:highlight w:val="none"/>
              </w:rPr>
              <w:t>—核算时段二氧化硫排放量，t；</w:t>
            </w:r>
          </w:p>
          <w:p w14:paraId="6E9028D5">
            <w:pPr>
              <w:pStyle w:val="46"/>
              <w:bidi w:val="0"/>
              <w:rPr>
                <w:color w:val="auto"/>
                <w:highlight w:val="none"/>
              </w:rPr>
            </w:pPr>
            <w:r>
              <w:rPr>
                <w:color w:val="auto"/>
                <w:position w:val="-4"/>
                <w:highlight w:val="none"/>
              </w:rPr>
              <w:object>
                <v:shape id="_x0000_i1039" o:spt="75" type="#_x0000_t75" style="height:12.75pt;width:12pt;" o:ole="t" filled="f" o:preferrelative="t" stroked="f" coordsize="21600,21600">
                  <v:path/>
                  <v:fill on="f" focussize="0,0"/>
                  <v:stroke on="f" joinstyle="miter"/>
                  <v:imagedata r:id="rId51" o:title=""/>
                  <o:lock v:ext="edit" aspectratio="t"/>
                  <w10:wrap type="none"/>
                  <w10:anchorlock/>
                </v:shape>
                <o:OLEObject Type="Embed" ProgID="Equation.KSEE3" ShapeID="_x0000_i1039" DrawAspect="Content" ObjectID="_1468075739" r:id="rId50">
                  <o:LockedField>false</o:LockedField>
                </o:OLEObject>
              </w:object>
            </w:r>
            <w:r>
              <w:rPr>
                <w:color w:val="auto"/>
                <w:highlight w:val="none"/>
              </w:rPr>
              <w:t>—核算时段内锅炉燃料耗量，</w:t>
            </w:r>
            <w:r>
              <w:rPr>
                <w:rFonts w:hint="eastAsia"/>
                <w:color w:val="auto"/>
                <w:highlight w:val="none"/>
                <w:lang w:val="en-US" w:eastAsia="zh-CN"/>
              </w:rPr>
              <w:t>3050.13t</w:t>
            </w:r>
            <w:r>
              <w:rPr>
                <w:color w:val="auto"/>
                <w:highlight w:val="none"/>
              </w:rPr>
              <w:t>；</w:t>
            </w:r>
          </w:p>
          <w:p w14:paraId="2BE0C573">
            <w:pPr>
              <w:pStyle w:val="46"/>
              <w:bidi w:val="0"/>
              <w:rPr>
                <w:rFonts w:hint="eastAsia"/>
                <w:color w:val="auto"/>
                <w:highlight w:val="none"/>
                <w:lang w:eastAsia="zh-CN"/>
              </w:rPr>
            </w:pPr>
            <w:r>
              <w:rPr>
                <w:color w:val="auto"/>
                <w:position w:val="-12"/>
                <w:highlight w:val="none"/>
              </w:rPr>
              <w:object>
                <v:shape id="_x0000_i1040" o:spt="75" type="#_x0000_t75" style="height:17.25pt;width:17.25pt;" o:ole="t" filled="f" o:preferrelative="t" stroked="f" coordsize="21600,21600">
                  <v:path/>
                  <v:fill on="f" focussize="0,0"/>
                  <v:stroke on="f" joinstyle="miter"/>
                  <v:imagedata r:id="rId53" o:title=""/>
                  <o:lock v:ext="edit" aspectratio="t"/>
                  <w10:wrap type="none"/>
                  <w10:anchorlock/>
                </v:shape>
                <o:OLEObject Type="Embed" ProgID="Equation.KSEE3" ShapeID="_x0000_i1040" DrawAspect="Content" ObjectID="_1468075740" r:id="rId52">
                  <o:LockedField>false</o:LockedField>
                </o:OLEObject>
              </w:object>
            </w:r>
            <w:r>
              <w:rPr>
                <w:color w:val="auto"/>
                <w:highlight w:val="none"/>
              </w:rPr>
              <w:t>—收到基硫的质量分数，</w:t>
            </w:r>
            <w:r>
              <w:rPr>
                <w:rFonts w:hint="default" w:ascii="Times New Roman" w:hAnsi="Times New Roman" w:cs="Times New Roman"/>
                <w:color w:val="auto"/>
                <w:highlight w:val="none"/>
              </w:rPr>
              <w:t>0.0</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pacing w:val="0"/>
                <w:kern w:val="0"/>
                <w:sz w:val="24"/>
                <w:szCs w:val="24"/>
                <w:highlight w:val="none"/>
                <w:lang w:val="en-US" w:eastAsia="zh-CN"/>
              </w:rPr>
              <w:t>根据生物质成分分析报告换算得出：Sar=St,ad×（100-Mar）/100</w:t>
            </w:r>
            <w:r>
              <w:rPr>
                <w:rFonts w:hint="default" w:ascii="Times New Roman" w:hAnsi="Times New Roman" w:cs="Times New Roman"/>
                <w:color w:val="auto"/>
                <w:highlight w:val="none"/>
                <w:lang w:eastAsia="zh-CN"/>
              </w:rPr>
              <w:t>）</w:t>
            </w:r>
            <w:r>
              <w:rPr>
                <w:rFonts w:hint="eastAsia"/>
                <w:color w:val="auto"/>
                <w:highlight w:val="none"/>
                <w:lang w:eastAsia="zh-CN"/>
              </w:rPr>
              <w:t>；</w:t>
            </w:r>
          </w:p>
          <w:p w14:paraId="59391C77">
            <w:pPr>
              <w:pStyle w:val="46"/>
              <w:bidi w:val="0"/>
              <w:rPr>
                <w:color w:val="auto"/>
                <w:highlight w:val="none"/>
              </w:rPr>
            </w:pPr>
            <w:r>
              <w:rPr>
                <w:color w:val="auto"/>
                <w:position w:val="-10"/>
                <w:highlight w:val="none"/>
              </w:rPr>
              <w:object>
                <v:shape id="_x0000_i1041" o:spt="75" type="#_x0000_t75" style="height:17.25pt;width:14.25pt;" o:ole="t" filled="f" o:preferrelative="t" stroked="f" coordsize="21600,21600">
                  <v:path/>
                  <v:fill on="f" focussize="0,0"/>
                  <v:stroke on="f" joinstyle="miter"/>
                  <v:imagedata r:id="rId55" o:title=""/>
                  <o:lock v:ext="edit" aspectratio="t"/>
                  <w10:wrap type="none"/>
                  <w10:anchorlock/>
                </v:shape>
                <o:OLEObject Type="Embed" ProgID="Equation.KSEE3" ShapeID="_x0000_i1041" DrawAspect="Content" ObjectID="_1468075741" r:id="rId54">
                  <o:LockedField>false</o:LockedField>
                </o:OLEObject>
              </w:object>
            </w:r>
            <w:r>
              <w:rPr>
                <w:color w:val="auto"/>
                <w:highlight w:val="none"/>
              </w:rPr>
              <w:t>—锅炉机械不完全燃烧热损失，</w:t>
            </w:r>
            <w:r>
              <w:rPr>
                <w:rFonts w:hint="eastAsia"/>
                <w:color w:val="auto"/>
                <w:highlight w:val="none"/>
              </w:rPr>
              <w:t>取10</w:t>
            </w:r>
            <w:r>
              <w:rPr>
                <w:color w:val="auto"/>
                <w:highlight w:val="none"/>
              </w:rPr>
              <w:t>%</w:t>
            </w:r>
            <w:r>
              <w:rPr>
                <w:rFonts w:hint="eastAsia"/>
                <w:color w:val="auto"/>
                <w:highlight w:val="none"/>
              </w:rPr>
              <w:t>（数据来源</w:t>
            </w:r>
            <w:r>
              <w:rPr>
                <w:color w:val="auto"/>
                <w:highlight w:val="none"/>
              </w:rPr>
              <w:t>《污染源源强核算技术指南 锅炉》（HJ991</w:t>
            </w:r>
            <w:r>
              <w:rPr>
                <w:rFonts w:hint="eastAsia"/>
                <w:color w:val="auto"/>
                <w:highlight w:val="none"/>
              </w:rPr>
              <w:t>-</w:t>
            </w:r>
            <w:r>
              <w:rPr>
                <w:color w:val="auto"/>
                <w:highlight w:val="none"/>
              </w:rPr>
              <w:t>2018）</w:t>
            </w:r>
            <w:r>
              <w:rPr>
                <w:rFonts w:hint="eastAsia"/>
                <w:color w:val="auto"/>
                <w:highlight w:val="none"/>
              </w:rPr>
              <w:t>附录B表B.1链条炉排炉）</w:t>
            </w:r>
          </w:p>
          <w:p w14:paraId="6CDC5656">
            <w:pPr>
              <w:pStyle w:val="46"/>
              <w:bidi w:val="0"/>
              <w:rPr>
                <w:rFonts w:hint="eastAsia"/>
                <w:color w:val="auto"/>
                <w:highlight w:val="none"/>
                <w:lang w:eastAsia="zh-CN"/>
              </w:rPr>
            </w:pPr>
            <w:r>
              <w:rPr>
                <w:color w:val="auto"/>
                <w:position w:val="-12"/>
                <w:highlight w:val="none"/>
              </w:rPr>
              <w:object>
                <v:shape id="_x0000_i1042" o:spt="75" type="#_x0000_t75" style="height:17.25pt;width:12.75pt;" o:ole="t" filled="f" o:preferrelative="t" stroked="f" coordsize="21600,21600">
                  <v:path/>
                  <v:fill on="f" focussize="0,0"/>
                  <v:stroke on="f" joinstyle="miter"/>
                  <v:imagedata r:id="rId57" o:title=""/>
                  <o:lock v:ext="edit" aspectratio="t"/>
                  <w10:wrap type="none"/>
                  <w10:anchorlock/>
                </v:shape>
                <o:OLEObject Type="Embed" ProgID="Equation.KSEE3" ShapeID="_x0000_i1042" DrawAspect="Content" ObjectID="_1468075742" r:id="rId56">
                  <o:LockedField>false</o:LockedField>
                </o:OLEObject>
              </w:object>
            </w:r>
            <w:r>
              <w:rPr>
                <w:color w:val="auto"/>
                <w:highlight w:val="none"/>
              </w:rPr>
              <w:t>—脱硫效率，0%</w:t>
            </w:r>
            <w:r>
              <w:rPr>
                <w:rFonts w:hint="eastAsia"/>
                <w:color w:val="auto"/>
                <w:highlight w:val="none"/>
                <w:lang w:eastAsia="zh-CN"/>
              </w:rPr>
              <w:t>；</w:t>
            </w:r>
          </w:p>
          <w:p w14:paraId="29AFC596">
            <w:pPr>
              <w:pStyle w:val="46"/>
              <w:bidi w:val="0"/>
              <w:rPr>
                <w:color w:val="auto"/>
                <w:highlight w:val="none"/>
              </w:rPr>
            </w:pPr>
            <w:r>
              <w:rPr>
                <w:color w:val="auto"/>
                <w:position w:val="-4"/>
                <w:highlight w:val="none"/>
              </w:rPr>
              <w:object>
                <v:shape id="_x0000_i1043" o:spt="75" type="#_x0000_t75" style="height:12.75pt;width:12.75pt;" o:ole="t" filled="f" o:preferrelative="t" stroked="f" coordsize="21600,21600">
                  <v:path/>
                  <v:fill on="f" focussize="0,0"/>
                  <v:stroke on="f" joinstyle="miter"/>
                  <v:imagedata r:id="rId59" o:title=""/>
                  <o:lock v:ext="edit" aspectratio="t"/>
                  <w10:wrap type="none"/>
                  <w10:anchorlock/>
                </v:shape>
                <o:OLEObject Type="Embed" ProgID="Equation.KSEE3" ShapeID="_x0000_i1043" DrawAspect="Content" ObjectID="_1468075743" r:id="rId58">
                  <o:LockedField>false</o:LockedField>
                </o:OLEObject>
              </w:object>
            </w:r>
            <w:r>
              <w:rPr>
                <w:color w:val="auto"/>
                <w:highlight w:val="none"/>
              </w:rPr>
              <w:t>—燃料中的硫燃烧后氧化成二氧化硫的份额，量纲一的量，0.4</w:t>
            </w:r>
            <w:r>
              <w:rPr>
                <w:rFonts w:hint="eastAsia"/>
                <w:color w:val="auto"/>
                <w:highlight w:val="none"/>
                <w:lang w:eastAsia="zh-CN"/>
              </w:rPr>
              <w:t>（</w:t>
            </w:r>
            <w:r>
              <w:rPr>
                <w:rFonts w:hint="eastAsia"/>
                <w:color w:val="auto"/>
                <w:highlight w:val="none"/>
              </w:rPr>
              <w:t>数据来源</w:t>
            </w:r>
            <w:r>
              <w:rPr>
                <w:color w:val="auto"/>
                <w:highlight w:val="none"/>
              </w:rPr>
              <w:t>《污染源源强核算技术指南 锅炉》（HJ991</w:t>
            </w:r>
            <w:r>
              <w:rPr>
                <w:rFonts w:hint="eastAsia"/>
                <w:color w:val="auto"/>
                <w:highlight w:val="none"/>
              </w:rPr>
              <w:t>-</w:t>
            </w:r>
            <w:r>
              <w:rPr>
                <w:color w:val="auto"/>
                <w:highlight w:val="none"/>
              </w:rPr>
              <w:t>2018）</w:t>
            </w:r>
            <w:r>
              <w:rPr>
                <w:rFonts w:hint="eastAsia"/>
                <w:color w:val="auto"/>
                <w:highlight w:val="none"/>
              </w:rPr>
              <w:t>附录B表B.</w:t>
            </w:r>
            <w:r>
              <w:rPr>
                <w:rFonts w:hint="eastAsia"/>
                <w:color w:val="auto"/>
                <w:highlight w:val="none"/>
                <w:lang w:val="en-US" w:eastAsia="zh-CN"/>
              </w:rPr>
              <w:t>3燃生物质炉</w:t>
            </w:r>
            <w:r>
              <w:rPr>
                <w:rFonts w:hint="eastAsia"/>
                <w:color w:val="auto"/>
                <w:highlight w:val="none"/>
                <w:lang w:eastAsia="zh-CN"/>
              </w:rPr>
              <w:t>）</w:t>
            </w:r>
            <w:r>
              <w:rPr>
                <w:color w:val="auto"/>
                <w:highlight w:val="none"/>
              </w:rPr>
              <w:t>。</w:t>
            </w:r>
          </w:p>
          <w:p w14:paraId="4A019B4F">
            <w:pPr>
              <w:pStyle w:val="46"/>
              <w:bidi w:val="0"/>
              <w:rPr>
                <w:rFonts w:hint="eastAsia"/>
                <w:color w:val="auto"/>
                <w:highlight w:val="none"/>
                <w:lang w:val="en-US" w:eastAsia="zh-CN"/>
              </w:rPr>
            </w:pPr>
            <w:r>
              <w:rPr>
                <w:rFonts w:hint="default"/>
                <w:color w:val="auto"/>
                <w:highlight w:val="none"/>
                <w:lang w:val="en-US" w:eastAsia="zh-CN"/>
              </w:rPr>
              <w:t>计算</w:t>
            </w:r>
            <w:r>
              <w:rPr>
                <w:rFonts w:hint="eastAsia"/>
                <w:color w:val="auto"/>
                <w:highlight w:val="none"/>
                <w:lang w:val="en-US" w:eastAsia="zh-CN"/>
              </w:rPr>
              <w:t>结果如下：</w:t>
            </w:r>
          </w:p>
          <w:p w14:paraId="2E921636">
            <w:pPr>
              <w:pStyle w:val="46"/>
              <w:bidi w:val="0"/>
              <w:rPr>
                <w:rFonts w:hint="eastAsia"/>
                <w:color w:val="auto"/>
                <w:highlight w:val="none"/>
                <w:lang w:val="en-US" w:eastAsia="zh-CN"/>
              </w:rPr>
            </w:pPr>
          </w:p>
          <w:p w14:paraId="6CFB6FF4">
            <w:pPr>
              <w:pStyle w:val="46"/>
              <w:bidi w:val="0"/>
              <w:rPr>
                <w:rFonts w:hint="eastAsia"/>
                <w:color w:val="auto"/>
                <w:highlight w:val="none"/>
                <w:lang w:val="en-US" w:eastAsia="zh-CN"/>
              </w:rPr>
            </w:pPr>
          </w:p>
          <w:p w14:paraId="492D25DF">
            <w:pPr>
              <w:pStyle w:val="46"/>
              <w:bidi w:val="0"/>
              <w:rPr>
                <w:rFonts w:hint="eastAsia"/>
                <w:color w:val="auto"/>
                <w:highlight w:val="none"/>
                <w:lang w:val="en-US" w:eastAsia="zh-CN"/>
              </w:rPr>
            </w:pPr>
          </w:p>
          <w:p w14:paraId="1DCBFA0C">
            <w:pPr>
              <w:pStyle w:val="50"/>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表4-</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eastAsia"/>
                <w:color w:val="auto"/>
                <w:highlight w:val="none"/>
                <w:lang w:val="en-US" w:eastAsia="zh-CN"/>
              </w:rPr>
              <w:t>二氧化硫产生、排放计算</w:t>
            </w:r>
            <w:r>
              <w:rPr>
                <w:rFonts w:hint="eastAsia" w:cs="Times New Roman"/>
                <w:color w:val="auto"/>
                <w:highlight w:val="none"/>
                <w:lang w:val="en-US" w:eastAsia="zh-CN"/>
              </w:rPr>
              <w:t>结果</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1"/>
              <w:gridCol w:w="921"/>
              <w:gridCol w:w="840"/>
              <w:gridCol w:w="840"/>
              <w:gridCol w:w="840"/>
              <w:gridCol w:w="840"/>
              <w:gridCol w:w="840"/>
              <w:gridCol w:w="845"/>
              <w:gridCol w:w="708"/>
            </w:tblGrid>
            <w:tr w14:paraId="5AF8A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restart"/>
                  <w:noWrap w:val="0"/>
                  <w:vAlign w:val="center"/>
                </w:tcPr>
                <w:p w14:paraId="7C32DB08">
                  <w:pPr>
                    <w:pStyle w:val="60"/>
                    <w:bidi w:val="0"/>
                    <w:rPr>
                      <w:color w:val="auto"/>
                      <w:sz w:val="21"/>
                      <w:szCs w:val="21"/>
                      <w:highlight w:val="none"/>
                    </w:rPr>
                  </w:pPr>
                  <w:r>
                    <w:rPr>
                      <w:color w:val="auto"/>
                      <w:sz w:val="21"/>
                      <w:szCs w:val="21"/>
                      <w:highlight w:val="none"/>
                    </w:rPr>
                    <w:t>装置</w:t>
                  </w:r>
                </w:p>
              </w:tc>
              <w:tc>
                <w:tcPr>
                  <w:tcW w:w="606" w:type="pct"/>
                  <w:vMerge w:val="restart"/>
                  <w:noWrap w:val="0"/>
                  <w:vAlign w:val="center"/>
                </w:tcPr>
                <w:p w14:paraId="19A09B09">
                  <w:pPr>
                    <w:pStyle w:val="60"/>
                    <w:bidi w:val="0"/>
                    <w:rPr>
                      <w:color w:val="auto"/>
                      <w:sz w:val="21"/>
                      <w:szCs w:val="21"/>
                      <w:highlight w:val="none"/>
                    </w:rPr>
                  </w:pPr>
                  <w:r>
                    <w:rPr>
                      <w:color w:val="auto"/>
                      <w:sz w:val="21"/>
                      <w:szCs w:val="21"/>
                      <w:highlight w:val="none"/>
                    </w:rPr>
                    <w:t>污染物</w:t>
                  </w:r>
                </w:p>
              </w:tc>
              <w:tc>
                <w:tcPr>
                  <w:tcW w:w="1658" w:type="pct"/>
                  <w:gridSpan w:val="3"/>
                  <w:noWrap w:val="0"/>
                  <w:vAlign w:val="center"/>
                </w:tcPr>
                <w:p w14:paraId="732A6B36">
                  <w:pPr>
                    <w:pStyle w:val="60"/>
                    <w:bidi w:val="0"/>
                    <w:rPr>
                      <w:color w:val="auto"/>
                      <w:sz w:val="21"/>
                      <w:szCs w:val="21"/>
                      <w:highlight w:val="none"/>
                    </w:rPr>
                  </w:pPr>
                  <w:r>
                    <w:rPr>
                      <w:color w:val="auto"/>
                      <w:sz w:val="21"/>
                      <w:szCs w:val="21"/>
                      <w:highlight w:val="none"/>
                    </w:rPr>
                    <w:t>污染物产生</w:t>
                  </w:r>
                </w:p>
              </w:tc>
              <w:tc>
                <w:tcPr>
                  <w:tcW w:w="1662" w:type="pct"/>
                  <w:gridSpan w:val="3"/>
                  <w:noWrap w:val="0"/>
                  <w:vAlign w:val="center"/>
                </w:tcPr>
                <w:p w14:paraId="5C752D99">
                  <w:pPr>
                    <w:pStyle w:val="60"/>
                    <w:bidi w:val="0"/>
                    <w:rPr>
                      <w:color w:val="auto"/>
                      <w:sz w:val="21"/>
                      <w:szCs w:val="21"/>
                      <w:highlight w:val="none"/>
                    </w:rPr>
                  </w:pPr>
                  <w:r>
                    <w:rPr>
                      <w:color w:val="auto"/>
                      <w:sz w:val="21"/>
                      <w:szCs w:val="21"/>
                      <w:highlight w:val="none"/>
                    </w:rPr>
                    <w:t>污染物排放</w:t>
                  </w:r>
                </w:p>
              </w:tc>
              <w:tc>
                <w:tcPr>
                  <w:tcW w:w="466" w:type="pct"/>
                  <w:vMerge w:val="restart"/>
                  <w:noWrap w:val="0"/>
                  <w:vAlign w:val="center"/>
                </w:tcPr>
                <w:p w14:paraId="65F2C045">
                  <w:pPr>
                    <w:pStyle w:val="60"/>
                    <w:bidi w:val="0"/>
                    <w:rPr>
                      <w:color w:val="auto"/>
                      <w:sz w:val="21"/>
                      <w:szCs w:val="21"/>
                      <w:highlight w:val="none"/>
                    </w:rPr>
                  </w:pPr>
                  <w:r>
                    <w:rPr>
                      <w:color w:val="auto"/>
                      <w:sz w:val="21"/>
                      <w:szCs w:val="21"/>
                      <w:highlight w:val="none"/>
                    </w:rPr>
                    <w:t>排放时间</w:t>
                  </w:r>
                  <w:r>
                    <w:rPr>
                      <w:rFonts w:hint="eastAsia"/>
                      <w:color w:val="auto"/>
                      <w:sz w:val="21"/>
                      <w:szCs w:val="21"/>
                      <w:highlight w:val="none"/>
                    </w:rPr>
                    <w:t>（h）</w:t>
                  </w:r>
                </w:p>
              </w:tc>
            </w:tr>
            <w:tr w14:paraId="011B0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continue"/>
                  <w:noWrap w:val="0"/>
                  <w:vAlign w:val="center"/>
                </w:tcPr>
                <w:p w14:paraId="12E3C4EF">
                  <w:pPr>
                    <w:pStyle w:val="60"/>
                    <w:bidi w:val="0"/>
                    <w:rPr>
                      <w:color w:val="auto"/>
                      <w:sz w:val="21"/>
                      <w:szCs w:val="21"/>
                      <w:highlight w:val="none"/>
                    </w:rPr>
                  </w:pPr>
                </w:p>
              </w:tc>
              <w:tc>
                <w:tcPr>
                  <w:tcW w:w="606" w:type="pct"/>
                  <w:vMerge w:val="continue"/>
                  <w:noWrap w:val="0"/>
                  <w:vAlign w:val="center"/>
                </w:tcPr>
                <w:p w14:paraId="01BA1CF6">
                  <w:pPr>
                    <w:pStyle w:val="60"/>
                    <w:bidi w:val="0"/>
                    <w:rPr>
                      <w:color w:val="auto"/>
                      <w:sz w:val="21"/>
                      <w:szCs w:val="21"/>
                      <w:highlight w:val="none"/>
                    </w:rPr>
                  </w:pPr>
                </w:p>
              </w:tc>
              <w:tc>
                <w:tcPr>
                  <w:tcW w:w="552" w:type="pct"/>
                  <w:noWrap w:val="0"/>
                  <w:vAlign w:val="center"/>
                </w:tcPr>
                <w:p w14:paraId="64D548E7">
                  <w:pPr>
                    <w:pStyle w:val="60"/>
                    <w:bidi w:val="0"/>
                    <w:rPr>
                      <w:rFonts w:hint="eastAsia" w:eastAsia="宋体"/>
                      <w:color w:val="auto"/>
                      <w:sz w:val="21"/>
                      <w:szCs w:val="21"/>
                      <w:highlight w:val="none"/>
                      <w:lang w:val="en-US" w:eastAsia="zh-CN"/>
                    </w:rPr>
                  </w:pPr>
                  <w:r>
                    <w:rPr>
                      <w:rFonts w:hint="eastAsia"/>
                      <w:color w:val="auto"/>
                      <w:sz w:val="21"/>
                      <w:szCs w:val="21"/>
                      <w:highlight w:val="none"/>
                      <w:lang w:val="en-US" w:eastAsia="zh-CN"/>
                    </w:rPr>
                    <w:t>产生量（t/a）</w:t>
                  </w:r>
                </w:p>
              </w:tc>
              <w:tc>
                <w:tcPr>
                  <w:tcW w:w="552" w:type="pct"/>
                  <w:shd w:val="clear" w:color="auto" w:fill="auto"/>
                  <w:noWrap w:val="0"/>
                  <w:vAlign w:val="center"/>
                </w:tcPr>
                <w:p w14:paraId="7C2CC223">
                  <w:pPr>
                    <w:pStyle w:val="60"/>
                    <w:bidi w:val="0"/>
                    <w:rPr>
                      <w:rFonts w:hint="eastAsia" w:eastAsia="宋体"/>
                      <w:color w:val="auto"/>
                      <w:sz w:val="21"/>
                      <w:szCs w:val="21"/>
                      <w:highlight w:val="none"/>
                      <w:lang w:eastAsia="zh-CN"/>
                    </w:rPr>
                  </w:pPr>
                  <w:r>
                    <w:rPr>
                      <w:color w:val="auto"/>
                      <w:sz w:val="21"/>
                      <w:szCs w:val="21"/>
                      <w:highlight w:val="none"/>
                    </w:rPr>
                    <w:t>产生</w:t>
                  </w:r>
                  <w:r>
                    <w:rPr>
                      <w:rFonts w:hint="eastAsia"/>
                      <w:color w:val="auto"/>
                      <w:sz w:val="21"/>
                      <w:szCs w:val="21"/>
                      <w:highlight w:val="none"/>
                      <w:lang w:val="en-US" w:eastAsia="zh-CN"/>
                    </w:rPr>
                    <w:t>速率</w:t>
                  </w:r>
                </w:p>
                <w:p w14:paraId="4B524CAC">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eastAsia="zh-CN"/>
                    </w:rPr>
                    <w:t>(</w:t>
                  </w:r>
                  <w:r>
                    <w:rPr>
                      <w:color w:val="auto"/>
                      <w:sz w:val="21"/>
                      <w:szCs w:val="21"/>
                      <w:highlight w:val="none"/>
                    </w:rPr>
                    <w:t>kg/h</w:t>
                  </w:r>
                  <w:r>
                    <w:rPr>
                      <w:rFonts w:hint="eastAsia"/>
                      <w:color w:val="auto"/>
                      <w:sz w:val="21"/>
                      <w:szCs w:val="21"/>
                      <w:highlight w:val="none"/>
                      <w:lang w:eastAsia="zh-CN"/>
                    </w:rPr>
                    <w:t>)</w:t>
                  </w:r>
                </w:p>
              </w:tc>
              <w:tc>
                <w:tcPr>
                  <w:tcW w:w="552" w:type="pct"/>
                  <w:noWrap w:val="0"/>
                  <w:vAlign w:val="center"/>
                </w:tcPr>
                <w:p w14:paraId="5BAE421A">
                  <w:pPr>
                    <w:pStyle w:val="60"/>
                    <w:bidi w:val="0"/>
                    <w:rPr>
                      <w:color w:val="auto"/>
                      <w:sz w:val="21"/>
                      <w:szCs w:val="21"/>
                      <w:highlight w:val="none"/>
                    </w:rPr>
                  </w:pPr>
                  <w:r>
                    <w:rPr>
                      <w:color w:val="auto"/>
                      <w:sz w:val="21"/>
                      <w:szCs w:val="21"/>
                      <w:highlight w:val="none"/>
                    </w:rPr>
                    <w:t>产生质量浓度（mg/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552" w:type="pct"/>
                  <w:noWrap w:val="0"/>
                  <w:vAlign w:val="center"/>
                </w:tcPr>
                <w:p w14:paraId="19229997">
                  <w:pPr>
                    <w:pStyle w:val="60"/>
                    <w:bidi w:val="0"/>
                    <w:rPr>
                      <w:color w:val="auto"/>
                      <w:sz w:val="21"/>
                      <w:szCs w:val="21"/>
                      <w:highlight w:val="none"/>
                    </w:rPr>
                  </w:pPr>
                  <w:r>
                    <w:rPr>
                      <w:rFonts w:hint="eastAsia"/>
                      <w:color w:val="auto"/>
                      <w:sz w:val="21"/>
                      <w:szCs w:val="21"/>
                      <w:highlight w:val="none"/>
                      <w:lang w:val="en-US" w:eastAsia="zh-CN"/>
                    </w:rPr>
                    <w:t>排放量（t/a）</w:t>
                  </w:r>
                </w:p>
              </w:tc>
              <w:tc>
                <w:tcPr>
                  <w:tcW w:w="552" w:type="pct"/>
                  <w:shd w:val="clear" w:color="auto" w:fill="auto"/>
                  <w:noWrap w:val="0"/>
                  <w:vAlign w:val="center"/>
                </w:tcPr>
                <w:p w14:paraId="73CFEC70">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color w:val="auto"/>
                      <w:sz w:val="21"/>
                      <w:szCs w:val="21"/>
                      <w:highlight w:val="none"/>
                    </w:rPr>
                    <w:t>排放</w:t>
                  </w:r>
                  <w:r>
                    <w:rPr>
                      <w:rFonts w:hint="eastAsia"/>
                      <w:color w:val="auto"/>
                      <w:sz w:val="21"/>
                      <w:szCs w:val="21"/>
                      <w:highlight w:val="none"/>
                      <w:lang w:val="en-US" w:eastAsia="zh-CN"/>
                    </w:rPr>
                    <w:t>速率</w:t>
                  </w:r>
                  <w:r>
                    <w:rPr>
                      <w:color w:val="auto"/>
                      <w:sz w:val="21"/>
                      <w:szCs w:val="21"/>
                      <w:highlight w:val="none"/>
                    </w:rPr>
                    <w:t>（kg/h）</w:t>
                  </w:r>
                </w:p>
              </w:tc>
              <w:tc>
                <w:tcPr>
                  <w:tcW w:w="556" w:type="pct"/>
                  <w:noWrap w:val="0"/>
                  <w:vAlign w:val="center"/>
                </w:tcPr>
                <w:p w14:paraId="3288263B">
                  <w:pPr>
                    <w:pStyle w:val="60"/>
                    <w:bidi w:val="0"/>
                    <w:rPr>
                      <w:color w:val="auto"/>
                      <w:sz w:val="21"/>
                      <w:szCs w:val="21"/>
                      <w:highlight w:val="none"/>
                    </w:rPr>
                  </w:pPr>
                  <w:r>
                    <w:rPr>
                      <w:color w:val="auto"/>
                      <w:sz w:val="21"/>
                      <w:szCs w:val="21"/>
                      <w:highlight w:val="none"/>
                    </w:rPr>
                    <w:t>排放质量浓度（mg/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466" w:type="pct"/>
                  <w:vMerge w:val="continue"/>
                  <w:noWrap w:val="0"/>
                  <w:vAlign w:val="center"/>
                </w:tcPr>
                <w:p w14:paraId="39629001">
                  <w:pPr>
                    <w:pStyle w:val="60"/>
                    <w:bidi w:val="0"/>
                    <w:rPr>
                      <w:color w:val="auto"/>
                      <w:sz w:val="21"/>
                      <w:szCs w:val="21"/>
                      <w:highlight w:val="none"/>
                    </w:rPr>
                  </w:pPr>
                </w:p>
              </w:tc>
            </w:tr>
            <w:tr w14:paraId="5E0F1F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noWrap w:val="0"/>
                  <w:vAlign w:val="center"/>
                </w:tcPr>
                <w:p w14:paraId="224AE578">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热风炉</w:t>
                  </w:r>
                </w:p>
              </w:tc>
              <w:tc>
                <w:tcPr>
                  <w:tcW w:w="606" w:type="pct"/>
                  <w:noWrap w:val="0"/>
                  <w:vAlign w:val="center"/>
                </w:tcPr>
                <w:p w14:paraId="12061BB8">
                  <w:pPr>
                    <w:pStyle w:val="60"/>
                    <w:bidi w:val="0"/>
                    <w:rPr>
                      <w:rFonts w:hint="eastAsia"/>
                      <w:color w:val="auto"/>
                      <w:sz w:val="21"/>
                      <w:szCs w:val="21"/>
                      <w:highlight w:val="none"/>
                      <w:lang w:val="en-US" w:eastAsia="zh-CN"/>
                    </w:rPr>
                  </w:pPr>
                  <w:r>
                    <w:rPr>
                      <w:rFonts w:hint="eastAsia"/>
                      <w:color w:val="auto"/>
                      <w:highlight w:val="none"/>
                      <w:lang w:val="en-US" w:eastAsia="zh-CN"/>
                    </w:rPr>
                    <w:t>二氧化硫</w:t>
                  </w:r>
                </w:p>
              </w:tc>
              <w:tc>
                <w:tcPr>
                  <w:tcW w:w="840" w:type="dxa"/>
                  <w:noWrap w:val="0"/>
                  <w:vAlign w:val="center"/>
                </w:tcPr>
                <w:p w14:paraId="67A498D7">
                  <w:pPr>
                    <w:pStyle w:val="48"/>
                    <w:bidi w:val="0"/>
                    <w:rPr>
                      <w:rFonts w:hint="default"/>
                      <w:lang w:val="en-US"/>
                    </w:rPr>
                  </w:pPr>
                  <w:r>
                    <w:rPr>
                      <w:rFonts w:hint="eastAsia"/>
                      <w:lang w:val="en-US" w:eastAsia="zh-CN"/>
                    </w:rPr>
                    <w:t>1.0980</w:t>
                  </w:r>
                </w:p>
              </w:tc>
              <w:tc>
                <w:tcPr>
                  <w:tcW w:w="840" w:type="dxa"/>
                  <w:shd w:val="clear" w:color="auto" w:fill="auto"/>
                  <w:noWrap w:val="0"/>
                  <w:vAlign w:val="center"/>
                </w:tcPr>
                <w:p w14:paraId="58127BF7">
                  <w:pPr>
                    <w:pStyle w:val="48"/>
                    <w:bidi w:val="0"/>
                    <w:rPr>
                      <w:rFonts w:hint="default"/>
                      <w:lang w:val="en-US" w:eastAsia="zh-CN"/>
                    </w:rPr>
                  </w:pPr>
                  <w:r>
                    <w:rPr>
                      <w:rFonts w:hint="eastAsia"/>
                      <w:lang w:val="en-US" w:eastAsia="zh-CN"/>
                    </w:rPr>
                    <w:t>0.7625</w:t>
                  </w:r>
                </w:p>
              </w:tc>
              <w:tc>
                <w:tcPr>
                  <w:tcW w:w="840" w:type="dxa"/>
                  <w:noWrap w:val="0"/>
                  <w:vAlign w:val="center"/>
                </w:tcPr>
                <w:p w14:paraId="3DD80598">
                  <w:pPr>
                    <w:pStyle w:val="48"/>
                    <w:bidi w:val="0"/>
                    <w:rPr>
                      <w:rFonts w:hint="default"/>
                      <w:lang w:val="en-US" w:eastAsia="zh-CN"/>
                    </w:rPr>
                  </w:pPr>
                  <w:r>
                    <w:rPr>
                      <w:rFonts w:hint="eastAsia"/>
                      <w:lang w:val="en-US" w:eastAsia="zh-CN"/>
                    </w:rPr>
                    <w:t>45.80</w:t>
                  </w:r>
                </w:p>
              </w:tc>
              <w:tc>
                <w:tcPr>
                  <w:tcW w:w="840" w:type="dxa"/>
                  <w:noWrap w:val="0"/>
                  <w:vAlign w:val="center"/>
                </w:tcPr>
                <w:p w14:paraId="1848968D">
                  <w:pPr>
                    <w:pStyle w:val="48"/>
                    <w:bidi w:val="0"/>
                    <w:rPr>
                      <w:rFonts w:hint="default"/>
                      <w:lang w:val="en-US"/>
                    </w:rPr>
                  </w:pPr>
                  <w:r>
                    <w:rPr>
                      <w:rFonts w:hint="eastAsia"/>
                      <w:lang w:val="en-US" w:eastAsia="zh-CN"/>
                    </w:rPr>
                    <w:t>1.0980</w:t>
                  </w:r>
                </w:p>
              </w:tc>
              <w:tc>
                <w:tcPr>
                  <w:tcW w:w="840" w:type="dxa"/>
                  <w:shd w:val="clear" w:color="auto" w:fill="auto"/>
                  <w:noWrap w:val="0"/>
                  <w:vAlign w:val="center"/>
                </w:tcPr>
                <w:p w14:paraId="49231B6A">
                  <w:pPr>
                    <w:pStyle w:val="48"/>
                    <w:bidi w:val="0"/>
                    <w:rPr>
                      <w:rFonts w:hint="default"/>
                      <w:lang w:val="en-US" w:eastAsia="zh-CN"/>
                    </w:rPr>
                  </w:pPr>
                  <w:r>
                    <w:rPr>
                      <w:rFonts w:hint="eastAsia"/>
                      <w:lang w:val="en-US" w:eastAsia="zh-CN"/>
                    </w:rPr>
                    <w:t>0.7625</w:t>
                  </w:r>
                </w:p>
              </w:tc>
              <w:tc>
                <w:tcPr>
                  <w:tcW w:w="845" w:type="dxa"/>
                  <w:noWrap w:val="0"/>
                  <w:vAlign w:val="center"/>
                </w:tcPr>
                <w:p w14:paraId="21B48B9F">
                  <w:pPr>
                    <w:pStyle w:val="48"/>
                    <w:bidi w:val="0"/>
                    <w:rPr>
                      <w:rFonts w:hint="default"/>
                      <w:lang w:val="en-US" w:eastAsia="zh-CN"/>
                    </w:rPr>
                  </w:pPr>
                  <w:r>
                    <w:rPr>
                      <w:rFonts w:hint="eastAsia"/>
                      <w:lang w:val="en-US" w:eastAsia="zh-CN"/>
                    </w:rPr>
                    <w:t>45.80</w:t>
                  </w:r>
                </w:p>
              </w:tc>
              <w:tc>
                <w:tcPr>
                  <w:tcW w:w="466" w:type="pct"/>
                  <w:noWrap w:val="0"/>
                  <w:vAlign w:val="center"/>
                </w:tcPr>
                <w:p w14:paraId="06C2D60A">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1440</w:t>
                  </w:r>
                </w:p>
              </w:tc>
            </w:tr>
          </w:tbl>
          <w:p w14:paraId="1BFD6757">
            <w:pPr>
              <w:pStyle w:val="52"/>
              <w:bidi w:val="0"/>
              <w:rPr>
                <w:rFonts w:hint="default"/>
                <w:color w:val="auto"/>
                <w:highlight w:val="none"/>
                <w:lang w:val="en-US" w:eastAsia="zh-CN"/>
              </w:rPr>
            </w:pPr>
            <w:r>
              <w:rPr>
                <w:rFonts w:hint="eastAsia"/>
                <w:color w:val="auto"/>
                <w:highlight w:val="none"/>
                <w:lang w:val="en-US" w:eastAsia="zh-CN"/>
              </w:rPr>
              <w:t>（d）氮氧化物</w:t>
            </w:r>
          </w:p>
          <w:p w14:paraId="6E955C00">
            <w:pPr>
              <w:pStyle w:val="46"/>
              <w:bidi w:val="0"/>
              <w:rPr>
                <w:rFonts w:hint="eastAsia"/>
                <w:color w:val="auto"/>
                <w:highlight w:val="none"/>
                <w:lang w:val="en-US" w:eastAsia="zh-CN"/>
              </w:rPr>
            </w:pPr>
            <w:r>
              <w:rPr>
                <w:color w:val="auto"/>
                <w:highlight w:val="none"/>
              </w:rPr>
              <w:t>氮氧化物应参照《污染源源强核算技术指南 锅炉》（HJ991-2018）中物料衡算法。但是本项目</w:t>
            </w:r>
            <w:r>
              <w:rPr>
                <w:rFonts w:hint="eastAsia"/>
                <w:color w:val="auto"/>
                <w:highlight w:val="none"/>
              </w:rPr>
              <w:t>锅炉</w:t>
            </w:r>
            <w:r>
              <w:rPr>
                <w:color w:val="auto"/>
                <w:highlight w:val="none"/>
              </w:rPr>
              <w:t>燃烧生物质燃料，因没有具有可比性的检测数据，所以不满足使用《污染源源强核算技术指南 锅炉》（HJ991-2018）中物料衡算法的条件，所以本项目</w:t>
            </w:r>
            <w:r>
              <w:rPr>
                <w:rFonts w:hint="eastAsia"/>
                <w:color w:val="auto"/>
                <w:highlight w:val="none"/>
                <w:lang w:val="en-US" w:eastAsia="zh-CN"/>
              </w:rPr>
              <w:t>氮氧化物产生量参照</w:t>
            </w:r>
            <w:r>
              <w:rPr>
                <w:rFonts w:hint="default"/>
                <w:color w:val="auto"/>
                <w:highlight w:val="none"/>
                <w:lang w:val="en-US" w:eastAsia="zh-CN"/>
              </w:rPr>
              <w:t>《4430工业锅炉（热力供应）行业系数手册》</w:t>
            </w:r>
            <w:r>
              <w:rPr>
                <w:rFonts w:hint="eastAsia"/>
                <w:color w:val="auto"/>
                <w:highlight w:val="none"/>
                <w:lang w:val="en-US" w:eastAsia="zh-CN"/>
              </w:rPr>
              <w:t>中4430</w:t>
            </w:r>
            <w:r>
              <w:rPr>
                <w:rFonts w:hint="default"/>
                <w:color w:val="auto"/>
                <w:highlight w:val="none"/>
                <w:lang w:val="en-US" w:eastAsia="zh-CN"/>
              </w:rPr>
              <w:t>工业锅炉（热力生产和供应行业）产污系数表</w:t>
            </w:r>
            <w:r>
              <w:rPr>
                <w:rFonts w:hint="eastAsia"/>
                <w:color w:val="auto"/>
                <w:highlight w:val="none"/>
                <w:lang w:val="en-US" w:eastAsia="zh-CN"/>
              </w:rPr>
              <w:t>—</w:t>
            </w:r>
            <w:r>
              <w:rPr>
                <w:rFonts w:hint="default"/>
                <w:color w:val="auto"/>
                <w:highlight w:val="none"/>
                <w:lang w:val="en-US" w:eastAsia="zh-CN"/>
              </w:rPr>
              <w:t>生物质工业锅炉</w:t>
            </w:r>
            <w:r>
              <w:rPr>
                <w:rFonts w:hint="eastAsia"/>
                <w:color w:val="auto"/>
                <w:highlight w:val="none"/>
                <w:lang w:val="en-US" w:eastAsia="zh-CN"/>
              </w:rPr>
              <w:t>中的数据计算：</w:t>
            </w:r>
          </w:p>
          <w:p w14:paraId="709DC568">
            <w:pPr>
              <w:pStyle w:val="50"/>
              <w:bidi w:val="0"/>
              <w:rPr>
                <w:rFonts w:hint="default"/>
                <w:color w:val="auto"/>
                <w:highlight w:val="none"/>
                <w:lang w:val="en-US" w:eastAsia="zh-CN"/>
              </w:rPr>
            </w:pPr>
            <w:r>
              <w:rPr>
                <w:rFonts w:hint="eastAsia"/>
                <w:color w:val="auto"/>
                <w:highlight w:val="none"/>
                <w:lang w:val="en-US" w:eastAsia="zh-CN"/>
              </w:rPr>
              <w:t>表</w:t>
            </w:r>
            <w:r>
              <w:rPr>
                <w:rFonts w:hint="default"/>
                <w:color w:val="auto"/>
                <w:highlight w:val="none"/>
                <w:lang w:val="en-US" w:eastAsia="zh-CN"/>
              </w:rPr>
              <w:t>4</w:t>
            </w:r>
            <w:r>
              <w:rPr>
                <w:rFonts w:hint="eastAsia"/>
                <w:color w:val="auto"/>
                <w:highlight w:val="none"/>
                <w:lang w:val="en-US" w:eastAsia="zh-CN"/>
              </w:rPr>
              <w:t>-5</w: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4430工业锅炉（热力生产和供应行业）</w:t>
            </w:r>
          </w:p>
          <w:p w14:paraId="78726372">
            <w:pPr>
              <w:pStyle w:val="50"/>
              <w:bidi w:val="0"/>
              <w:rPr>
                <w:rFonts w:hint="default"/>
                <w:color w:val="auto"/>
                <w:highlight w:val="none"/>
                <w:lang w:val="en-US" w:eastAsia="zh-CN"/>
              </w:rPr>
            </w:pPr>
            <w:r>
              <w:rPr>
                <w:rFonts w:hint="default"/>
                <w:color w:val="auto"/>
                <w:highlight w:val="none"/>
                <w:lang w:val="en-US" w:eastAsia="zh-CN"/>
              </w:rPr>
              <w:t>产污系数表</w:t>
            </w:r>
            <w:r>
              <w:rPr>
                <w:rFonts w:hint="eastAsia"/>
                <w:color w:val="auto"/>
                <w:highlight w:val="none"/>
                <w:lang w:val="en-US" w:eastAsia="zh-CN"/>
              </w:rPr>
              <w:t>—生物质工业锅炉</w:t>
            </w:r>
          </w:p>
          <w:tbl>
            <w:tblPr>
              <w:tblStyle w:val="38"/>
              <w:tblW w:w="77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7"/>
              <w:gridCol w:w="645"/>
              <w:gridCol w:w="855"/>
              <w:gridCol w:w="720"/>
              <w:gridCol w:w="885"/>
              <w:gridCol w:w="945"/>
              <w:gridCol w:w="675"/>
              <w:gridCol w:w="1095"/>
              <w:gridCol w:w="896"/>
            </w:tblGrid>
            <w:tr w14:paraId="70625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0" w:type="pct"/>
                  <w:noWrap w:val="0"/>
                  <w:vAlign w:val="center"/>
                </w:tcPr>
                <w:p w14:paraId="6BA7E0B7">
                  <w:pPr>
                    <w:pStyle w:val="60"/>
                    <w:bidi w:val="0"/>
                    <w:rPr>
                      <w:color w:val="auto"/>
                      <w:highlight w:val="none"/>
                    </w:rPr>
                  </w:pPr>
                  <w:r>
                    <w:rPr>
                      <w:rFonts w:hint="eastAsia"/>
                      <w:color w:val="auto"/>
                      <w:highlight w:val="none"/>
                    </w:rPr>
                    <w:t>产品名称</w:t>
                  </w:r>
                </w:p>
              </w:tc>
              <w:tc>
                <w:tcPr>
                  <w:tcW w:w="418" w:type="pct"/>
                  <w:noWrap w:val="0"/>
                  <w:vAlign w:val="center"/>
                </w:tcPr>
                <w:p w14:paraId="0B66A325">
                  <w:pPr>
                    <w:pStyle w:val="60"/>
                    <w:bidi w:val="0"/>
                    <w:rPr>
                      <w:rFonts w:hint="eastAsia"/>
                      <w:color w:val="auto"/>
                      <w:highlight w:val="none"/>
                      <w:lang w:val="en-US" w:eastAsia="zh-CN"/>
                    </w:rPr>
                  </w:pPr>
                  <w:r>
                    <w:rPr>
                      <w:rFonts w:hint="eastAsia"/>
                      <w:color w:val="auto"/>
                      <w:highlight w:val="none"/>
                      <w:lang w:val="en-US" w:eastAsia="zh-CN"/>
                    </w:rPr>
                    <w:t>工艺名称</w:t>
                  </w:r>
                </w:p>
              </w:tc>
              <w:tc>
                <w:tcPr>
                  <w:tcW w:w="554" w:type="pct"/>
                  <w:noWrap w:val="0"/>
                  <w:vAlign w:val="center"/>
                </w:tcPr>
                <w:p w14:paraId="78B387C9">
                  <w:pPr>
                    <w:pStyle w:val="60"/>
                    <w:bidi w:val="0"/>
                    <w:rPr>
                      <w:rFonts w:hint="eastAsia"/>
                      <w:color w:val="auto"/>
                      <w:highlight w:val="none"/>
                    </w:rPr>
                  </w:pPr>
                  <w:r>
                    <w:rPr>
                      <w:rFonts w:hint="eastAsia"/>
                      <w:color w:val="auto"/>
                      <w:highlight w:val="none"/>
                    </w:rPr>
                    <w:t>原料</w:t>
                  </w:r>
                </w:p>
                <w:p w14:paraId="4D22CAF1">
                  <w:pPr>
                    <w:pStyle w:val="60"/>
                    <w:bidi w:val="0"/>
                    <w:rPr>
                      <w:rFonts w:hint="eastAsia"/>
                      <w:color w:val="auto"/>
                      <w:highlight w:val="none"/>
                      <w:lang w:val="en-US" w:eastAsia="zh-CN"/>
                    </w:rPr>
                  </w:pPr>
                  <w:r>
                    <w:rPr>
                      <w:rFonts w:hint="eastAsia"/>
                      <w:color w:val="auto"/>
                      <w:highlight w:val="none"/>
                    </w:rPr>
                    <w:t>名称</w:t>
                  </w:r>
                </w:p>
              </w:tc>
              <w:tc>
                <w:tcPr>
                  <w:tcW w:w="467" w:type="pct"/>
                  <w:noWrap w:val="0"/>
                  <w:vAlign w:val="center"/>
                </w:tcPr>
                <w:p w14:paraId="2A0F5D62">
                  <w:pPr>
                    <w:pStyle w:val="60"/>
                    <w:bidi w:val="0"/>
                    <w:rPr>
                      <w:rFonts w:hint="eastAsia"/>
                      <w:color w:val="auto"/>
                      <w:highlight w:val="none"/>
                    </w:rPr>
                  </w:pPr>
                  <w:r>
                    <w:rPr>
                      <w:rFonts w:hint="eastAsia"/>
                      <w:color w:val="auto"/>
                      <w:highlight w:val="none"/>
                    </w:rPr>
                    <w:t>规模</w:t>
                  </w:r>
                </w:p>
                <w:p w14:paraId="4F48D760">
                  <w:pPr>
                    <w:pStyle w:val="60"/>
                    <w:bidi w:val="0"/>
                    <w:rPr>
                      <w:color w:val="auto"/>
                      <w:highlight w:val="none"/>
                    </w:rPr>
                  </w:pPr>
                  <w:r>
                    <w:rPr>
                      <w:rFonts w:hint="eastAsia"/>
                      <w:color w:val="auto"/>
                      <w:highlight w:val="none"/>
                    </w:rPr>
                    <w:t>等级</w:t>
                  </w:r>
                </w:p>
              </w:tc>
              <w:tc>
                <w:tcPr>
                  <w:tcW w:w="574" w:type="pct"/>
                  <w:noWrap w:val="0"/>
                  <w:vAlign w:val="center"/>
                </w:tcPr>
                <w:p w14:paraId="786D7A1E">
                  <w:pPr>
                    <w:pStyle w:val="60"/>
                    <w:bidi w:val="0"/>
                    <w:rPr>
                      <w:color w:val="auto"/>
                      <w:highlight w:val="none"/>
                    </w:rPr>
                  </w:pPr>
                  <w:r>
                    <w:rPr>
                      <w:rFonts w:hint="eastAsia"/>
                      <w:color w:val="auto"/>
                      <w:highlight w:val="none"/>
                    </w:rPr>
                    <w:t>污染物指标</w:t>
                  </w:r>
                </w:p>
              </w:tc>
              <w:tc>
                <w:tcPr>
                  <w:tcW w:w="613" w:type="pct"/>
                  <w:noWrap w:val="0"/>
                  <w:vAlign w:val="center"/>
                </w:tcPr>
                <w:p w14:paraId="6CB21A2A">
                  <w:pPr>
                    <w:pStyle w:val="60"/>
                    <w:bidi w:val="0"/>
                    <w:rPr>
                      <w:color w:val="auto"/>
                      <w:highlight w:val="none"/>
                    </w:rPr>
                  </w:pPr>
                  <w:r>
                    <w:rPr>
                      <w:rFonts w:hint="eastAsia"/>
                      <w:color w:val="auto"/>
                      <w:highlight w:val="none"/>
                    </w:rPr>
                    <w:t>单位</w:t>
                  </w:r>
                </w:p>
              </w:tc>
              <w:tc>
                <w:tcPr>
                  <w:tcW w:w="438" w:type="pct"/>
                  <w:noWrap w:val="0"/>
                  <w:vAlign w:val="center"/>
                </w:tcPr>
                <w:p w14:paraId="76D495BB">
                  <w:pPr>
                    <w:pStyle w:val="60"/>
                    <w:bidi w:val="0"/>
                    <w:rPr>
                      <w:rFonts w:hint="eastAsia"/>
                      <w:color w:val="auto"/>
                      <w:highlight w:val="none"/>
                    </w:rPr>
                  </w:pPr>
                  <w:r>
                    <w:rPr>
                      <w:rFonts w:hint="eastAsia"/>
                      <w:color w:val="auto"/>
                      <w:highlight w:val="none"/>
                    </w:rPr>
                    <w:t>产污</w:t>
                  </w:r>
                </w:p>
                <w:p w14:paraId="777074B7">
                  <w:pPr>
                    <w:pStyle w:val="60"/>
                    <w:bidi w:val="0"/>
                    <w:rPr>
                      <w:color w:val="auto"/>
                      <w:highlight w:val="none"/>
                    </w:rPr>
                  </w:pPr>
                  <w:r>
                    <w:rPr>
                      <w:rFonts w:hint="eastAsia"/>
                      <w:color w:val="auto"/>
                      <w:highlight w:val="none"/>
                    </w:rPr>
                    <w:t>系数</w:t>
                  </w:r>
                </w:p>
              </w:tc>
              <w:tc>
                <w:tcPr>
                  <w:tcW w:w="710" w:type="pct"/>
                  <w:noWrap w:val="0"/>
                  <w:vAlign w:val="center"/>
                </w:tcPr>
                <w:p w14:paraId="49E7F3CD">
                  <w:pPr>
                    <w:pStyle w:val="60"/>
                    <w:bidi w:val="0"/>
                    <w:rPr>
                      <w:color w:val="auto"/>
                      <w:highlight w:val="none"/>
                    </w:rPr>
                  </w:pPr>
                  <w:r>
                    <w:rPr>
                      <w:rFonts w:hint="eastAsia"/>
                      <w:color w:val="auto"/>
                      <w:highlight w:val="none"/>
                    </w:rPr>
                    <w:t>末端治理技术效率</w:t>
                  </w:r>
                </w:p>
              </w:tc>
              <w:tc>
                <w:tcPr>
                  <w:tcW w:w="581" w:type="pct"/>
                  <w:noWrap w:val="0"/>
                  <w:vAlign w:val="center"/>
                </w:tcPr>
                <w:p w14:paraId="52362620">
                  <w:pPr>
                    <w:pStyle w:val="60"/>
                    <w:bidi w:val="0"/>
                    <w:rPr>
                      <w:rFonts w:hint="eastAsia" w:eastAsia="宋体"/>
                      <w:color w:val="auto"/>
                      <w:highlight w:val="none"/>
                      <w:lang w:val="en-US" w:eastAsia="zh-CN"/>
                    </w:rPr>
                  </w:pPr>
                  <w:r>
                    <w:rPr>
                      <w:rFonts w:hint="eastAsia"/>
                      <w:color w:val="auto"/>
                      <w:highlight w:val="none"/>
                      <w:lang w:val="en-US" w:eastAsia="zh-CN"/>
                    </w:rPr>
                    <w:t>去除效率（%）</w:t>
                  </w:r>
                </w:p>
              </w:tc>
            </w:tr>
            <w:tr w14:paraId="6A43A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0" w:type="pct"/>
                  <w:noWrap w:val="0"/>
                  <w:vAlign w:val="center"/>
                </w:tcPr>
                <w:p w14:paraId="77441920">
                  <w:pPr>
                    <w:pStyle w:val="60"/>
                    <w:bidi w:val="0"/>
                    <w:rPr>
                      <w:color w:val="auto"/>
                      <w:highlight w:val="none"/>
                    </w:rPr>
                  </w:pPr>
                  <w:r>
                    <w:rPr>
                      <w:color w:val="auto"/>
                      <w:highlight w:val="none"/>
                    </w:rPr>
                    <w:t>蒸汽/热水/</w:t>
                  </w:r>
                  <w:r>
                    <w:rPr>
                      <w:rFonts w:hint="eastAsia"/>
                      <w:color w:val="auto"/>
                      <w:highlight w:val="none"/>
                      <w:lang w:eastAsia="zh-CN"/>
                    </w:rPr>
                    <w:t>其他</w:t>
                  </w:r>
                </w:p>
              </w:tc>
              <w:tc>
                <w:tcPr>
                  <w:tcW w:w="418" w:type="pct"/>
                  <w:noWrap w:val="0"/>
                  <w:vAlign w:val="center"/>
                </w:tcPr>
                <w:p w14:paraId="6744D9E8">
                  <w:pPr>
                    <w:pStyle w:val="60"/>
                    <w:bidi w:val="0"/>
                    <w:rPr>
                      <w:rFonts w:hint="default"/>
                      <w:color w:val="auto"/>
                      <w:highlight w:val="none"/>
                      <w:lang w:val="en-US" w:eastAsia="zh-CN"/>
                    </w:rPr>
                  </w:pPr>
                  <w:r>
                    <w:rPr>
                      <w:rFonts w:hint="eastAsia"/>
                      <w:color w:val="auto"/>
                      <w:highlight w:val="none"/>
                      <w:lang w:val="en-US" w:eastAsia="zh-CN"/>
                    </w:rPr>
                    <w:t>层燃炉</w:t>
                  </w:r>
                </w:p>
              </w:tc>
              <w:tc>
                <w:tcPr>
                  <w:tcW w:w="554" w:type="pct"/>
                  <w:noWrap w:val="0"/>
                  <w:vAlign w:val="center"/>
                </w:tcPr>
                <w:p w14:paraId="43506FCD">
                  <w:pPr>
                    <w:pStyle w:val="60"/>
                    <w:bidi w:val="0"/>
                    <w:rPr>
                      <w:rFonts w:hint="eastAsia"/>
                      <w:color w:val="auto"/>
                      <w:highlight w:val="none"/>
                      <w:lang w:val="en-US" w:eastAsia="zh-CN"/>
                    </w:rPr>
                  </w:pPr>
                  <w:r>
                    <w:rPr>
                      <w:rFonts w:hint="eastAsia"/>
                      <w:color w:val="auto"/>
                      <w:highlight w:val="none"/>
                    </w:rPr>
                    <w:t>生物质燃料</w:t>
                  </w:r>
                </w:p>
              </w:tc>
              <w:tc>
                <w:tcPr>
                  <w:tcW w:w="467" w:type="pct"/>
                  <w:noWrap w:val="0"/>
                  <w:vAlign w:val="center"/>
                </w:tcPr>
                <w:p w14:paraId="36BD178F">
                  <w:pPr>
                    <w:pStyle w:val="60"/>
                    <w:bidi w:val="0"/>
                    <w:rPr>
                      <w:rFonts w:hint="eastAsia"/>
                      <w:color w:val="auto"/>
                      <w:highlight w:val="none"/>
                    </w:rPr>
                  </w:pPr>
                  <w:r>
                    <w:rPr>
                      <w:rFonts w:hint="eastAsia"/>
                      <w:color w:val="auto"/>
                      <w:highlight w:val="none"/>
                    </w:rPr>
                    <w:t>所有</w:t>
                  </w:r>
                </w:p>
                <w:p w14:paraId="1CFC7C40">
                  <w:pPr>
                    <w:pStyle w:val="60"/>
                    <w:bidi w:val="0"/>
                    <w:rPr>
                      <w:color w:val="auto"/>
                      <w:highlight w:val="none"/>
                    </w:rPr>
                  </w:pPr>
                  <w:r>
                    <w:rPr>
                      <w:rFonts w:hint="eastAsia"/>
                      <w:color w:val="auto"/>
                      <w:highlight w:val="none"/>
                    </w:rPr>
                    <w:t>规模</w:t>
                  </w:r>
                </w:p>
              </w:tc>
              <w:tc>
                <w:tcPr>
                  <w:tcW w:w="574" w:type="pct"/>
                  <w:noWrap w:val="0"/>
                  <w:vAlign w:val="center"/>
                </w:tcPr>
                <w:p w14:paraId="7E0B88F0">
                  <w:pPr>
                    <w:pStyle w:val="60"/>
                    <w:bidi w:val="0"/>
                    <w:rPr>
                      <w:color w:val="auto"/>
                      <w:highlight w:val="none"/>
                    </w:rPr>
                  </w:pPr>
                  <w:r>
                    <w:rPr>
                      <w:rFonts w:hint="eastAsia"/>
                      <w:color w:val="auto"/>
                      <w:highlight w:val="none"/>
                    </w:rPr>
                    <w:t>氮氧化物</w:t>
                  </w:r>
                </w:p>
              </w:tc>
              <w:tc>
                <w:tcPr>
                  <w:tcW w:w="613" w:type="pct"/>
                  <w:noWrap w:val="0"/>
                  <w:vAlign w:val="center"/>
                </w:tcPr>
                <w:p w14:paraId="645CFFE3">
                  <w:pPr>
                    <w:pStyle w:val="60"/>
                    <w:bidi w:val="0"/>
                    <w:rPr>
                      <w:rFonts w:hint="eastAsia"/>
                      <w:color w:val="auto"/>
                      <w:highlight w:val="none"/>
                    </w:rPr>
                  </w:pPr>
                  <w:r>
                    <w:rPr>
                      <w:rFonts w:hint="eastAsia"/>
                      <w:color w:val="auto"/>
                      <w:highlight w:val="none"/>
                    </w:rPr>
                    <w:t>千克</w:t>
                  </w:r>
                  <w:r>
                    <w:rPr>
                      <w:color w:val="auto"/>
                      <w:highlight w:val="none"/>
                    </w:rPr>
                    <w:t>/</w:t>
                  </w:r>
                  <w:r>
                    <w:rPr>
                      <w:rFonts w:hint="eastAsia"/>
                      <w:color w:val="auto"/>
                      <w:highlight w:val="none"/>
                    </w:rPr>
                    <w:t>吨</w:t>
                  </w:r>
                </w:p>
                <w:p w14:paraId="5D65D541">
                  <w:pPr>
                    <w:pStyle w:val="60"/>
                    <w:bidi w:val="0"/>
                    <w:rPr>
                      <w:color w:val="auto"/>
                      <w:highlight w:val="none"/>
                    </w:rPr>
                  </w:pPr>
                  <w:r>
                    <w:rPr>
                      <w:rFonts w:hint="eastAsia"/>
                      <w:color w:val="auto"/>
                      <w:highlight w:val="none"/>
                      <w:lang w:val="en-US" w:eastAsia="zh-CN"/>
                    </w:rPr>
                    <w:t>—</w:t>
                  </w:r>
                  <w:r>
                    <w:rPr>
                      <w:rFonts w:hint="eastAsia"/>
                      <w:color w:val="auto"/>
                      <w:highlight w:val="none"/>
                    </w:rPr>
                    <w:t>原料</w:t>
                  </w:r>
                </w:p>
              </w:tc>
              <w:tc>
                <w:tcPr>
                  <w:tcW w:w="438" w:type="pct"/>
                  <w:noWrap w:val="0"/>
                  <w:vAlign w:val="center"/>
                </w:tcPr>
                <w:p w14:paraId="30386BD6">
                  <w:pPr>
                    <w:pStyle w:val="60"/>
                    <w:bidi w:val="0"/>
                    <w:rPr>
                      <w:color w:val="auto"/>
                      <w:highlight w:val="none"/>
                    </w:rPr>
                  </w:pPr>
                  <w:r>
                    <w:rPr>
                      <w:rFonts w:hint="eastAsia"/>
                      <w:color w:val="auto"/>
                      <w:highlight w:val="none"/>
                    </w:rPr>
                    <w:t>1.02</w:t>
                  </w:r>
                </w:p>
              </w:tc>
              <w:tc>
                <w:tcPr>
                  <w:tcW w:w="710" w:type="pct"/>
                  <w:noWrap w:val="0"/>
                  <w:vAlign w:val="center"/>
                </w:tcPr>
                <w:p w14:paraId="1444EBC6">
                  <w:pPr>
                    <w:pStyle w:val="60"/>
                    <w:bidi w:val="0"/>
                    <w:rPr>
                      <w:color w:val="auto"/>
                      <w:highlight w:val="none"/>
                    </w:rPr>
                  </w:pPr>
                  <w:r>
                    <w:rPr>
                      <w:rFonts w:hint="eastAsia"/>
                      <w:color w:val="auto"/>
                      <w:highlight w:val="none"/>
                    </w:rPr>
                    <w:t>/</w:t>
                  </w:r>
                </w:p>
              </w:tc>
              <w:tc>
                <w:tcPr>
                  <w:tcW w:w="581" w:type="pct"/>
                  <w:noWrap w:val="0"/>
                  <w:vAlign w:val="center"/>
                </w:tcPr>
                <w:p w14:paraId="2DAED6C8">
                  <w:pPr>
                    <w:pStyle w:val="60"/>
                    <w:bidi w:val="0"/>
                    <w:rPr>
                      <w:rFonts w:hint="eastAsia" w:eastAsia="宋体"/>
                      <w:color w:val="auto"/>
                      <w:highlight w:val="none"/>
                      <w:lang w:val="en-US" w:eastAsia="zh-CN"/>
                    </w:rPr>
                  </w:pPr>
                  <w:r>
                    <w:rPr>
                      <w:rFonts w:hint="eastAsia"/>
                      <w:color w:val="auto"/>
                      <w:highlight w:val="none"/>
                      <w:lang w:val="en-US" w:eastAsia="zh-CN"/>
                    </w:rPr>
                    <w:t>0</w:t>
                  </w:r>
                </w:p>
              </w:tc>
            </w:tr>
          </w:tbl>
          <w:p w14:paraId="5E27FCD0">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color w:val="auto"/>
                <w:highlight w:val="none"/>
              </w:rPr>
            </w:pPr>
            <w:r>
              <w:rPr>
                <w:rFonts w:hint="eastAsia"/>
                <w:color w:val="auto"/>
                <w:highlight w:val="none"/>
                <w:lang w:val="en-US" w:eastAsia="zh-CN"/>
              </w:rPr>
              <w:t>根据上表，本项目氮氧化物产污系数取1.02kg/t原料，无末端治理技术，氮氧化物去除效率为0，本项目热风炉燃料量3050.13t/a，</w:t>
            </w:r>
            <w:r>
              <w:rPr>
                <w:rFonts w:hint="default"/>
                <w:color w:val="auto"/>
                <w:highlight w:val="none"/>
                <w:lang w:val="en-US" w:eastAsia="zh-CN"/>
              </w:rPr>
              <w:t>计算</w:t>
            </w:r>
            <w:r>
              <w:rPr>
                <w:rFonts w:hint="eastAsia"/>
                <w:color w:val="auto"/>
                <w:highlight w:val="none"/>
                <w:lang w:val="en-US" w:eastAsia="zh-CN"/>
              </w:rPr>
              <w:t>结果如下：</w:t>
            </w:r>
          </w:p>
          <w:p w14:paraId="1730409C">
            <w:pPr>
              <w:pStyle w:val="50"/>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表4-</w:t>
            </w:r>
            <w:r>
              <w:rPr>
                <w:rFonts w:hint="eastAsia" w:cs="Times New Roman"/>
                <w:color w:val="auto"/>
                <w:highlight w:val="none"/>
                <w:lang w:val="en-US" w:eastAsia="zh-CN"/>
              </w:rPr>
              <w:t>6</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eastAsia"/>
                <w:color w:val="auto"/>
                <w:highlight w:val="none"/>
                <w:lang w:val="en-US" w:eastAsia="zh-CN"/>
              </w:rPr>
              <w:t>氮氧化物产生、排放计算</w:t>
            </w:r>
            <w:r>
              <w:rPr>
                <w:rFonts w:hint="eastAsia" w:cs="Times New Roman"/>
                <w:color w:val="auto"/>
                <w:highlight w:val="none"/>
                <w:lang w:val="en-US" w:eastAsia="zh-CN"/>
              </w:rPr>
              <w:t>结果</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1"/>
              <w:gridCol w:w="921"/>
              <w:gridCol w:w="840"/>
              <w:gridCol w:w="840"/>
              <w:gridCol w:w="840"/>
              <w:gridCol w:w="840"/>
              <w:gridCol w:w="840"/>
              <w:gridCol w:w="845"/>
              <w:gridCol w:w="708"/>
            </w:tblGrid>
            <w:tr w14:paraId="3A140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restart"/>
                  <w:noWrap w:val="0"/>
                  <w:vAlign w:val="center"/>
                </w:tcPr>
                <w:p w14:paraId="5BBED022">
                  <w:pPr>
                    <w:pStyle w:val="60"/>
                    <w:bidi w:val="0"/>
                    <w:rPr>
                      <w:color w:val="auto"/>
                      <w:sz w:val="21"/>
                      <w:szCs w:val="21"/>
                      <w:highlight w:val="none"/>
                    </w:rPr>
                  </w:pPr>
                  <w:r>
                    <w:rPr>
                      <w:color w:val="auto"/>
                      <w:sz w:val="21"/>
                      <w:szCs w:val="21"/>
                      <w:highlight w:val="none"/>
                    </w:rPr>
                    <w:t>装置</w:t>
                  </w:r>
                </w:p>
              </w:tc>
              <w:tc>
                <w:tcPr>
                  <w:tcW w:w="606" w:type="pct"/>
                  <w:vMerge w:val="restart"/>
                  <w:noWrap w:val="0"/>
                  <w:vAlign w:val="center"/>
                </w:tcPr>
                <w:p w14:paraId="14B16B61">
                  <w:pPr>
                    <w:pStyle w:val="60"/>
                    <w:bidi w:val="0"/>
                    <w:rPr>
                      <w:color w:val="auto"/>
                      <w:sz w:val="21"/>
                      <w:szCs w:val="21"/>
                      <w:highlight w:val="none"/>
                    </w:rPr>
                  </w:pPr>
                  <w:r>
                    <w:rPr>
                      <w:color w:val="auto"/>
                      <w:sz w:val="21"/>
                      <w:szCs w:val="21"/>
                      <w:highlight w:val="none"/>
                    </w:rPr>
                    <w:t>污染物</w:t>
                  </w:r>
                </w:p>
              </w:tc>
              <w:tc>
                <w:tcPr>
                  <w:tcW w:w="1658" w:type="pct"/>
                  <w:gridSpan w:val="3"/>
                  <w:noWrap w:val="0"/>
                  <w:vAlign w:val="center"/>
                </w:tcPr>
                <w:p w14:paraId="73CB6C4A">
                  <w:pPr>
                    <w:pStyle w:val="60"/>
                    <w:bidi w:val="0"/>
                    <w:rPr>
                      <w:color w:val="auto"/>
                      <w:sz w:val="21"/>
                      <w:szCs w:val="21"/>
                      <w:highlight w:val="none"/>
                    </w:rPr>
                  </w:pPr>
                  <w:r>
                    <w:rPr>
                      <w:color w:val="auto"/>
                      <w:sz w:val="21"/>
                      <w:szCs w:val="21"/>
                      <w:highlight w:val="none"/>
                    </w:rPr>
                    <w:t>污染物产生</w:t>
                  </w:r>
                </w:p>
              </w:tc>
              <w:tc>
                <w:tcPr>
                  <w:tcW w:w="1662" w:type="pct"/>
                  <w:gridSpan w:val="3"/>
                  <w:noWrap w:val="0"/>
                  <w:vAlign w:val="center"/>
                </w:tcPr>
                <w:p w14:paraId="5DB08849">
                  <w:pPr>
                    <w:pStyle w:val="60"/>
                    <w:bidi w:val="0"/>
                    <w:rPr>
                      <w:color w:val="auto"/>
                      <w:sz w:val="21"/>
                      <w:szCs w:val="21"/>
                      <w:highlight w:val="none"/>
                    </w:rPr>
                  </w:pPr>
                  <w:r>
                    <w:rPr>
                      <w:color w:val="auto"/>
                      <w:sz w:val="21"/>
                      <w:szCs w:val="21"/>
                      <w:highlight w:val="none"/>
                    </w:rPr>
                    <w:t>污染物排放</w:t>
                  </w:r>
                </w:p>
              </w:tc>
              <w:tc>
                <w:tcPr>
                  <w:tcW w:w="466" w:type="pct"/>
                  <w:vMerge w:val="restart"/>
                  <w:noWrap w:val="0"/>
                  <w:vAlign w:val="center"/>
                </w:tcPr>
                <w:p w14:paraId="38CECDAC">
                  <w:pPr>
                    <w:pStyle w:val="60"/>
                    <w:bidi w:val="0"/>
                    <w:rPr>
                      <w:color w:val="auto"/>
                      <w:sz w:val="21"/>
                      <w:szCs w:val="21"/>
                      <w:highlight w:val="none"/>
                    </w:rPr>
                  </w:pPr>
                  <w:r>
                    <w:rPr>
                      <w:color w:val="auto"/>
                      <w:sz w:val="21"/>
                      <w:szCs w:val="21"/>
                      <w:highlight w:val="none"/>
                    </w:rPr>
                    <w:t>排放时间</w:t>
                  </w:r>
                  <w:r>
                    <w:rPr>
                      <w:rFonts w:hint="eastAsia"/>
                      <w:color w:val="auto"/>
                      <w:sz w:val="21"/>
                      <w:szCs w:val="21"/>
                      <w:highlight w:val="none"/>
                    </w:rPr>
                    <w:t>（h）</w:t>
                  </w:r>
                </w:p>
              </w:tc>
            </w:tr>
            <w:tr w14:paraId="7E188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vMerge w:val="continue"/>
                  <w:noWrap w:val="0"/>
                  <w:vAlign w:val="center"/>
                </w:tcPr>
                <w:p w14:paraId="230AD3F0">
                  <w:pPr>
                    <w:pStyle w:val="60"/>
                    <w:bidi w:val="0"/>
                    <w:rPr>
                      <w:color w:val="auto"/>
                      <w:sz w:val="21"/>
                      <w:szCs w:val="21"/>
                      <w:highlight w:val="none"/>
                    </w:rPr>
                  </w:pPr>
                </w:p>
              </w:tc>
              <w:tc>
                <w:tcPr>
                  <w:tcW w:w="606" w:type="pct"/>
                  <w:vMerge w:val="continue"/>
                  <w:noWrap w:val="0"/>
                  <w:vAlign w:val="center"/>
                </w:tcPr>
                <w:p w14:paraId="54769879">
                  <w:pPr>
                    <w:pStyle w:val="60"/>
                    <w:bidi w:val="0"/>
                    <w:rPr>
                      <w:color w:val="auto"/>
                      <w:sz w:val="21"/>
                      <w:szCs w:val="21"/>
                      <w:highlight w:val="none"/>
                    </w:rPr>
                  </w:pPr>
                </w:p>
              </w:tc>
              <w:tc>
                <w:tcPr>
                  <w:tcW w:w="552" w:type="pct"/>
                  <w:noWrap w:val="0"/>
                  <w:vAlign w:val="center"/>
                </w:tcPr>
                <w:p w14:paraId="44872DFE">
                  <w:pPr>
                    <w:pStyle w:val="60"/>
                    <w:bidi w:val="0"/>
                    <w:rPr>
                      <w:rFonts w:hint="eastAsia" w:eastAsia="宋体"/>
                      <w:color w:val="auto"/>
                      <w:sz w:val="21"/>
                      <w:szCs w:val="21"/>
                      <w:highlight w:val="none"/>
                      <w:lang w:val="en-US" w:eastAsia="zh-CN"/>
                    </w:rPr>
                  </w:pPr>
                  <w:r>
                    <w:rPr>
                      <w:rFonts w:hint="eastAsia"/>
                      <w:color w:val="auto"/>
                      <w:sz w:val="21"/>
                      <w:szCs w:val="21"/>
                      <w:highlight w:val="none"/>
                      <w:lang w:val="en-US" w:eastAsia="zh-CN"/>
                    </w:rPr>
                    <w:t>产生量（t/a）</w:t>
                  </w:r>
                </w:p>
              </w:tc>
              <w:tc>
                <w:tcPr>
                  <w:tcW w:w="552" w:type="pct"/>
                  <w:shd w:val="clear" w:color="auto" w:fill="auto"/>
                  <w:noWrap w:val="0"/>
                  <w:vAlign w:val="center"/>
                </w:tcPr>
                <w:p w14:paraId="0AE1A0FF">
                  <w:pPr>
                    <w:pStyle w:val="60"/>
                    <w:bidi w:val="0"/>
                    <w:rPr>
                      <w:rFonts w:hint="eastAsia" w:eastAsia="宋体"/>
                      <w:color w:val="auto"/>
                      <w:sz w:val="21"/>
                      <w:szCs w:val="21"/>
                      <w:highlight w:val="none"/>
                      <w:lang w:eastAsia="zh-CN"/>
                    </w:rPr>
                  </w:pPr>
                  <w:r>
                    <w:rPr>
                      <w:color w:val="auto"/>
                      <w:sz w:val="21"/>
                      <w:szCs w:val="21"/>
                      <w:highlight w:val="none"/>
                    </w:rPr>
                    <w:t>产生</w:t>
                  </w:r>
                  <w:r>
                    <w:rPr>
                      <w:rFonts w:hint="eastAsia"/>
                      <w:color w:val="auto"/>
                      <w:sz w:val="21"/>
                      <w:szCs w:val="21"/>
                      <w:highlight w:val="none"/>
                      <w:lang w:val="en-US" w:eastAsia="zh-CN"/>
                    </w:rPr>
                    <w:t>速率</w:t>
                  </w:r>
                </w:p>
                <w:p w14:paraId="6D3321F5">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eastAsia="zh-CN"/>
                    </w:rPr>
                    <w:t>(</w:t>
                  </w:r>
                  <w:r>
                    <w:rPr>
                      <w:color w:val="auto"/>
                      <w:sz w:val="21"/>
                      <w:szCs w:val="21"/>
                      <w:highlight w:val="none"/>
                    </w:rPr>
                    <w:t>kg/h</w:t>
                  </w:r>
                  <w:r>
                    <w:rPr>
                      <w:rFonts w:hint="eastAsia"/>
                      <w:color w:val="auto"/>
                      <w:sz w:val="21"/>
                      <w:szCs w:val="21"/>
                      <w:highlight w:val="none"/>
                      <w:lang w:eastAsia="zh-CN"/>
                    </w:rPr>
                    <w:t>)</w:t>
                  </w:r>
                </w:p>
              </w:tc>
              <w:tc>
                <w:tcPr>
                  <w:tcW w:w="552" w:type="pct"/>
                  <w:noWrap w:val="0"/>
                  <w:vAlign w:val="center"/>
                </w:tcPr>
                <w:p w14:paraId="35B833A8">
                  <w:pPr>
                    <w:pStyle w:val="60"/>
                    <w:bidi w:val="0"/>
                    <w:rPr>
                      <w:color w:val="auto"/>
                      <w:sz w:val="21"/>
                      <w:szCs w:val="21"/>
                      <w:highlight w:val="none"/>
                    </w:rPr>
                  </w:pPr>
                  <w:r>
                    <w:rPr>
                      <w:color w:val="auto"/>
                      <w:sz w:val="21"/>
                      <w:szCs w:val="21"/>
                      <w:highlight w:val="none"/>
                    </w:rPr>
                    <w:t>产生质量浓度（mg/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552" w:type="pct"/>
                  <w:noWrap w:val="0"/>
                  <w:vAlign w:val="center"/>
                </w:tcPr>
                <w:p w14:paraId="7CA19DC0">
                  <w:pPr>
                    <w:pStyle w:val="60"/>
                    <w:bidi w:val="0"/>
                    <w:rPr>
                      <w:color w:val="auto"/>
                      <w:sz w:val="21"/>
                      <w:szCs w:val="21"/>
                      <w:highlight w:val="none"/>
                    </w:rPr>
                  </w:pPr>
                  <w:r>
                    <w:rPr>
                      <w:rFonts w:hint="eastAsia"/>
                      <w:color w:val="auto"/>
                      <w:sz w:val="21"/>
                      <w:szCs w:val="21"/>
                      <w:highlight w:val="none"/>
                      <w:lang w:val="en-US" w:eastAsia="zh-CN"/>
                    </w:rPr>
                    <w:t>排放量（t/a）</w:t>
                  </w:r>
                </w:p>
              </w:tc>
              <w:tc>
                <w:tcPr>
                  <w:tcW w:w="552" w:type="pct"/>
                  <w:shd w:val="clear" w:color="auto" w:fill="auto"/>
                  <w:noWrap w:val="0"/>
                  <w:vAlign w:val="center"/>
                </w:tcPr>
                <w:p w14:paraId="5EDAFB02">
                  <w:pPr>
                    <w:pStyle w:val="60"/>
                    <w:bidi w:val="0"/>
                    <w:ind w:firstLine="0" w:firstLineChars="0"/>
                    <w:rPr>
                      <w:rFonts w:ascii="Times New Roman" w:hAnsi="Times New Roman" w:eastAsia="宋体" w:cs="宋体"/>
                      <w:color w:val="auto"/>
                      <w:kern w:val="2"/>
                      <w:sz w:val="21"/>
                      <w:szCs w:val="21"/>
                      <w:highlight w:val="none"/>
                      <w:lang w:val="en-US" w:eastAsia="zh-CN" w:bidi="ar-SA"/>
                    </w:rPr>
                  </w:pPr>
                  <w:r>
                    <w:rPr>
                      <w:color w:val="auto"/>
                      <w:sz w:val="21"/>
                      <w:szCs w:val="21"/>
                      <w:highlight w:val="none"/>
                    </w:rPr>
                    <w:t>排放</w:t>
                  </w:r>
                  <w:r>
                    <w:rPr>
                      <w:rFonts w:hint="eastAsia"/>
                      <w:color w:val="auto"/>
                      <w:sz w:val="21"/>
                      <w:szCs w:val="21"/>
                      <w:highlight w:val="none"/>
                      <w:lang w:val="en-US" w:eastAsia="zh-CN"/>
                    </w:rPr>
                    <w:t>速率</w:t>
                  </w:r>
                  <w:r>
                    <w:rPr>
                      <w:color w:val="auto"/>
                      <w:sz w:val="21"/>
                      <w:szCs w:val="21"/>
                      <w:highlight w:val="none"/>
                    </w:rPr>
                    <w:t>（kg/h）</w:t>
                  </w:r>
                </w:p>
              </w:tc>
              <w:tc>
                <w:tcPr>
                  <w:tcW w:w="556" w:type="pct"/>
                  <w:noWrap w:val="0"/>
                  <w:vAlign w:val="center"/>
                </w:tcPr>
                <w:p w14:paraId="41AFB357">
                  <w:pPr>
                    <w:pStyle w:val="60"/>
                    <w:bidi w:val="0"/>
                    <w:rPr>
                      <w:color w:val="auto"/>
                      <w:sz w:val="21"/>
                      <w:szCs w:val="21"/>
                      <w:highlight w:val="none"/>
                    </w:rPr>
                  </w:pPr>
                  <w:r>
                    <w:rPr>
                      <w:color w:val="auto"/>
                      <w:sz w:val="21"/>
                      <w:szCs w:val="21"/>
                      <w:highlight w:val="none"/>
                    </w:rPr>
                    <w:t>排放质量浓度（mg/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466" w:type="pct"/>
                  <w:vMerge w:val="continue"/>
                  <w:noWrap w:val="0"/>
                  <w:vAlign w:val="center"/>
                </w:tcPr>
                <w:p w14:paraId="211E8D31">
                  <w:pPr>
                    <w:pStyle w:val="60"/>
                    <w:bidi w:val="0"/>
                    <w:rPr>
                      <w:color w:val="auto"/>
                      <w:sz w:val="21"/>
                      <w:szCs w:val="21"/>
                      <w:highlight w:val="none"/>
                    </w:rPr>
                  </w:pPr>
                </w:p>
              </w:tc>
            </w:tr>
            <w:tr w14:paraId="011DE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6" w:type="pct"/>
                  <w:noWrap w:val="0"/>
                  <w:vAlign w:val="center"/>
                </w:tcPr>
                <w:p w14:paraId="4AEF46A3">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热风炉</w:t>
                  </w:r>
                </w:p>
              </w:tc>
              <w:tc>
                <w:tcPr>
                  <w:tcW w:w="606" w:type="pct"/>
                  <w:noWrap w:val="0"/>
                  <w:vAlign w:val="center"/>
                </w:tcPr>
                <w:p w14:paraId="6BF7C89D">
                  <w:pPr>
                    <w:pStyle w:val="60"/>
                    <w:bidi w:val="0"/>
                    <w:rPr>
                      <w:rFonts w:hint="eastAsia"/>
                      <w:color w:val="auto"/>
                      <w:highlight w:val="none"/>
                      <w:lang w:val="en-US" w:eastAsia="zh-CN"/>
                    </w:rPr>
                  </w:pPr>
                  <w:r>
                    <w:rPr>
                      <w:rFonts w:hint="eastAsia"/>
                      <w:color w:val="auto"/>
                      <w:highlight w:val="none"/>
                      <w:lang w:val="en-US" w:eastAsia="zh-CN"/>
                    </w:rPr>
                    <w:t>氮氧化物</w:t>
                  </w:r>
                </w:p>
              </w:tc>
              <w:tc>
                <w:tcPr>
                  <w:tcW w:w="840" w:type="dxa"/>
                  <w:noWrap w:val="0"/>
                  <w:vAlign w:val="center"/>
                </w:tcPr>
                <w:p w14:paraId="2C84D409">
                  <w:pPr>
                    <w:pStyle w:val="48"/>
                    <w:bidi w:val="0"/>
                    <w:rPr>
                      <w:rFonts w:hint="eastAsia"/>
                    </w:rPr>
                  </w:pPr>
                  <w:r>
                    <w:rPr>
                      <w:rFonts w:hint="eastAsia"/>
                      <w:lang w:val="en-US" w:eastAsia="zh-CN"/>
                    </w:rPr>
                    <w:t>3.1111</w:t>
                  </w:r>
                </w:p>
              </w:tc>
              <w:tc>
                <w:tcPr>
                  <w:tcW w:w="840" w:type="dxa"/>
                  <w:shd w:val="clear" w:color="auto" w:fill="auto"/>
                  <w:noWrap w:val="0"/>
                  <w:vAlign w:val="center"/>
                </w:tcPr>
                <w:p w14:paraId="56F12DB0">
                  <w:pPr>
                    <w:pStyle w:val="48"/>
                    <w:bidi w:val="0"/>
                    <w:rPr>
                      <w:rFonts w:hint="default"/>
                      <w:lang w:val="en-US" w:eastAsia="zh-CN"/>
                    </w:rPr>
                  </w:pPr>
                  <w:r>
                    <w:rPr>
                      <w:rFonts w:hint="eastAsia"/>
                      <w:lang w:val="en-US" w:eastAsia="zh-CN"/>
                    </w:rPr>
                    <w:t>2.1605</w:t>
                  </w:r>
                </w:p>
              </w:tc>
              <w:tc>
                <w:tcPr>
                  <w:tcW w:w="840" w:type="dxa"/>
                  <w:noWrap w:val="0"/>
                  <w:vAlign w:val="center"/>
                </w:tcPr>
                <w:p w14:paraId="407F7535">
                  <w:pPr>
                    <w:pStyle w:val="48"/>
                    <w:bidi w:val="0"/>
                    <w:rPr>
                      <w:rFonts w:hint="default"/>
                      <w:lang w:val="en-US" w:eastAsia="zh-CN"/>
                    </w:rPr>
                  </w:pPr>
                  <w:r>
                    <w:rPr>
                      <w:rFonts w:hint="eastAsia"/>
                      <w:lang w:val="en-US" w:eastAsia="zh-CN"/>
                    </w:rPr>
                    <w:t>129.78</w:t>
                  </w:r>
                </w:p>
              </w:tc>
              <w:tc>
                <w:tcPr>
                  <w:tcW w:w="840" w:type="dxa"/>
                  <w:noWrap w:val="0"/>
                  <w:vAlign w:val="center"/>
                </w:tcPr>
                <w:p w14:paraId="5C51960F">
                  <w:pPr>
                    <w:pStyle w:val="48"/>
                    <w:bidi w:val="0"/>
                    <w:rPr>
                      <w:rFonts w:hint="eastAsia"/>
                    </w:rPr>
                  </w:pPr>
                  <w:r>
                    <w:rPr>
                      <w:rFonts w:hint="eastAsia"/>
                      <w:lang w:val="en-US" w:eastAsia="zh-CN"/>
                    </w:rPr>
                    <w:t>3.1111</w:t>
                  </w:r>
                </w:p>
              </w:tc>
              <w:tc>
                <w:tcPr>
                  <w:tcW w:w="840" w:type="dxa"/>
                  <w:shd w:val="clear" w:color="auto" w:fill="auto"/>
                  <w:noWrap w:val="0"/>
                  <w:vAlign w:val="center"/>
                </w:tcPr>
                <w:p w14:paraId="3E01135B">
                  <w:pPr>
                    <w:pStyle w:val="48"/>
                    <w:bidi w:val="0"/>
                    <w:rPr>
                      <w:rFonts w:hint="default"/>
                      <w:lang w:val="en-US" w:eastAsia="zh-CN"/>
                    </w:rPr>
                  </w:pPr>
                  <w:r>
                    <w:rPr>
                      <w:rFonts w:hint="eastAsia"/>
                      <w:lang w:val="en-US" w:eastAsia="zh-CN"/>
                    </w:rPr>
                    <w:t>2.1605</w:t>
                  </w:r>
                </w:p>
              </w:tc>
              <w:tc>
                <w:tcPr>
                  <w:tcW w:w="845" w:type="dxa"/>
                  <w:noWrap w:val="0"/>
                  <w:vAlign w:val="center"/>
                </w:tcPr>
                <w:p w14:paraId="27DDA8A6">
                  <w:pPr>
                    <w:pStyle w:val="48"/>
                    <w:bidi w:val="0"/>
                    <w:rPr>
                      <w:rFonts w:hint="default"/>
                      <w:lang w:val="en-US" w:eastAsia="zh-CN"/>
                    </w:rPr>
                  </w:pPr>
                  <w:r>
                    <w:rPr>
                      <w:rFonts w:hint="eastAsia"/>
                      <w:lang w:val="en-US" w:eastAsia="zh-CN"/>
                    </w:rPr>
                    <w:t>129.78</w:t>
                  </w:r>
                </w:p>
              </w:tc>
              <w:tc>
                <w:tcPr>
                  <w:tcW w:w="466" w:type="pct"/>
                  <w:noWrap w:val="0"/>
                  <w:vAlign w:val="center"/>
                </w:tcPr>
                <w:p w14:paraId="0821346E">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1440</w:t>
                  </w:r>
                </w:p>
              </w:tc>
            </w:tr>
          </w:tbl>
          <w:p w14:paraId="204F993E">
            <w:pPr>
              <w:pStyle w:val="52"/>
              <w:bidi w:val="0"/>
              <w:rPr>
                <w:rFonts w:hint="eastAsia"/>
                <w:b/>
                <w:bCs/>
                <w:color w:val="auto"/>
                <w:highlight w:val="none"/>
                <w:lang w:eastAsia="zh-CN"/>
              </w:rPr>
            </w:pPr>
            <w:r>
              <w:rPr>
                <w:rFonts w:hint="eastAsia"/>
                <w:b/>
                <w:bCs/>
                <w:color w:val="auto"/>
                <w:highlight w:val="none"/>
                <w:lang w:eastAsia="zh-CN"/>
              </w:rPr>
              <w:t>2.</w:t>
            </w:r>
            <w:r>
              <w:rPr>
                <w:rFonts w:hint="default"/>
                <w:b/>
                <w:bCs/>
                <w:color w:val="auto"/>
                <w:highlight w:val="none"/>
              </w:rPr>
              <w:t>无组织</w:t>
            </w:r>
            <w:r>
              <w:rPr>
                <w:rFonts w:hint="eastAsia"/>
                <w:b/>
                <w:bCs/>
                <w:color w:val="auto"/>
                <w:highlight w:val="none"/>
                <w:lang w:val="en-US" w:eastAsia="zh-CN"/>
              </w:rPr>
              <w:t>废气</w:t>
            </w:r>
          </w:p>
          <w:p w14:paraId="41A13DD5">
            <w:pPr>
              <w:pStyle w:val="46"/>
              <w:bidi w:val="0"/>
              <w:rPr>
                <w:color w:val="auto"/>
                <w:highlight w:val="none"/>
              </w:rPr>
            </w:pPr>
            <w:bookmarkStart w:id="11" w:name="_Toc877"/>
            <w:bookmarkStart w:id="12" w:name="_Toc29541"/>
            <w:bookmarkStart w:id="13" w:name="_Toc20214"/>
            <w:bookmarkStart w:id="14" w:name="_Toc8101"/>
            <w:bookmarkStart w:id="15" w:name="_Toc10039"/>
            <w:bookmarkStart w:id="16" w:name="_Toc24094"/>
            <w:bookmarkStart w:id="17" w:name="_Toc6267"/>
            <w:r>
              <w:rPr>
                <w:color w:val="auto"/>
                <w:highlight w:val="none"/>
              </w:rPr>
              <w:fldChar w:fldCharType="begin"/>
            </w:r>
            <w:r>
              <w:rPr>
                <w:color w:val="auto"/>
                <w:highlight w:val="none"/>
              </w:rPr>
              <w:instrText xml:space="preserve"> = 1 \* GB3 \* MERGEFORMAT </w:instrText>
            </w:r>
            <w:r>
              <w:rPr>
                <w:color w:val="auto"/>
                <w:highlight w:val="none"/>
              </w:rPr>
              <w:fldChar w:fldCharType="separate"/>
            </w:r>
            <w:r>
              <w:rPr>
                <w:color w:val="auto"/>
                <w:highlight w:val="none"/>
              </w:rPr>
              <w:t>①</w:t>
            </w:r>
            <w:r>
              <w:rPr>
                <w:color w:val="auto"/>
                <w:highlight w:val="none"/>
              </w:rPr>
              <w:fldChar w:fldCharType="end"/>
            </w:r>
            <w:bookmarkEnd w:id="11"/>
            <w:r>
              <w:rPr>
                <w:color w:val="auto"/>
                <w:highlight w:val="none"/>
              </w:rPr>
              <w:t>装卸、输送粉尘</w:t>
            </w:r>
            <w:bookmarkEnd w:id="12"/>
            <w:bookmarkEnd w:id="13"/>
            <w:bookmarkEnd w:id="14"/>
            <w:bookmarkEnd w:id="15"/>
            <w:bookmarkEnd w:id="16"/>
            <w:bookmarkEnd w:id="17"/>
          </w:p>
          <w:p w14:paraId="0BA635A5">
            <w:pPr>
              <w:pStyle w:val="46"/>
              <w:bidi w:val="0"/>
              <w:rPr>
                <w:color w:val="auto"/>
                <w:highlight w:val="none"/>
              </w:rPr>
            </w:pPr>
            <w:r>
              <w:rPr>
                <w:rFonts w:hint="default"/>
                <w:color w:val="auto"/>
                <w:highlight w:val="none"/>
              </w:rPr>
              <w:t>本项目原粮在</w:t>
            </w:r>
            <w:r>
              <w:rPr>
                <w:color w:val="auto"/>
                <w:highlight w:val="none"/>
              </w:rPr>
              <w:t>装卸、输送</w:t>
            </w:r>
            <w:r>
              <w:rPr>
                <w:rFonts w:hint="default"/>
                <w:color w:val="auto"/>
                <w:highlight w:val="none"/>
              </w:rPr>
              <w:t>会产生粉尘，逸散粉尘产量</w:t>
            </w:r>
            <w:r>
              <w:rPr>
                <w:color w:val="auto"/>
                <w:highlight w:val="none"/>
              </w:rPr>
              <w:t>根据《逸散性工业粉尘控制技术》中谷物贮仓，卡车装卸粉尘系数为0.1</w:t>
            </w:r>
            <w:r>
              <w:rPr>
                <w:rFonts w:hint="eastAsia"/>
                <w:color w:val="auto"/>
                <w:highlight w:val="none"/>
              </w:rPr>
              <w:t>6</w:t>
            </w:r>
            <w:r>
              <w:rPr>
                <w:color w:val="auto"/>
                <w:highlight w:val="none"/>
              </w:rPr>
              <w:t>kg/t（卸料）</w:t>
            </w:r>
            <w:r>
              <w:rPr>
                <w:rFonts w:hint="default"/>
                <w:color w:val="auto"/>
                <w:highlight w:val="none"/>
              </w:rPr>
              <w:t>，本项目</w:t>
            </w:r>
            <w:r>
              <w:rPr>
                <w:rFonts w:hint="default"/>
                <w:color w:val="auto"/>
                <w:highlight w:val="none"/>
                <w:lang w:val="en-US" w:eastAsia="zh-CN"/>
              </w:rPr>
              <w:t>原粮</w:t>
            </w:r>
            <w:r>
              <w:rPr>
                <w:color w:val="auto"/>
                <w:highlight w:val="none"/>
              </w:rPr>
              <w:t>装卸</w:t>
            </w:r>
            <w:r>
              <w:rPr>
                <w:rFonts w:hint="eastAsia"/>
                <w:color w:val="auto"/>
                <w:highlight w:val="none"/>
                <w:lang w:val="en-US" w:eastAsia="zh-CN"/>
              </w:rPr>
              <w:t>量为36000</w:t>
            </w:r>
            <w:r>
              <w:rPr>
                <w:rFonts w:hint="default"/>
                <w:color w:val="auto"/>
                <w:highlight w:val="none"/>
                <w:lang w:val="en-US" w:eastAsia="zh-CN"/>
              </w:rPr>
              <w:t>t</w:t>
            </w:r>
            <w:r>
              <w:rPr>
                <w:rFonts w:hint="default"/>
                <w:color w:val="auto"/>
                <w:highlight w:val="none"/>
              </w:rPr>
              <w:t>，粉尘产生量为</w:t>
            </w:r>
            <w:r>
              <w:rPr>
                <w:rFonts w:hint="eastAsia"/>
                <w:color w:val="auto"/>
                <w:highlight w:val="none"/>
                <w:lang w:val="en-US" w:eastAsia="zh-CN"/>
              </w:rPr>
              <w:t>5.76</w:t>
            </w:r>
            <w:r>
              <w:rPr>
                <w:rFonts w:hint="default"/>
                <w:color w:val="auto"/>
                <w:highlight w:val="none"/>
              </w:rPr>
              <w:t>t/a，原粮装卸时间为</w:t>
            </w:r>
            <w:r>
              <w:rPr>
                <w:rFonts w:hint="eastAsia"/>
                <w:color w:val="auto"/>
                <w:highlight w:val="none"/>
                <w:lang w:val="en-US" w:eastAsia="zh-CN"/>
              </w:rPr>
              <w:t>1440</w:t>
            </w:r>
            <w:r>
              <w:rPr>
                <w:rFonts w:hint="default"/>
                <w:color w:val="auto"/>
                <w:highlight w:val="none"/>
              </w:rPr>
              <w:t>h/a，粉尘产生速率为</w:t>
            </w:r>
            <w:r>
              <w:rPr>
                <w:rFonts w:hint="eastAsia"/>
                <w:color w:val="auto"/>
                <w:highlight w:val="none"/>
                <w:lang w:val="en-US" w:eastAsia="zh-CN"/>
              </w:rPr>
              <w:t>4.00</w:t>
            </w:r>
            <w:r>
              <w:rPr>
                <w:rFonts w:hint="default"/>
                <w:color w:val="auto"/>
                <w:highlight w:val="none"/>
              </w:rPr>
              <w:t>kg/h。</w:t>
            </w:r>
            <w:r>
              <w:rPr>
                <w:color w:val="auto"/>
                <w:highlight w:val="none"/>
              </w:rPr>
              <w:t>装卸过程通过设置临时围挡，减小装卸高度等措施进行降尘。</w:t>
            </w:r>
            <w:r>
              <w:rPr>
                <w:rFonts w:hint="eastAsia"/>
                <w:color w:val="auto"/>
                <w:highlight w:val="none"/>
                <w:lang w:val="en-US" w:eastAsia="zh-CN"/>
              </w:rPr>
              <w:t>原粮、干粮的</w:t>
            </w:r>
            <w:r>
              <w:rPr>
                <w:color w:val="auto"/>
                <w:highlight w:val="none"/>
              </w:rPr>
              <w:t>输送过程采用封闭输送带进行输送，减少粉尘的产生。根据《排放源统计调查产排污核算方法和系数手册》“附表2 固体物料堆存颗粒物产排污核算系数手册”中“附录4：粉尘控制措施控制效率，围挡控制效率为60%”，</w:t>
            </w:r>
            <w:r>
              <w:rPr>
                <w:rFonts w:hint="eastAsia"/>
                <w:color w:val="auto"/>
                <w:highlight w:val="none"/>
              </w:rPr>
              <w:t>则</w:t>
            </w:r>
            <w:r>
              <w:rPr>
                <w:color w:val="auto"/>
                <w:highlight w:val="none"/>
              </w:rPr>
              <w:t>装卸、输送</w:t>
            </w:r>
            <w:r>
              <w:rPr>
                <w:rFonts w:hint="eastAsia"/>
                <w:color w:val="auto"/>
                <w:highlight w:val="none"/>
              </w:rPr>
              <w:t>工段废气中颗粒物无组织排放量为</w:t>
            </w:r>
            <w:r>
              <w:rPr>
                <w:rFonts w:hint="eastAsia"/>
                <w:color w:val="auto"/>
                <w:highlight w:val="none"/>
                <w:lang w:val="en-US" w:eastAsia="zh-CN"/>
              </w:rPr>
              <w:t>2.30</w:t>
            </w:r>
            <w:r>
              <w:rPr>
                <w:rFonts w:hint="eastAsia"/>
                <w:color w:val="auto"/>
                <w:highlight w:val="none"/>
              </w:rPr>
              <w:t>t/a</w:t>
            </w:r>
            <w:r>
              <w:rPr>
                <w:color w:val="auto"/>
                <w:highlight w:val="none"/>
              </w:rPr>
              <w:t>、</w:t>
            </w:r>
            <w:r>
              <w:rPr>
                <w:rFonts w:hint="eastAsia"/>
                <w:color w:val="auto"/>
                <w:highlight w:val="none"/>
                <w:lang w:val="en-US" w:eastAsia="zh-CN"/>
              </w:rPr>
              <w:t>1.60</w:t>
            </w:r>
            <w:r>
              <w:rPr>
                <w:color w:val="auto"/>
                <w:highlight w:val="none"/>
              </w:rPr>
              <w:t>kg/h</w:t>
            </w:r>
            <w:r>
              <w:rPr>
                <w:rFonts w:hint="eastAsia"/>
                <w:color w:val="auto"/>
                <w:highlight w:val="none"/>
              </w:rPr>
              <w:t>。</w:t>
            </w:r>
          </w:p>
          <w:p w14:paraId="19CF4A65">
            <w:pPr>
              <w:pStyle w:val="46"/>
              <w:bidi w:val="0"/>
              <w:rPr>
                <w:color w:val="auto"/>
                <w:highlight w:val="none"/>
              </w:rPr>
            </w:pPr>
            <w:r>
              <w:rPr>
                <w:color w:val="auto"/>
                <w:highlight w:val="none"/>
              </w:rPr>
              <w:fldChar w:fldCharType="begin"/>
            </w:r>
            <w:r>
              <w:rPr>
                <w:color w:val="auto"/>
                <w:highlight w:val="none"/>
              </w:rPr>
              <w:instrText xml:space="preserve">= 2 \* GB3</w:instrText>
            </w:r>
            <w:r>
              <w:rPr>
                <w:color w:val="auto"/>
                <w:highlight w:val="none"/>
              </w:rPr>
              <w:fldChar w:fldCharType="separate"/>
            </w:r>
            <w:r>
              <w:rPr>
                <w:color w:val="auto"/>
                <w:highlight w:val="none"/>
              </w:rPr>
              <w:t>②</w:t>
            </w:r>
            <w:r>
              <w:rPr>
                <w:color w:val="auto"/>
                <w:highlight w:val="none"/>
              </w:rPr>
              <w:fldChar w:fldCharType="end"/>
            </w:r>
            <w:r>
              <w:rPr>
                <w:color w:val="auto"/>
                <w:highlight w:val="none"/>
              </w:rPr>
              <w:t>筛分粉尘</w:t>
            </w:r>
          </w:p>
          <w:p w14:paraId="5C2A4EEE">
            <w:pPr>
              <w:widowControl w:val="0"/>
              <w:wordWrap w:val="0"/>
              <w:topLinePunct/>
              <w:bidi w:val="0"/>
              <w:adjustRightInd/>
              <w:snapToGrid/>
              <w:spacing w:after="0" w:line="360" w:lineRule="auto"/>
              <w:ind w:left="0"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本项目原粮筛分过程中会产生</w:t>
            </w:r>
            <w:r>
              <w:rPr>
                <w:rFonts w:hint="default"/>
                <w:color w:val="auto"/>
                <w:highlight w:val="none"/>
              </w:rPr>
              <w:t>粉尘</w:t>
            </w:r>
            <w:r>
              <w:rPr>
                <w:rFonts w:hint="default" w:ascii="Times New Roman" w:hAnsi="Times New Roman" w:cs="Times New Roman"/>
                <w:color w:val="auto"/>
                <w:highlight w:val="none"/>
              </w:rPr>
              <w:t>，根据《逸散性工业粉尘控制技术》中谷物贮仓</w:t>
            </w:r>
            <w:r>
              <w:rPr>
                <w:rFonts w:hint="default" w:ascii="Times New Roman" w:hAnsi="Times New Roman" w:cs="Times New Roman"/>
                <w:color w:val="auto"/>
                <w:highlight w:val="none"/>
                <w:lang w:eastAsia="zh-CN"/>
              </w:rPr>
              <w:t>，筛分和清理系数为</w:t>
            </w:r>
            <w:r>
              <w:rPr>
                <w:rFonts w:hint="default" w:ascii="Times New Roman" w:hAnsi="Times New Roman" w:cs="Times New Roman"/>
                <w:color w:val="auto"/>
                <w:highlight w:val="none"/>
                <w:lang w:val="en-US" w:eastAsia="zh-CN"/>
              </w:rPr>
              <w:t>0.1</w:t>
            </w:r>
            <w:r>
              <w:rPr>
                <w:rFonts w:hint="default" w:ascii="Times New Roman" w:hAnsi="Times New Roman" w:cs="Times New Roman"/>
                <w:color w:val="auto"/>
                <w:highlight w:val="none"/>
                <w:lang w:eastAsia="zh-CN"/>
              </w:rPr>
              <w:t>kg/t（</w:t>
            </w:r>
            <w:r>
              <w:rPr>
                <w:rFonts w:hint="default" w:ascii="Times New Roman" w:hAnsi="Times New Roman" w:cs="Times New Roman"/>
                <w:color w:val="auto"/>
                <w:highlight w:val="none"/>
                <w:lang w:val="en-US" w:eastAsia="zh-CN"/>
              </w:rPr>
              <w:t>过筛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，本项目筛分</w:t>
            </w:r>
            <w:r>
              <w:rPr>
                <w:rFonts w:hint="default" w:ascii="Times New Roman" w:hAnsi="Times New Roman" w:cs="Times New Roman"/>
                <w:color w:val="auto"/>
                <w:highlight w:val="none"/>
                <w:lang w:val="en-US" w:eastAsia="zh-CN"/>
              </w:rPr>
              <w:t>原粮</w:t>
            </w:r>
            <w:r>
              <w:rPr>
                <w:rFonts w:hint="default" w:ascii="Times New Roman" w:hAnsi="Times New Roman" w:cs="Times New Roman"/>
                <w:color w:val="auto"/>
                <w:highlight w:val="none"/>
              </w:rPr>
              <w:t>量</w:t>
            </w:r>
            <w:r>
              <w:rPr>
                <w:rFonts w:hint="default" w:ascii="Times New Roman" w:hAnsi="Times New Roman" w:cs="Times New Roman"/>
                <w:color w:val="auto"/>
                <w:highlight w:val="none"/>
                <w:lang w:val="en-US" w:eastAsia="zh-CN"/>
              </w:rPr>
              <w:t>为</w:t>
            </w:r>
            <w:r>
              <w:rPr>
                <w:rFonts w:hint="eastAsia" w:cs="Times New Roman"/>
                <w:color w:val="auto"/>
                <w:highlight w:val="none"/>
                <w:lang w:val="en-US" w:eastAsia="zh-CN"/>
              </w:rPr>
              <w:t>35994.24</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rPr>
              <w:t>，粉尘产生量为</w:t>
            </w:r>
            <w:r>
              <w:rPr>
                <w:rFonts w:hint="eastAsia" w:cs="Times New Roman"/>
                <w:color w:val="auto"/>
                <w:highlight w:val="none"/>
                <w:lang w:val="en-US" w:eastAsia="zh-CN"/>
              </w:rPr>
              <w:t>3.60</w:t>
            </w:r>
            <w:r>
              <w:rPr>
                <w:rFonts w:hint="default" w:ascii="Times New Roman" w:hAnsi="Times New Roman" w:cs="Times New Roman"/>
                <w:color w:val="auto"/>
                <w:highlight w:val="none"/>
              </w:rPr>
              <w:t>t/a，原粮的筛分时间为</w:t>
            </w:r>
            <w:r>
              <w:rPr>
                <w:rFonts w:hint="eastAsia" w:cs="Times New Roman"/>
                <w:color w:val="auto"/>
                <w:highlight w:val="none"/>
                <w:lang w:val="en-US" w:eastAsia="zh-CN"/>
              </w:rPr>
              <w:t>720</w:t>
            </w:r>
            <w:r>
              <w:rPr>
                <w:rFonts w:hint="default" w:ascii="Times New Roman" w:hAnsi="Times New Roman" w:cs="Times New Roman"/>
                <w:color w:val="auto"/>
                <w:highlight w:val="none"/>
              </w:rPr>
              <w:t>h/a，</w:t>
            </w:r>
            <w:r>
              <w:rPr>
                <w:rFonts w:hint="default" w:ascii="Times New Roman" w:hAnsi="Times New Roman" w:cs="Times New Roman"/>
                <w:color w:val="auto"/>
                <w:highlight w:val="none"/>
                <w:lang w:val="en-US" w:eastAsia="zh-CN"/>
              </w:rPr>
              <w:t>粉尘产生速率为</w:t>
            </w:r>
            <w:r>
              <w:rPr>
                <w:rFonts w:hint="eastAsia" w:cs="Times New Roman"/>
                <w:color w:val="auto"/>
                <w:highlight w:val="none"/>
                <w:lang w:val="en-US" w:eastAsia="zh-CN"/>
              </w:rPr>
              <w:t>5.00</w:t>
            </w:r>
            <w:r>
              <w:rPr>
                <w:rFonts w:hint="default" w:ascii="Times New Roman" w:hAnsi="Times New Roman" w:cs="Times New Roman"/>
                <w:color w:val="auto"/>
                <w:highlight w:val="none"/>
                <w:lang w:val="en-US" w:eastAsia="zh-CN"/>
              </w:rPr>
              <w:t>kg/h，</w:t>
            </w:r>
            <w:r>
              <w:rPr>
                <w:rFonts w:hint="eastAsia" w:cs="Times New Roman"/>
                <w:color w:val="auto"/>
                <w:kern w:val="2"/>
                <w:sz w:val="24"/>
                <w:szCs w:val="24"/>
                <w:highlight w:val="none"/>
                <w:lang w:val="en-US" w:eastAsia="zh-CN" w:bidi="ar-SA"/>
              </w:rPr>
              <w:t>本项目清选工艺采用封闭式清理筛</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highlight w:val="none"/>
                <w:lang w:val="en-US" w:eastAsia="zh-CN"/>
              </w:rPr>
              <w:t>根据《逸散性工业粉尘控制技术（中国环境科学出版社）》</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采取上述措施后颗粒物排放量可减少约90%，颗粒物排放量约为</w:t>
            </w:r>
            <w:r>
              <w:rPr>
                <w:rFonts w:hint="eastAsia" w:cs="Times New Roman"/>
                <w:color w:val="auto"/>
                <w:highlight w:val="none"/>
                <w:lang w:val="en-US" w:eastAsia="zh-CN"/>
              </w:rPr>
              <w:t>0.36</w:t>
            </w:r>
            <w:r>
              <w:rPr>
                <w:rFonts w:hint="default" w:ascii="Times New Roman" w:hAnsi="Times New Roman" w:cs="Times New Roman"/>
                <w:color w:val="auto"/>
                <w:highlight w:val="none"/>
                <w:lang w:val="en-US" w:eastAsia="zh-CN"/>
              </w:rPr>
              <w:t>t/a，</w:t>
            </w:r>
            <w:r>
              <w:rPr>
                <w:rFonts w:hint="eastAsia" w:cs="Times New Roman"/>
                <w:color w:val="auto"/>
                <w:highlight w:val="none"/>
                <w:lang w:val="en-US" w:eastAsia="zh-CN"/>
              </w:rPr>
              <w:t>0.50</w:t>
            </w:r>
            <w:r>
              <w:rPr>
                <w:rFonts w:hint="default" w:ascii="Times New Roman" w:hAnsi="Times New Roman" w:cs="Times New Roman"/>
                <w:color w:val="auto"/>
                <w:highlight w:val="none"/>
                <w:lang w:val="en-US" w:eastAsia="zh-CN"/>
              </w:rPr>
              <w:t>kg/h。</w:t>
            </w:r>
          </w:p>
          <w:p w14:paraId="548E276D">
            <w:pPr>
              <w:pStyle w:val="46"/>
              <w:bidi w:val="0"/>
              <w:rPr>
                <w:color w:val="auto"/>
                <w:highlight w:val="none"/>
              </w:rPr>
            </w:pPr>
            <w:r>
              <w:rPr>
                <w:rFonts w:hint="eastAsia"/>
                <w:color w:val="auto"/>
                <w:highlight w:val="none"/>
                <w:lang w:val="en-US" w:eastAsia="zh-CN"/>
              </w:rPr>
              <w:fldChar w:fldCharType="begin"/>
            </w:r>
            <w:r>
              <w:rPr>
                <w:rFonts w:hint="eastAsia"/>
                <w:color w:val="auto"/>
                <w:highlight w:val="none"/>
                <w:lang w:val="en-US" w:eastAsia="zh-CN"/>
              </w:rPr>
              <w:instrText xml:space="preserve"> = 3 \* GB3 \* MERGEFORMAT </w:instrText>
            </w:r>
            <w:r>
              <w:rPr>
                <w:rFonts w:hint="eastAsia"/>
                <w:color w:val="auto"/>
                <w:highlight w:val="none"/>
                <w:lang w:val="en-US" w:eastAsia="zh-CN"/>
              </w:rPr>
              <w:fldChar w:fldCharType="separate"/>
            </w:r>
            <w:r>
              <w:rPr>
                <w:color w:val="auto"/>
                <w:highlight w:val="none"/>
              </w:rPr>
              <w:t>③</w:t>
            </w:r>
            <w:r>
              <w:rPr>
                <w:rFonts w:hint="eastAsia"/>
                <w:color w:val="auto"/>
                <w:highlight w:val="none"/>
                <w:lang w:val="en-US" w:eastAsia="zh-CN"/>
              </w:rPr>
              <w:fldChar w:fldCharType="end"/>
            </w:r>
            <w:r>
              <w:rPr>
                <w:color w:val="auto"/>
                <w:highlight w:val="none"/>
              </w:rPr>
              <w:t>烘干塔粉尘</w:t>
            </w:r>
          </w:p>
          <w:p w14:paraId="4519220A">
            <w:pPr>
              <w:pStyle w:val="46"/>
              <w:bidi w:val="0"/>
              <w:rPr>
                <w:rFonts w:hint="default"/>
                <w:highlight w:val="none"/>
                <w:lang w:val="en-US" w:eastAsia="zh-CN"/>
              </w:rPr>
            </w:pPr>
            <w:r>
              <w:rPr>
                <w:rFonts w:hint="default"/>
                <w:highlight w:val="none"/>
              </w:rPr>
              <w:t>粮食经烘干塔烘干时产生粉尘，根据《逸散性工业粉尘控制技术（中国环境科学出版社）》，“第五章 谷物贮存”中“柱式谷物干燥”的产尘系数为0.25kg/t（干燥料）</w:t>
            </w:r>
            <w:r>
              <w:rPr>
                <w:rFonts w:hint="eastAsia"/>
                <w:highlight w:val="none"/>
                <w:lang w:eastAsia="zh-CN"/>
              </w:rPr>
              <w:t>。</w:t>
            </w:r>
            <w:r>
              <w:rPr>
                <w:rFonts w:hint="default" w:ascii="Times New Roman" w:hAnsi="Times New Roman" w:cs="Times New Roman"/>
                <w:color w:val="auto"/>
                <w:highlight w:val="none"/>
              </w:rPr>
              <w:t>本项目</w:t>
            </w:r>
            <w:r>
              <w:rPr>
                <w:rFonts w:hint="default"/>
                <w:highlight w:val="none"/>
              </w:rPr>
              <w:t>进入烘干塔</w:t>
            </w:r>
            <w:r>
              <w:rPr>
                <w:rFonts w:hint="default"/>
                <w:highlight w:val="none"/>
                <w:lang w:val="en-US" w:eastAsia="zh-CN"/>
              </w:rPr>
              <w:t>原粮</w:t>
            </w:r>
            <w:r>
              <w:rPr>
                <w:rFonts w:hint="default"/>
                <w:highlight w:val="none"/>
              </w:rPr>
              <w:t>量为</w:t>
            </w:r>
            <w:r>
              <w:rPr>
                <w:rFonts w:hint="eastAsia"/>
                <w:highlight w:val="none"/>
                <w:lang w:val="en-US" w:eastAsia="zh-CN"/>
              </w:rPr>
              <w:t>35954.64</w:t>
            </w:r>
            <w:r>
              <w:rPr>
                <w:rFonts w:hint="default"/>
                <w:highlight w:val="none"/>
              </w:rPr>
              <w:t>t/a，产生粉尘量为</w:t>
            </w:r>
            <w:r>
              <w:rPr>
                <w:rFonts w:hint="eastAsia"/>
                <w:highlight w:val="none"/>
                <w:lang w:val="en-US" w:eastAsia="zh-CN"/>
              </w:rPr>
              <w:t>8.99</w:t>
            </w:r>
            <w:r>
              <w:rPr>
                <w:rFonts w:hint="default"/>
                <w:highlight w:val="none"/>
              </w:rPr>
              <w:t>t/a，</w:t>
            </w:r>
            <w:r>
              <w:rPr>
                <w:rFonts w:hint="eastAsia"/>
                <w:highlight w:val="none"/>
                <w:lang w:val="en-US" w:eastAsia="zh-CN"/>
              </w:rPr>
              <w:t>6.24</w:t>
            </w:r>
            <w:r>
              <w:rPr>
                <w:rFonts w:hint="default"/>
                <w:highlight w:val="none"/>
                <w:lang w:val="en-US" w:eastAsia="zh-CN"/>
              </w:rPr>
              <w:t>kg</w:t>
            </w:r>
            <w:r>
              <w:rPr>
                <w:rFonts w:hint="default"/>
                <w:highlight w:val="none"/>
              </w:rPr>
              <w:t>/h</w:t>
            </w:r>
            <w:r>
              <w:rPr>
                <w:rFonts w:hint="eastAsia"/>
                <w:highlight w:val="none"/>
                <w:lang w:eastAsia="zh-CN"/>
              </w:rPr>
              <w:t>。</w:t>
            </w:r>
            <w:r>
              <w:rPr>
                <w:rFonts w:hint="eastAsia"/>
                <w:highlight w:val="none"/>
                <w:lang w:val="en-US" w:eastAsia="zh-CN"/>
              </w:rPr>
              <w:t>本项目烘干塔体两侧排气孔设置折流挡板，为同类项目常用抑尘措施，拦尘效率可达70%，</w:t>
            </w:r>
            <w:r>
              <w:rPr>
                <w:rFonts w:hint="default"/>
                <w:highlight w:val="none"/>
                <w:lang w:val="en-US" w:eastAsia="zh-CN"/>
              </w:rPr>
              <w:t>则烘干塔干燥过程无组织排放粉尘为</w:t>
            </w:r>
            <w:r>
              <w:rPr>
                <w:rFonts w:hint="eastAsia"/>
                <w:highlight w:val="none"/>
                <w:lang w:val="en-US" w:eastAsia="zh-CN"/>
              </w:rPr>
              <w:t>2.70</w:t>
            </w:r>
            <w:r>
              <w:rPr>
                <w:rFonts w:hint="default"/>
                <w:highlight w:val="none"/>
                <w:lang w:val="en-US" w:eastAsia="zh-CN"/>
              </w:rPr>
              <w:t>t/a，</w:t>
            </w:r>
            <w:r>
              <w:rPr>
                <w:rFonts w:hint="eastAsia"/>
                <w:highlight w:val="none"/>
                <w:lang w:val="en-US" w:eastAsia="zh-CN"/>
              </w:rPr>
              <w:t>1.87</w:t>
            </w:r>
            <w:r>
              <w:rPr>
                <w:rFonts w:hint="default"/>
                <w:highlight w:val="none"/>
                <w:lang w:val="en-US" w:eastAsia="zh-CN"/>
              </w:rPr>
              <w:t>kg/h</w:t>
            </w:r>
            <w:r>
              <w:rPr>
                <w:rFonts w:hint="eastAsia"/>
                <w:highlight w:val="none"/>
                <w:lang w:val="en-US" w:eastAsia="zh-CN"/>
              </w:rPr>
              <w:t>，</w:t>
            </w:r>
            <w:r>
              <w:rPr>
                <w:highlight w:val="none"/>
              </w:rPr>
              <w:t>该粉尘为无组织排放</w:t>
            </w:r>
            <w:r>
              <w:rPr>
                <w:rFonts w:hint="default"/>
                <w:highlight w:val="none"/>
                <w:lang w:val="en-US" w:eastAsia="zh-CN"/>
              </w:rPr>
              <w:t>。</w:t>
            </w:r>
          </w:p>
          <w:p w14:paraId="78DBB91D">
            <w:pPr>
              <w:pStyle w:val="46"/>
              <w:bidi w:val="0"/>
              <w:rPr>
                <w:color w:val="auto"/>
                <w:highlight w:val="none"/>
              </w:rPr>
            </w:pPr>
            <w:r>
              <w:rPr>
                <w:rFonts w:hint="eastAsia"/>
                <w:color w:val="auto"/>
                <w:highlight w:val="none"/>
                <w:lang w:val="en-US" w:eastAsia="zh-CN"/>
              </w:rPr>
              <w:t>④</w:t>
            </w:r>
            <w:r>
              <w:rPr>
                <w:rFonts w:hint="eastAsia"/>
                <w:color w:val="auto"/>
                <w:highlight w:val="none"/>
              </w:rPr>
              <w:t>灰渣转运</w:t>
            </w:r>
            <w:r>
              <w:rPr>
                <w:rFonts w:hint="eastAsia"/>
                <w:color w:val="auto"/>
                <w:highlight w:val="none"/>
                <w:lang w:eastAsia="zh-CN"/>
              </w:rPr>
              <w:t>、</w:t>
            </w:r>
            <w:r>
              <w:rPr>
                <w:rFonts w:hint="eastAsia"/>
                <w:color w:val="auto"/>
                <w:highlight w:val="none"/>
              </w:rPr>
              <w:t>储存废气</w:t>
            </w:r>
          </w:p>
          <w:p w14:paraId="60C03DCD">
            <w:pPr>
              <w:pStyle w:val="46"/>
              <w:bidi w:val="0"/>
              <w:rPr>
                <w:rFonts w:hint="default"/>
                <w:color w:val="auto"/>
                <w:highlight w:val="none"/>
                <w:lang w:val="en-US"/>
              </w:rPr>
            </w:pPr>
            <w:r>
              <w:rPr>
                <w:rFonts w:hint="eastAsia"/>
                <w:color w:val="auto"/>
                <w:highlight w:val="none"/>
              </w:rPr>
              <w:t>本项目灰渣转运</w:t>
            </w:r>
            <w:r>
              <w:rPr>
                <w:rFonts w:hint="eastAsia"/>
                <w:color w:val="auto"/>
                <w:highlight w:val="none"/>
                <w:lang w:eastAsia="zh-CN"/>
              </w:rPr>
              <w:t>、</w:t>
            </w:r>
            <w:r>
              <w:rPr>
                <w:rFonts w:hint="eastAsia"/>
                <w:color w:val="auto"/>
                <w:highlight w:val="none"/>
              </w:rPr>
              <w:t>储存</w:t>
            </w:r>
            <w:r>
              <w:rPr>
                <w:color w:val="auto"/>
                <w:highlight w:val="none"/>
              </w:rPr>
              <w:t>过程中会有粉尘产生，主要污染物为颗粒物。</w:t>
            </w:r>
            <w:r>
              <w:rPr>
                <w:rFonts w:hint="eastAsia"/>
                <w:color w:val="auto"/>
                <w:highlight w:val="none"/>
                <w:lang w:val="en-US" w:eastAsia="zh-CN"/>
              </w:rPr>
              <w:t>灰渣采取袋装收集，收集后贮存在灰渣库内，灰渣库为封闭式，贮存过程中产生废气较少，主要产尘为转运工序。</w:t>
            </w:r>
          </w:p>
          <w:p w14:paraId="27D27A72">
            <w:pPr>
              <w:pStyle w:val="46"/>
              <w:bidi w:val="0"/>
              <w:rPr>
                <w:rFonts w:hint="eastAsia"/>
                <w:color w:val="auto"/>
                <w:highlight w:val="none"/>
              </w:rPr>
            </w:pPr>
            <w:r>
              <w:rPr>
                <w:rFonts w:hint="eastAsia"/>
                <w:color w:val="auto"/>
                <w:highlight w:val="none"/>
              </w:rPr>
              <w:t>参照《逸散性工业粉尘控制技术》电厂转运及运输过程中粉尘产生情况，即0.02kg/t转运量～0.5kg/t转运量，本项目以0.5kg/t估算。本项目灰渣</w:t>
            </w:r>
            <w:r>
              <w:rPr>
                <w:rFonts w:hint="eastAsia"/>
                <w:color w:val="auto"/>
                <w:highlight w:val="none"/>
                <w:lang w:val="en-US" w:eastAsia="zh-CN"/>
              </w:rPr>
              <w:t>收集</w:t>
            </w:r>
            <w:r>
              <w:rPr>
                <w:rFonts w:hint="eastAsia"/>
                <w:color w:val="auto"/>
                <w:highlight w:val="none"/>
              </w:rPr>
              <w:t>量为</w:t>
            </w:r>
            <w:r>
              <w:rPr>
                <w:rFonts w:hint="eastAsia"/>
                <w:color w:val="auto"/>
                <w:highlight w:val="none"/>
                <w:lang w:val="en-US" w:eastAsia="zh-CN"/>
              </w:rPr>
              <w:t>170.03t/a</w:t>
            </w:r>
            <w:r>
              <w:rPr>
                <w:rFonts w:hint="eastAsia"/>
                <w:color w:val="auto"/>
                <w:highlight w:val="none"/>
              </w:rPr>
              <w:t>，</w:t>
            </w:r>
            <w:r>
              <w:rPr>
                <w:rFonts w:hint="eastAsia"/>
                <w:color w:val="auto"/>
                <w:highlight w:val="none"/>
                <w:lang w:val="en-US" w:eastAsia="zh-CN"/>
              </w:rPr>
              <w:t>转运时间为1440h</w:t>
            </w:r>
            <w:r>
              <w:rPr>
                <w:rFonts w:hint="eastAsia"/>
                <w:color w:val="auto"/>
                <w:highlight w:val="none"/>
                <w:lang w:eastAsia="zh-CN"/>
              </w:rPr>
              <w:t>，</w:t>
            </w:r>
            <w:r>
              <w:rPr>
                <w:rFonts w:hint="eastAsia"/>
                <w:color w:val="auto"/>
                <w:highlight w:val="none"/>
                <w:lang w:val="en-US" w:eastAsia="zh-CN"/>
              </w:rPr>
              <w:t>则转运废气产生量为0.0850t/a，0.0590kg/h</w:t>
            </w:r>
            <w:r>
              <w:rPr>
                <w:rFonts w:hint="eastAsia"/>
                <w:color w:val="auto"/>
                <w:highlight w:val="none"/>
                <w:lang w:eastAsia="zh-CN"/>
              </w:rPr>
              <w:t>，</w:t>
            </w:r>
            <w:r>
              <w:rPr>
                <w:rFonts w:hint="eastAsia"/>
                <w:color w:val="auto"/>
                <w:highlight w:val="none"/>
                <w:lang w:val="en-US" w:eastAsia="zh-CN"/>
              </w:rPr>
              <w:t>转运过程中</w:t>
            </w:r>
            <w:r>
              <w:rPr>
                <w:rFonts w:hint="eastAsia"/>
                <w:color w:val="auto"/>
                <w:highlight w:val="none"/>
              </w:rPr>
              <w:t>采用洒水降尘，处理效率90%。则灰渣转运储存废气无组织排放量为</w:t>
            </w:r>
            <w:r>
              <w:rPr>
                <w:rFonts w:hint="eastAsia"/>
                <w:color w:val="auto"/>
                <w:highlight w:val="none"/>
                <w:lang w:val="en-US" w:eastAsia="zh-CN"/>
              </w:rPr>
              <w:t>0.0085</w:t>
            </w:r>
            <w:r>
              <w:rPr>
                <w:rFonts w:hint="eastAsia"/>
                <w:color w:val="auto"/>
                <w:highlight w:val="none"/>
              </w:rPr>
              <w:t>t/a</w:t>
            </w:r>
            <w:r>
              <w:rPr>
                <w:rFonts w:hint="eastAsia"/>
                <w:color w:val="auto"/>
                <w:highlight w:val="none"/>
                <w:lang w:eastAsia="zh-CN"/>
              </w:rPr>
              <w:t>，</w:t>
            </w:r>
            <w:r>
              <w:rPr>
                <w:rFonts w:hint="eastAsia"/>
                <w:color w:val="auto"/>
                <w:highlight w:val="none"/>
                <w:lang w:val="en-US" w:eastAsia="zh-CN"/>
              </w:rPr>
              <w:t>0.0059kg/h</w:t>
            </w:r>
            <w:r>
              <w:rPr>
                <w:rFonts w:hint="eastAsia"/>
                <w:color w:val="auto"/>
                <w:highlight w:val="none"/>
              </w:rPr>
              <w:t>。</w:t>
            </w:r>
          </w:p>
          <w:p w14:paraId="69306697">
            <w:pPr>
              <w:pStyle w:val="46"/>
              <w:bidi w:val="0"/>
              <w:rPr>
                <w:rFonts w:hint="eastAsia"/>
                <w:color w:val="auto"/>
                <w:highlight w:val="none"/>
              </w:rPr>
            </w:pPr>
          </w:p>
          <w:p w14:paraId="62B1606C">
            <w:pPr>
              <w:pStyle w:val="46"/>
              <w:bidi w:val="0"/>
              <w:rPr>
                <w:rFonts w:hint="eastAsia"/>
                <w:color w:val="auto"/>
                <w:highlight w:val="none"/>
              </w:rPr>
            </w:pPr>
          </w:p>
          <w:p w14:paraId="27A54A40">
            <w:pPr>
              <w:pStyle w:val="46"/>
              <w:bidi w:val="0"/>
              <w:rPr>
                <w:rFonts w:hint="eastAsia"/>
                <w:color w:val="auto"/>
                <w:highlight w:val="none"/>
              </w:rPr>
            </w:pPr>
          </w:p>
          <w:p w14:paraId="7123F97B">
            <w:pPr>
              <w:pStyle w:val="46"/>
              <w:bidi w:val="0"/>
              <w:rPr>
                <w:rFonts w:hint="eastAsia"/>
                <w:color w:val="auto"/>
                <w:highlight w:val="none"/>
              </w:rPr>
            </w:pPr>
          </w:p>
          <w:p w14:paraId="0F90DD0B">
            <w:pPr>
              <w:pStyle w:val="46"/>
              <w:bidi w:val="0"/>
              <w:rPr>
                <w:rFonts w:hint="eastAsia"/>
                <w:color w:val="auto"/>
                <w:highlight w:val="none"/>
              </w:rPr>
            </w:pPr>
          </w:p>
          <w:p w14:paraId="41286090">
            <w:pPr>
              <w:pStyle w:val="46"/>
              <w:bidi w:val="0"/>
              <w:rPr>
                <w:rFonts w:hint="eastAsia"/>
                <w:color w:val="auto"/>
                <w:highlight w:val="none"/>
              </w:rPr>
            </w:pPr>
          </w:p>
          <w:p w14:paraId="1484F244">
            <w:pPr>
              <w:pStyle w:val="46"/>
              <w:bidi w:val="0"/>
              <w:rPr>
                <w:rFonts w:hint="eastAsia"/>
                <w:color w:val="auto"/>
                <w:highlight w:val="none"/>
              </w:rPr>
            </w:pPr>
          </w:p>
          <w:p w14:paraId="16A497A2">
            <w:pPr>
              <w:pStyle w:val="46"/>
              <w:bidi w:val="0"/>
              <w:rPr>
                <w:rFonts w:hint="eastAsia"/>
                <w:color w:val="auto"/>
                <w:highlight w:val="none"/>
              </w:rPr>
            </w:pPr>
          </w:p>
          <w:p w14:paraId="095A0689">
            <w:pPr>
              <w:pStyle w:val="46"/>
              <w:bidi w:val="0"/>
              <w:rPr>
                <w:rFonts w:hint="eastAsia"/>
                <w:color w:val="auto"/>
                <w:highlight w:val="none"/>
              </w:rPr>
            </w:pPr>
          </w:p>
          <w:p w14:paraId="7CC9358E">
            <w:pPr>
              <w:pStyle w:val="46"/>
              <w:bidi w:val="0"/>
              <w:rPr>
                <w:rFonts w:hint="eastAsia"/>
                <w:color w:val="auto"/>
                <w:highlight w:val="none"/>
              </w:rPr>
            </w:pPr>
          </w:p>
          <w:p w14:paraId="02298A57">
            <w:pPr>
              <w:pStyle w:val="46"/>
              <w:bidi w:val="0"/>
              <w:rPr>
                <w:rFonts w:hint="eastAsia"/>
                <w:color w:val="auto"/>
                <w:highlight w:val="none"/>
              </w:rPr>
            </w:pPr>
          </w:p>
          <w:p w14:paraId="4DACC372">
            <w:pPr>
              <w:pStyle w:val="46"/>
              <w:bidi w:val="0"/>
              <w:rPr>
                <w:rFonts w:hint="eastAsia"/>
                <w:color w:val="auto"/>
                <w:highlight w:val="none"/>
              </w:rPr>
            </w:pPr>
          </w:p>
          <w:p w14:paraId="7DDB9E74">
            <w:pPr>
              <w:pStyle w:val="46"/>
              <w:bidi w:val="0"/>
              <w:rPr>
                <w:rFonts w:hint="eastAsia"/>
                <w:color w:val="auto"/>
                <w:highlight w:val="none"/>
              </w:rPr>
            </w:pPr>
          </w:p>
          <w:p w14:paraId="36FEBFBE">
            <w:pPr>
              <w:pStyle w:val="46"/>
              <w:bidi w:val="0"/>
              <w:rPr>
                <w:rFonts w:hint="eastAsia"/>
                <w:color w:val="auto"/>
                <w:highlight w:val="none"/>
              </w:rPr>
            </w:pPr>
          </w:p>
          <w:p w14:paraId="17DE33E6">
            <w:pPr>
              <w:pStyle w:val="46"/>
              <w:bidi w:val="0"/>
              <w:rPr>
                <w:rFonts w:hint="eastAsia"/>
                <w:color w:val="auto"/>
                <w:highlight w:val="none"/>
              </w:rPr>
            </w:pPr>
          </w:p>
          <w:p w14:paraId="41D2B8C9">
            <w:pPr>
              <w:pStyle w:val="46"/>
              <w:bidi w:val="0"/>
              <w:rPr>
                <w:rFonts w:hint="eastAsia"/>
                <w:color w:val="auto"/>
                <w:highlight w:val="none"/>
              </w:rPr>
            </w:pPr>
          </w:p>
          <w:p w14:paraId="5F9F68C4">
            <w:pPr>
              <w:pStyle w:val="46"/>
              <w:bidi w:val="0"/>
              <w:rPr>
                <w:rFonts w:hint="eastAsia"/>
                <w:color w:val="auto"/>
                <w:highlight w:val="none"/>
              </w:rPr>
            </w:pPr>
          </w:p>
          <w:p w14:paraId="3F0D7862">
            <w:pPr>
              <w:pStyle w:val="46"/>
              <w:bidi w:val="0"/>
              <w:rPr>
                <w:rFonts w:hint="eastAsia"/>
                <w:color w:val="auto"/>
                <w:highlight w:val="none"/>
              </w:rPr>
            </w:pPr>
          </w:p>
          <w:p w14:paraId="747F7FE3">
            <w:pPr>
              <w:pStyle w:val="46"/>
              <w:bidi w:val="0"/>
              <w:rPr>
                <w:rFonts w:hint="eastAsia"/>
                <w:color w:val="auto"/>
                <w:highlight w:val="none"/>
              </w:rPr>
            </w:pPr>
          </w:p>
          <w:p w14:paraId="60DEAEF3">
            <w:pPr>
              <w:pStyle w:val="46"/>
              <w:bidi w:val="0"/>
              <w:rPr>
                <w:rFonts w:hint="eastAsia"/>
                <w:color w:val="auto"/>
                <w:highlight w:val="none"/>
              </w:rPr>
            </w:pPr>
          </w:p>
          <w:p w14:paraId="33C4F011">
            <w:pPr>
              <w:pStyle w:val="46"/>
              <w:bidi w:val="0"/>
              <w:rPr>
                <w:rFonts w:hint="eastAsia"/>
                <w:color w:val="auto"/>
                <w:highlight w:val="none"/>
              </w:rPr>
            </w:pPr>
          </w:p>
          <w:p w14:paraId="54E47922">
            <w:pPr>
              <w:pStyle w:val="46"/>
              <w:bidi w:val="0"/>
              <w:rPr>
                <w:rFonts w:hint="eastAsia"/>
                <w:color w:val="auto"/>
                <w:highlight w:val="none"/>
              </w:rPr>
            </w:pPr>
          </w:p>
          <w:p w14:paraId="6A50B98B">
            <w:pPr>
              <w:pStyle w:val="46"/>
              <w:bidi w:val="0"/>
              <w:rPr>
                <w:rFonts w:hint="eastAsia"/>
                <w:color w:val="auto"/>
                <w:highlight w:val="none"/>
              </w:rPr>
            </w:pPr>
          </w:p>
          <w:p w14:paraId="53C364E7">
            <w:pPr>
              <w:pStyle w:val="46"/>
              <w:bidi w:val="0"/>
              <w:rPr>
                <w:rFonts w:hint="eastAsia"/>
                <w:color w:val="auto"/>
                <w:highlight w:val="none"/>
              </w:rPr>
            </w:pPr>
          </w:p>
          <w:p w14:paraId="083DEBBC">
            <w:pPr>
              <w:pStyle w:val="46"/>
              <w:bidi w:val="0"/>
              <w:rPr>
                <w:rFonts w:hint="eastAsia"/>
                <w:color w:val="auto"/>
                <w:highlight w:val="none"/>
              </w:rPr>
            </w:pPr>
          </w:p>
          <w:p w14:paraId="3B90117D">
            <w:pPr>
              <w:pStyle w:val="46"/>
              <w:bidi w:val="0"/>
              <w:rPr>
                <w:rFonts w:hint="eastAsia"/>
                <w:color w:val="auto"/>
                <w:highlight w:val="none"/>
              </w:rPr>
            </w:pPr>
          </w:p>
          <w:p w14:paraId="399C708C">
            <w:pPr>
              <w:pStyle w:val="46"/>
              <w:bidi w:val="0"/>
              <w:rPr>
                <w:rFonts w:hint="eastAsia"/>
                <w:color w:val="auto"/>
                <w:highlight w:val="none"/>
              </w:rPr>
            </w:pPr>
          </w:p>
          <w:p w14:paraId="7DDD2062">
            <w:pPr>
              <w:pStyle w:val="46"/>
              <w:bidi w:val="0"/>
              <w:rPr>
                <w:rFonts w:hint="eastAsia"/>
                <w:color w:val="auto"/>
                <w:highlight w:val="none"/>
              </w:rPr>
            </w:pPr>
          </w:p>
          <w:p w14:paraId="53A0615C">
            <w:pPr>
              <w:pStyle w:val="46"/>
              <w:bidi w:val="0"/>
              <w:rPr>
                <w:rFonts w:hint="eastAsia"/>
                <w:color w:val="auto"/>
                <w:highlight w:val="none"/>
              </w:rPr>
            </w:pPr>
          </w:p>
          <w:p w14:paraId="091D7139">
            <w:pPr>
              <w:pStyle w:val="46"/>
              <w:bidi w:val="0"/>
              <w:rPr>
                <w:rFonts w:hint="eastAsia"/>
                <w:color w:val="auto"/>
                <w:highlight w:val="none"/>
              </w:rPr>
            </w:pPr>
          </w:p>
          <w:p w14:paraId="7E2B9429">
            <w:pPr>
              <w:pStyle w:val="46"/>
              <w:bidi w:val="0"/>
              <w:ind w:left="0" w:leftChars="0" w:firstLine="0" w:firstLineChars="0"/>
              <w:rPr>
                <w:rFonts w:hint="default"/>
                <w:color w:val="auto"/>
                <w:highlight w:val="none"/>
              </w:rPr>
            </w:pPr>
          </w:p>
        </w:tc>
      </w:tr>
    </w:tbl>
    <w:p w14:paraId="08D769CD">
      <w:pPr>
        <w:overflowPunct w:val="0"/>
        <w:topLinePunct/>
        <w:spacing w:line="240" w:lineRule="auto"/>
        <w:jc w:val="center"/>
        <w:rPr>
          <w:rFonts w:hint="default" w:ascii="Times New Roman" w:hAnsi="Times New Roman" w:cs="Times New Roman"/>
          <w:bCs/>
          <w:color w:val="auto"/>
          <w:highlight w:val="none"/>
        </w:rPr>
        <w:sectPr>
          <w:pgSz w:w="11907" w:h="16840"/>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2755"/>
      </w:tblGrid>
      <w:tr w14:paraId="3D92F1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6" w:hRule="atLeast"/>
          <w:jc w:val="center"/>
        </w:trPr>
        <w:tc>
          <w:tcPr>
            <w:tcW w:w="232" w:type="pct"/>
            <w:noWrap w:val="0"/>
            <w:tcMar>
              <w:left w:w="28" w:type="dxa"/>
              <w:right w:w="28" w:type="dxa"/>
            </w:tcMar>
            <w:vAlign w:val="center"/>
          </w:tcPr>
          <w:p w14:paraId="382F77DA">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运营</w:t>
            </w:r>
          </w:p>
          <w:p w14:paraId="3571F5D4">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期环</w:t>
            </w:r>
          </w:p>
          <w:p w14:paraId="30E75BB0">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境影</w:t>
            </w:r>
          </w:p>
          <w:p w14:paraId="24748A14">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响和</w:t>
            </w:r>
          </w:p>
          <w:p w14:paraId="0F73A3E3">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保护</w:t>
            </w:r>
          </w:p>
          <w:p w14:paraId="66A899E7">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措施</w:t>
            </w:r>
          </w:p>
        </w:tc>
        <w:tc>
          <w:tcPr>
            <w:tcW w:w="4767" w:type="pct"/>
            <w:noWrap w:val="0"/>
            <w:vAlign w:val="center"/>
          </w:tcPr>
          <w:p w14:paraId="6B32B928">
            <w:pPr>
              <w:pStyle w:val="55"/>
              <w:keepNext w:val="0"/>
              <w:keepLines w:val="0"/>
              <w:pageBreakBefore w:val="0"/>
              <w:widowControl w:val="0"/>
              <w:kinsoku/>
              <w:wordWrap w:val="0"/>
              <w:overflowPunct/>
              <w:topLinePunct/>
              <w:autoSpaceDE/>
              <w:autoSpaceDN/>
              <w:bidi w:val="0"/>
              <w:adjustRightInd/>
              <w:snapToGrid/>
              <w:spacing w:before="157" w:beforeLines="5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eastAsia" w:cs="Times New Roman"/>
                <w:color w:val="auto"/>
                <w:highlight w:val="none"/>
                <w:lang w:val="en-US" w:eastAsia="zh-CN"/>
              </w:rPr>
              <w:t>7</w:t>
            </w:r>
            <w:r>
              <w:rPr>
                <w:rFonts w:hint="default" w:ascii="Times New Roman" w:hAnsi="Times New Roman" w:cs="Times New Roman"/>
                <w:color w:val="auto"/>
                <w:highlight w:val="none"/>
              </w:rPr>
              <w:t xml:space="preserve">   废气污染源源强核算结果及相关参数一览表</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6"/>
              <w:gridCol w:w="664"/>
              <w:gridCol w:w="468"/>
              <w:gridCol w:w="837"/>
              <w:gridCol w:w="691"/>
              <w:gridCol w:w="956"/>
              <w:gridCol w:w="954"/>
              <w:gridCol w:w="956"/>
              <w:gridCol w:w="1140"/>
              <w:gridCol w:w="768"/>
              <w:gridCol w:w="954"/>
              <w:gridCol w:w="954"/>
              <w:gridCol w:w="954"/>
              <w:gridCol w:w="958"/>
              <w:gridCol w:w="717"/>
            </w:tblGrid>
            <w:tr w14:paraId="4FFAE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restart"/>
                  <w:noWrap w:val="0"/>
                  <w:vAlign w:val="center"/>
                </w:tcPr>
                <w:p w14:paraId="41B03422">
                  <w:pPr>
                    <w:pStyle w:val="60"/>
                    <w:bidi w:val="0"/>
                    <w:rPr>
                      <w:color w:val="auto"/>
                      <w:sz w:val="21"/>
                      <w:szCs w:val="21"/>
                      <w:highlight w:val="none"/>
                    </w:rPr>
                  </w:pPr>
                  <w:r>
                    <w:rPr>
                      <w:color w:val="auto"/>
                      <w:sz w:val="21"/>
                      <w:szCs w:val="21"/>
                      <w:highlight w:val="none"/>
                    </w:rPr>
                    <w:t>生产线</w:t>
                  </w:r>
                </w:p>
              </w:tc>
              <w:tc>
                <w:tcPr>
                  <w:tcW w:w="264" w:type="pct"/>
                  <w:vMerge w:val="restart"/>
                  <w:noWrap w:val="0"/>
                  <w:vAlign w:val="center"/>
                </w:tcPr>
                <w:p w14:paraId="7824BEB6">
                  <w:pPr>
                    <w:pStyle w:val="60"/>
                    <w:bidi w:val="0"/>
                    <w:rPr>
                      <w:color w:val="auto"/>
                      <w:sz w:val="21"/>
                      <w:szCs w:val="21"/>
                      <w:highlight w:val="none"/>
                    </w:rPr>
                  </w:pPr>
                  <w:r>
                    <w:rPr>
                      <w:color w:val="auto"/>
                      <w:sz w:val="21"/>
                      <w:szCs w:val="21"/>
                      <w:highlight w:val="none"/>
                    </w:rPr>
                    <w:t>装置</w:t>
                  </w:r>
                </w:p>
              </w:tc>
              <w:tc>
                <w:tcPr>
                  <w:tcW w:w="186" w:type="pct"/>
                  <w:vMerge w:val="restart"/>
                  <w:noWrap w:val="0"/>
                  <w:vAlign w:val="center"/>
                </w:tcPr>
                <w:p w14:paraId="1DF1FAC9">
                  <w:pPr>
                    <w:pStyle w:val="60"/>
                    <w:bidi w:val="0"/>
                    <w:rPr>
                      <w:color w:val="auto"/>
                      <w:sz w:val="21"/>
                      <w:szCs w:val="21"/>
                      <w:highlight w:val="none"/>
                    </w:rPr>
                  </w:pPr>
                  <w:r>
                    <w:rPr>
                      <w:color w:val="auto"/>
                      <w:sz w:val="21"/>
                      <w:szCs w:val="21"/>
                      <w:highlight w:val="none"/>
                    </w:rPr>
                    <w:t>污染源</w:t>
                  </w:r>
                </w:p>
              </w:tc>
              <w:tc>
                <w:tcPr>
                  <w:tcW w:w="333" w:type="pct"/>
                  <w:vMerge w:val="restart"/>
                  <w:noWrap w:val="0"/>
                  <w:vAlign w:val="center"/>
                </w:tcPr>
                <w:p w14:paraId="5DEC2EE8">
                  <w:pPr>
                    <w:pStyle w:val="60"/>
                    <w:bidi w:val="0"/>
                    <w:rPr>
                      <w:color w:val="auto"/>
                      <w:sz w:val="21"/>
                      <w:szCs w:val="21"/>
                      <w:highlight w:val="none"/>
                    </w:rPr>
                  </w:pPr>
                  <w:r>
                    <w:rPr>
                      <w:color w:val="auto"/>
                      <w:sz w:val="21"/>
                      <w:szCs w:val="21"/>
                      <w:highlight w:val="none"/>
                    </w:rPr>
                    <w:t>污染物</w:t>
                  </w:r>
                </w:p>
              </w:tc>
              <w:tc>
                <w:tcPr>
                  <w:tcW w:w="1418" w:type="pct"/>
                  <w:gridSpan w:val="4"/>
                  <w:noWrap w:val="0"/>
                  <w:vAlign w:val="center"/>
                </w:tcPr>
                <w:p w14:paraId="0347A03A">
                  <w:pPr>
                    <w:pStyle w:val="60"/>
                    <w:bidi w:val="0"/>
                    <w:rPr>
                      <w:color w:val="auto"/>
                      <w:sz w:val="21"/>
                      <w:szCs w:val="21"/>
                      <w:highlight w:val="none"/>
                    </w:rPr>
                  </w:pPr>
                  <w:r>
                    <w:rPr>
                      <w:color w:val="auto"/>
                      <w:sz w:val="21"/>
                      <w:szCs w:val="21"/>
                      <w:highlight w:val="none"/>
                    </w:rPr>
                    <w:t>污染物产生</w:t>
                  </w:r>
                </w:p>
              </w:tc>
              <w:tc>
                <w:tcPr>
                  <w:tcW w:w="760" w:type="pct"/>
                  <w:gridSpan w:val="2"/>
                  <w:noWrap w:val="0"/>
                  <w:vAlign w:val="center"/>
                </w:tcPr>
                <w:p w14:paraId="02DD7F1E">
                  <w:pPr>
                    <w:pStyle w:val="60"/>
                    <w:bidi w:val="0"/>
                    <w:rPr>
                      <w:color w:val="auto"/>
                      <w:sz w:val="21"/>
                      <w:szCs w:val="21"/>
                      <w:highlight w:val="none"/>
                    </w:rPr>
                  </w:pPr>
                  <w:r>
                    <w:rPr>
                      <w:color w:val="auto"/>
                      <w:sz w:val="21"/>
                      <w:szCs w:val="21"/>
                      <w:highlight w:val="none"/>
                    </w:rPr>
                    <w:t>治理措施</w:t>
                  </w:r>
                </w:p>
              </w:tc>
              <w:tc>
                <w:tcPr>
                  <w:tcW w:w="1523" w:type="pct"/>
                  <w:gridSpan w:val="4"/>
                  <w:noWrap w:val="0"/>
                  <w:vAlign w:val="center"/>
                </w:tcPr>
                <w:p w14:paraId="165B789F">
                  <w:pPr>
                    <w:pStyle w:val="60"/>
                    <w:bidi w:val="0"/>
                    <w:rPr>
                      <w:color w:val="auto"/>
                      <w:sz w:val="21"/>
                      <w:szCs w:val="21"/>
                      <w:highlight w:val="none"/>
                    </w:rPr>
                  </w:pPr>
                  <w:r>
                    <w:rPr>
                      <w:color w:val="auto"/>
                      <w:sz w:val="21"/>
                      <w:szCs w:val="21"/>
                      <w:highlight w:val="none"/>
                    </w:rPr>
                    <w:t>污染物排放</w:t>
                  </w:r>
                </w:p>
              </w:tc>
              <w:tc>
                <w:tcPr>
                  <w:tcW w:w="285" w:type="pct"/>
                  <w:vMerge w:val="restart"/>
                  <w:noWrap w:val="0"/>
                  <w:vAlign w:val="center"/>
                </w:tcPr>
                <w:p w14:paraId="0720F182">
                  <w:pPr>
                    <w:pStyle w:val="60"/>
                    <w:bidi w:val="0"/>
                    <w:rPr>
                      <w:color w:val="auto"/>
                      <w:sz w:val="21"/>
                      <w:szCs w:val="21"/>
                      <w:highlight w:val="none"/>
                    </w:rPr>
                  </w:pPr>
                  <w:r>
                    <w:rPr>
                      <w:color w:val="auto"/>
                      <w:sz w:val="21"/>
                      <w:szCs w:val="21"/>
                      <w:highlight w:val="none"/>
                    </w:rPr>
                    <w:t>排放时间</w:t>
                  </w:r>
                  <w:r>
                    <w:rPr>
                      <w:rFonts w:hint="eastAsia"/>
                      <w:color w:val="auto"/>
                      <w:sz w:val="21"/>
                      <w:szCs w:val="21"/>
                      <w:highlight w:val="none"/>
                    </w:rPr>
                    <w:t>（h）</w:t>
                  </w:r>
                </w:p>
              </w:tc>
            </w:tr>
            <w:tr w14:paraId="077E3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624F173C">
                  <w:pPr>
                    <w:pStyle w:val="60"/>
                    <w:bidi w:val="0"/>
                    <w:rPr>
                      <w:color w:val="auto"/>
                      <w:sz w:val="21"/>
                      <w:szCs w:val="21"/>
                      <w:highlight w:val="none"/>
                    </w:rPr>
                  </w:pPr>
                </w:p>
              </w:tc>
              <w:tc>
                <w:tcPr>
                  <w:tcW w:w="264" w:type="pct"/>
                  <w:vMerge w:val="continue"/>
                  <w:noWrap w:val="0"/>
                  <w:vAlign w:val="center"/>
                </w:tcPr>
                <w:p w14:paraId="28D8A40A">
                  <w:pPr>
                    <w:pStyle w:val="60"/>
                    <w:bidi w:val="0"/>
                    <w:rPr>
                      <w:color w:val="auto"/>
                      <w:sz w:val="21"/>
                      <w:szCs w:val="21"/>
                      <w:highlight w:val="none"/>
                    </w:rPr>
                  </w:pPr>
                </w:p>
              </w:tc>
              <w:tc>
                <w:tcPr>
                  <w:tcW w:w="186" w:type="pct"/>
                  <w:vMerge w:val="continue"/>
                  <w:noWrap w:val="0"/>
                  <w:vAlign w:val="center"/>
                </w:tcPr>
                <w:p w14:paraId="61FD5BA7">
                  <w:pPr>
                    <w:pStyle w:val="60"/>
                    <w:bidi w:val="0"/>
                    <w:rPr>
                      <w:color w:val="auto"/>
                      <w:sz w:val="21"/>
                      <w:szCs w:val="21"/>
                      <w:highlight w:val="none"/>
                    </w:rPr>
                  </w:pPr>
                </w:p>
              </w:tc>
              <w:tc>
                <w:tcPr>
                  <w:tcW w:w="333" w:type="pct"/>
                  <w:vMerge w:val="continue"/>
                  <w:noWrap w:val="0"/>
                  <w:vAlign w:val="center"/>
                </w:tcPr>
                <w:p w14:paraId="17CDB35D">
                  <w:pPr>
                    <w:pStyle w:val="60"/>
                    <w:bidi w:val="0"/>
                    <w:rPr>
                      <w:color w:val="auto"/>
                      <w:sz w:val="21"/>
                      <w:szCs w:val="21"/>
                      <w:highlight w:val="none"/>
                    </w:rPr>
                  </w:pPr>
                </w:p>
              </w:tc>
              <w:tc>
                <w:tcPr>
                  <w:tcW w:w="275" w:type="pct"/>
                  <w:noWrap w:val="0"/>
                  <w:vAlign w:val="center"/>
                </w:tcPr>
                <w:p w14:paraId="3C25115F">
                  <w:pPr>
                    <w:pStyle w:val="60"/>
                    <w:bidi w:val="0"/>
                    <w:rPr>
                      <w:color w:val="auto"/>
                      <w:sz w:val="21"/>
                      <w:szCs w:val="21"/>
                      <w:highlight w:val="none"/>
                    </w:rPr>
                  </w:pPr>
                  <w:r>
                    <w:rPr>
                      <w:color w:val="auto"/>
                      <w:sz w:val="21"/>
                      <w:szCs w:val="21"/>
                      <w:highlight w:val="none"/>
                    </w:rPr>
                    <w:t>核算方法</w:t>
                  </w:r>
                </w:p>
              </w:tc>
              <w:tc>
                <w:tcPr>
                  <w:tcW w:w="381" w:type="pct"/>
                  <w:noWrap w:val="0"/>
                  <w:vAlign w:val="center"/>
                </w:tcPr>
                <w:p w14:paraId="4841DD84">
                  <w:pPr>
                    <w:pStyle w:val="60"/>
                    <w:bidi w:val="0"/>
                    <w:rPr>
                      <w:color w:val="auto"/>
                      <w:sz w:val="21"/>
                      <w:szCs w:val="21"/>
                      <w:highlight w:val="none"/>
                    </w:rPr>
                  </w:pPr>
                  <w:r>
                    <w:rPr>
                      <w:color w:val="auto"/>
                      <w:sz w:val="21"/>
                      <w:szCs w:val="21"/>
                      <w:highlight w:val="none"/>
                    </w:rPr>
                    <w:t>废气产生量（</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/h）</w:t>
                  </w:r>
                </w:p>
              </w:tc>
              <w:tc>
                <w:tcPr>
                  <w:tcW w:w="380" w:type="pct"/>
                  <w:noWrap w:val="0"/>
                  <w:vAlign w:val="center"/>
                </w:tcPr>
                <w:p w14:paraId="15B53BE4">
                  <w:pPr>
                    <w:pStyle w:val="60"/>
                    <w:bidi w:val="0"/>
                    <w:rPr>
                      <w:color w:val="auto"/>
                      <w:sz w:val="21"/>
                      <w:szCs w:val="21"/>
                      <w:highlight w:val="none"/>
                    </w:rPr>
                  </w:pPr>
                  <w:r>
                    <w:rPr>
                      <w:color w:val="auto"/>
                      <w:sz w:val="21"/>
                      <w:szCs w:val="21"/>
                      <w:highlight w:val="none"/>
                    </w:rPr>
                    <w:t>产生质量浓度（mg/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381" w:type="pct"/>
                  <w:noWrap w:val="0"/>
                  <w:vAlign w:val="center"/>
                </w:tcPr>
                <w:p w14:paraId="79B370B4">
                  <w:pPr>
                    <w:pStyle w:val="60"/>
                    <w:bidi w:val="0"/>
                    <w:rPr>
                      <w:rFonts w:hint="eastAsia" w:eastAsia="宋体"/>
                      <w:color w:val="auto"/>
                      <w:sz w:val="21"/>
                      <w:szCs w:val="21"/>
                      <w:highlight w:val="none"/>
                      <w:lang w:eastAsia="zh-CN"/>
                    </w:rPr>
                  </w:pPr>
                  <w:r>
                    <w:rPr>
                      <w:color w:val="auto"/>
                      <w:sz w:val="21"/>
                      <w:szCs w:val="21"/>
                      <w:highlight w:val="none"/>
                    </w:rPr>
                    <w:t>产生</w:t>
                  </w:r>
                  <w:r>
                    <w:rPr>
                      <w:rFonts w:hint="eastAsia"/>
                      <w:color w:val="auto"/>
                      <w:sz w:val="21"/>
                      <w:szCs w:val="21"/>
                      <w:highlight w:val="none"/>
                      <w:lang w:val="en-US" w:eastAsia="zh-CN"/>
                    </w:rPr>
                    <w:t>速率</w:t>
                  </w:r>
                </w:p>
                <w:p w14:paraId="217616CD">
                  <w:pPr>
                    <w:pStyle w:val="60"/>
                    <w:bidi w:val="0"/>
                    <w:rPr>
                      <w:color w:val="auto"/>
                      <w:sz w:val="21"/>
                      <w:szCs w:val="21"/>
                      <w:highlight w:val="none"/>
                    </w:rPr>
                  </w:pPr>
                  <w:r>
                    <w:rPr>
                      <w:rFonts w:hint="eastAsia"/>
                      <w:color w:val="auto"/>
                      <w:sz w:val="21"/>
                      <w:szCs w:val="21"/>
                      <w:highlight w:val="none"/>
                      <w:lang w:eastAsia="zh-CN"/>
                    </w:rPr>
                    <w:t>(</w:t>
                  </w:r>
                  <w:r>
                    <w:rPr>
                      <w:color w:val="auto"/>
                      <w:sz w:val="21"/>
                      <w:szCs w:val="21"/>
                      <w:highlight w:val="none"/>
                    </w:rPr>
                    <w:t>kg/h</w:t>
                  </w:r>
                  <w:r>
                    <w:rPr>
                      <w:rFonts w:hint="eastAsia"/>
                      <w:color w:val="auto"/>
                      <w:sz w:val="21"/>
                      <w:szCs w:val="21"/>
                      <w:highlight w:val="none"/>
                      <w:lang w:eastAsia="zh-CN"/>
                    </w:rPr>
                    <w:t>)</w:t>
                  </w:r>
                </w:p>
              </w:tc>
              <w:tc>
                <w:tcPr>
                  <w:tcW w:w="454" w:type="pct"/>
                  <w:noWrap w:val="0"/>
                  <w:vAlign w:val="center"/>
                </w:tcPr>
                <w:p w14:paraId="2A112961">
                  <w:pPr>
                    <w:pStyle w:val="60"/>
                    <w:bidi w:val="0"/>
                    <w:rPr>
                      <w:color w:val="auto"/>
                      <w:sz w:val="21"/>
                      <w:szCs w:val="21"/>
                      <w:highlight w:val="none"/>
                    </w:rPr>
                  </w:pPr>
                  <w:r>
                    <w:rPr>
                      <w:color w:val="auto"/>
                      <w:sz w:val="21"/>
                      <w:szCs w:val="21"/>
                      <w:highlight w:val="none"/>
                    </w:rPr>
                    <w:t>工艺</w:t>
                  </w:r>
                </w:p>
              </w:tc>
              <w:tc>
                <w:tcPr>
                  <w:tcW w:w="306" w:type="pct"/>
                  <w:noWrap w:val="0"/>
                  <w:vAlign w:val="center"/>
                </w:tcPr>
                <w:p w14:paraId="3224D4E1">
                  <w:pPr>
                    <w:pStyle w:val="60"/>
                    <w:bidi w:val="0"/>
                    <w:rPr>
                      <w:color w:val="auto"/>
                      <w:sz w:val="21"/>
                      <w:szCs w:val="21"/>
                      <w:highlight w:val="none"/>
                    </w:rPr>
                  </w:pPr>
                  <w:r>
                    <w:rPr>
                      <w:color w:val="auto"/>
                      <w:sz w:val="21"/>
                      <w:szCs w:val="21"/>
                      <w:highlight w:val="none"/>
                    </w:rPr>
                    <w:t>效率（%）</w:t>
                  </w:r>
                </w:p>
              </w:tc>
              <w:tc>
                <w:tcPr>
                  <w:tcW w:w="380" w:type="pct"/>
                  <w:noWrap w:val="0"/>
                  <w:vAlign w:val="center"/>
                </w:tcPr>
                <w:p w14:paraId="7328FEA1">
                  <w:pPr>
                    <w:pStyle w:val="60"/>
                    <w:bidi w:val="0"/>
                    <w:rPr>
                      <w:color w:val="auto"/>
                      <w:sz w:val="21"/>
                      <w:szCs w:val="21"/>
                      <w:highlight w:val="none"/>
                    </w:rPr>
                  </w:pPr>
                  <w:r>
                    <w:rPr>
                      <w:color w:val="auto"/>
                      <w:sz w:val="21"/>
                      <w:szCs w:val="21"/>
                      <w:highlight w:val="none"/>
                    </w:rPr>
                    <w:t>核算方法</w:t>
                  </w:r>
                </w:p>
              </w:tc>
              <w:tc>
                <w:tcPr>
                  <w:tcW w:w="380" w:type="pct"/>
                  <w:noWrap w:val="0"/>
                  <w:vAlign w:val="center"/>
                </w:tcPr>
                <w:p w14:paraId="2752B336">
                  <w:pPr>
                    <w:pStyle w:val="60"/>
                    <w:bidi w:val="0"/>
                    <w:rPr>
                      <w:color w:val="auto"/>
                      <w:sz w:val="21"/>
                      <w:szCs w:val="21"/>
                      <w:highlight w:val="none"/>
                    </w:rPr>
                  </w:pPr>
                  <w:r>
                    <w:rPr>
                      <w:color w:val="auto"/>
                      <w:sz w:val="21"/>
                      <w:szCs w:val="21"/>
                      <w:highlight w:val="none"/>
                    </w:rPr>
                    <w:t>废气排放量（</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/h）</w:t>
                  </w:r>
                </w:p>
              </w:tc>
              <w:tc>
                <w:tcPr>
                  <w:tcW w:w="380" w:type="pct"/>
                  <w:noWrap w:val="0"/>
                  <w:vAlign w:val="center"/>
                </w:tcPr>
                <w:p w14:paraId="49D5247C">
                  <w:pPr>
                    <w:pStyle w:val="60"/>
                    <w:bidi w:val="0"/>
                    <w:rPr>
                      <w:color w:val="auto"/>
                      <w:sz w:val="21"/>
                      <w:szCs w:val="21"/>
                      <w:highlight w:val="none"/>
                    </w:rPr>
                  </w:pPr>
                  <w:r>
                    <w:rPr>
                      <w:color w:val="auto"/>
                      <w:sz w:val="21"/>
                      <w:szCs w:val="21"/>
                      <w:highlight w:val="none"/>
                    </w:rPr>
                    <w:t>排放质量浓度（mg/</w:t>
                  </w:r>
                  <w:r>
                    <w:rPr>
                      <w:rFonts w:hint="eastAsia"/>
                      <w:color w:val="auto"/>
                      <w:sz w:val="21"/>
                      <w:szCs w:val="21"/>
                      <w:highlight w:val="none"/>
                      <w:lang w:eastAsia="zh-CN"/>
                    </w:rPr>
                    <w:t>m</w:t>
                  </w:r>
                  <w:r>
                    <w:rPr>
                      <w:rFonts w:hint="eastAsia"/>
                      <w:color w:val="auto"/>
                      <w:sz w:val="21"/>
                      <w:szCs w:val="21"/>
                      <w:highlight w:val="none"/>
                      <w:vertAlign w:val="superscript"/>
                      <w:lang w:eastAsia="zh-CN"/>
                    </w:rPr>
                    <w:t>3</w:t>
                  </w:r>
                  <w:r>
                    <w:rPr>
                      <w:color w:val="auto"/>
                      <w:sz w:val="21"/>
                      <w:szCs w:val="21"/>
                      <w:highlight w:val="none"/>
                    </w:rPr>
                    <w:t>）</w:t>
                  </w:r>
                </w:p>
              </w:tc>
              <w:tc>
                <w:tcPr>
                  <w:tcW w:w="382" w:type="pct"/>
                  <w:noWrap w:val="0"/>
                  <w:vAlign w:val="center"/>
                </w:tcPr>
                <w:p w14:paraId="1BC20B19">
                  <w:pPr>
                    <w:pStyle w:val="60"/>
                    <w:bidi w:val="0"/>
                    <w:rPr>
                      <w:color w:val="auto"/>
                      <w:sz w:val="21"/>
                      <w:szCs w:val="21"/>
                      <w:highlight w:val="none"/>
                    </w:rPr>
                  </w:pPr>
                  <w:r>
                    <w:rPr>
                      <w:color w:val="auto"/>
                      <w:sz w:val="21"/>
                      <w:szCs w:val="21"/>
                      <w:highlight w:val="none"/>
                    </w:rPr>
                    <w:t>排放</w:t>
                  </w:r>
                  <w:r>
                    <w:rPr>
                      <w:rFonts w:hint="eastAsia"/>
                      <w:color w:val="auto"/>
                      <w:sz w:val="21"/>
                      <w:szCs w:val="21"/>
                      <w:highlight w:val="none"/>
                      <w:lang w:val="en-US" w:eastAsia="zh-CN"/>
                    </w:rPr>
                    <w:t>速率</w:t>
                  </w:r>
                  <w:r>
                    <w:rPr>
                      <w:color w:val="auto"/>
                      <w:sz w:val="21"/>
                      <w:szCs w:val="21"/>
                      <w:highlight w:val="none"/>
                    </w:rPr>
                    <w:t>（kg/h）</w:t>
                  </w:r>
                </w:p>
              </w:tc>
              <w:tc>
                <w:tcPr>
                  <w:tcW w:w="285" w:type="pct"/>
                  <w:vMerge w:val="continue"/>
                  <w:noWrap w:val="0"/>
                  <w:vAlign w:val="center"/>
                </w:tcPr>
                <w:p w14:paraId="5F01D6C9">
                  <w:pPr>
                    <w:pStyle w:val="60"/>
                    <w:bidi w:val="0"/>
                    <w:rPr>
                      <w:color w:val="auto"/>
                      <w:sz w:val="21"/>
                      <w:szCs w:val="21"/>
                      <w:highlight w:val="none"/>
                    </w:rPr>
                  </w:pPr>
                </w:p>
              </w:tc>
            </w:tr>
            <w:tr w14:paraId="4E5D1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restart"/>
                  <w:noWrap w:val="0"/>
                  <w:vAlign w:val="center"/>
                </w:tcPr>
                <w:p w14:paraId="5BAD553D">
                  <w:pPr>
                    <w:pStyle w:val="60"/>
                    <w:bidi w:val="0"/>
                    <w:rPr>
                      <w:rFonts w:hint="eastAsia"/>
                      <w:color w:val="auto"/>
                      <w:sz w:val="21"/>
                      <w:szCs w:val="21"/>
                      <w:highlight w:val="none"/>
                    </w:rPr>
                  </w:pPr>
                  <w:r>
                    <w:rPr>
                      <w:rFonts w:hint="eastAsia"/>
                      <w:color w:val="auto"/>
                      <w:sz w:val="21"/>
                      <w:szCs w:val="21"/>
                      <w:highlight w:val="none"/>
                      <w:lang w:val="en-US" w:eastAsia="zh-CN"/>
                    </w:rPr>
                    <w:t>烘干</w:t>
                  </w:r>
                </w:p>
              </w:tc>
              <w:tc>
                <w:tcPr>
                  <w:tcW w:w="264" w:type="pct"/>
                  <w:vMerge w:val="restart"/>
                  <w:noWrap w:val="0"/>
                  <w:vAlign w:val="center"/>
                </w:tcPr>
                <w:p w14:paraId="091B93C9">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热风炉</w:t>
                  </w:r>
                </w:p>
              </w:tc>
              <w:tc>
                <w:tcPr>
                  <w:tcW w:w="186" w:type="pct"/>
                  <w:vMerge w:val="restart"/>
                  <w:noWrap w:val="0"/>
                  <w:vAlign w:val="center"/>
                </w:tcPr>
                <w:p w14:paraId="3809DD49">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DA001</w:t>
                  </w:r>
                </w:p>
              </w:tc>
              <w:tc>
                <w:tcPr>
                  <w:tcW w:w="333" w:type="pct"/>
                  <w:noWrap w:val="0"/>
                  <w:vAlign w:val="center"/>
                </w:tcPr>
                <w:p w14:paraId="4E9119C1">
                  <w:pPr>
                    <w:pStyle w:val="60"/>
                    <w:bidi w:val="0"/>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275" w:type="pct"/>
                  <w:vMerge w:val="restart"/>
                  <w:noWrap w:val="0"/>
                  <w:vAlign w:val="center"/>
                </w:tcPr>
                <w:p w14:paraId="1786B224">
                  <w:pPr>
                    <w:pStyle w:val="60"/>
                    <w:bidi w:val="0"/>
                    <w:rPr>
                      <w:rFonts w:hint="eastAsia"/>
                      <w:color w:val="auto"/>
                      <w:sz w:val="21"/>
                      <w:szCs w:val="21"/>
                      <w:highlight w:val="none"/>
                    </w:rPr>
                  </w:pPr>
                  <w:r>
                    <w:rPr>
                      <w:rFonts w:hint="default"/>
                      <w:color w:val="auto"/>
                      <w:sz w:val="21"/>
                      <w:szCs w:val="21"/>
                      <w:highlight w:val="none"/>
                    </w:rPr>
                    <w:t>物料衡算法</w:t>
                  </w:r>
                </w:p>
              </w:tc>
              <w:tc>
                <w:tcPr>
                  <w:tcW w:w="956" w:type="dxa"/>
                  <w:vMerge w:val="restart"/>
                  <w:shd w:val="clear" w:color="auto" w:fill="auto"/>
                  <w:noWrap w:val="0"/>
                  <w:vAlign w:val="center"/>
                </w:tcPr>
                <w:p w14:paraId="375605CA">
                  <w:pPr>
                    <w:pStyle w:val="48"/>
                    <w:bidi w:val="0"/>
                    <w:rPr>
                      <w:rFonts w:hint="default"/>
                      <w:lang w:val="en-US" w:eastAsia="zh-CN"/>
                    </w:rPr>
                  </w:pPr>
                  <w:r>
                    <w:rPr>
                      <w:rFonts w:hint="default"/>
                      <w:lang w:val="en-US" w:eastAsia="zh-CN"/>
                    </w:rPr>
                    <w:t>16647.8</w:t>
                  </w:r>
                </w:p>
              </w:tc>
              <w:tc>
                <w:tcPr>
                  <w:tcW w:w="954" w:type="dxa"/>
                  <w:shd w:val="clear" w:color="auto" w:fill="auto"/>
                  <w:noWrap w:val="0"/>
                  <w:vAlign w:val="center"/>
                </w:tcPr>
                <w:p w14:paraId="40A53AEA">
                  <w:pPr>
                    <w:pStyle w:val="48"/>
                    <w:bidi w:val="0"/>
                    <w:rPr>
                      <w:rFonts w:hint="default"/>
                      <w:lang w:val="en-US" w:eastAsia="zh-CN"/>
                    </w:rPr>
                  </w:pPr>
                  <w:r>
                    <w:rPr>
                      <w:rFonts w:hint="default"/>
                      <w:lang w:val="en-US" w:eastAsia="zh-CN"/>
                    </w:rPr>
                    <w:t>244.11</w:t>
                  </w:r>
                </w:p>
              </w:tc>
              <w:tc>
                <w:tcPr>
                  <w:tcW w:w="956" w:type="dxa"/>
                  <w:shd w:val="clear" w:color="auto" w:fill="auto"/>
                  <w:noWrap w:val="0"/>
                  <w:vAlign w:val="center"/>
                </w:tcPr>
                <w:p w14:paraId="192760E3">
                  <w:pPr>
                    <w:pStyle w:val="48"/>
                    <w:bidi w:val="0"/>
                    <w:rPr>
                      <w:rFonts w:hint="default"/>
                      <w:lang w:val="en-US" w:eastAsia="zh-CN"/>
                    </w:rPr>
                  </w:pPr>
                  <w:r>
                    <w:rPr>
                      <w:rFonts w:hint="default"/>
                      <w:lang w:val="en-US" w:eastAsia="zh-CN"/>
                    </w:rPr>
                    <w:t>4.0639</w:t>
                  </w:r>
                </w:p>
              </w:tc>
              <w:tc>
                <w:tcPr>
                  <w:tcW w:w="1140" w:type="dxa"/>
                  <w:noWrap w:val="0"/>
                  <w:vAlign w:val="center"/>
                </w:tcPr>
                <w:p w14:paraId="346927D3">
                  <w:pPr>
                    <w:pStyle w:val="48"/>
                    <w:bidi w:val="0"/>
                    <w:rPr>
                      <w:rFonts w:hint="eastAsia"/>
                    </w:rPr>
                  </w:pPr>
                  <w:r>
                    <w:rPr>
                      <w:rFonts w:hint="eastAsia"/>
                      <w:lang w:val="en-US" w:eastAsia="zh-CN"/>
                    </w:rPr>
                    <w:t>布袋除尘器</w:t>
                  </w:r>
                </w:p>
              </w:tc>
              <w:tc>
                <w:tcPr>
                  <w:tcW w:w="768" w:type="dxa"/>
                  <w:noWrap w:val="0"/>
                  <w:vAlign w:val="center"/>
                </w:tcPr>
                <w:p w14:paraId="70D815A9">
                  <w:pPr>
                    <w:pStyle w:val="48"/>
                    <w:bidi w:val="0"/>
                    <w:rPr>
                      <w:rFonts w:hint="default"/>
                      <w:lang w:val="en-US" w:eastAsia="zh-CN"/>
                    </w:rPr>
                  </w:pPr>
                  <w:r>
                    <w:rPr>
                      <w:rFonts w:hint="default"/>
                      <w:lang w:val="en-US" w:eastAsia="zh-CN"/>
                    </w:rPr>
                    <w:t>99</w:t>
                  </w:r>
                </w:p>
              </w:tc>
              <w:tc>
                <w:tcPr>
                  <w:tcW w:w="954" w:type="dxa"/>
                  <w:vMerge w:val="restart"/>
                  <w:noWrap w:val="0"/>
                  <w:vAlign w:val="center"/>
                </w:tcPr>
                <w:p w14:paraId="6D8AB70E">
                  <w:pPr>
                    <w:pStyle w:val="48"/>
                    <w:bidi w:val="0"/>
                    <w:rPr>
                      <w:rFonts w:hint="eastAsia"/>
                    </w:rPr>
                  </w:pPr>
                  <w:r>
                    <w:rPr>
                      <w:rFonts w:hint="eastAsia"/>
                      <w:lang w:val="en-US" w:eastAsia="zh-CN"/>
                    </w:rPr>
                    <w:t>物料衡算法</w:t>
                  </w:r>
                </w:p>
              </w:tc>
              <w:tc>
                <w:tcPr>
                  <w:tcW w:w="954" w:type="dxa"/>
                  <w:vMerge w:val="restart"/>
                  <w:noWrap w:val="0"/>
                  <w:vAlign w:val="center"/>
                </w:tcPr>
                <w:p w14:paraId="4B0DC0C5">
                  <w:pPr>
                    <w:pStyle w:val="48"/>
                    <w:bidi w:val="0"/>
                    <w:rPr>
                      <w:rFonts w:hint="default"/>
                      <w:lang w:val="en-US" w:eastAsia="zh-CN"/>
                    </w:rPr>
                  </w:pPr>
                  <w:r>
                    <w:rPr>
                      <w:rFonts w:hint="default"/>
                      <w:lang w:val="en-US" w:eastAsia="zh-CN"/>
                    </w:rPr>
                    <w:t>16647.8</w:t>
                  </w:r>
                </w:p>
              </w:tc>
              <w:tc>
                <w:tcPr>
                  <w:tcW w:w="954" w:type="dxa"/>
                  <w:shd w:val="clear" w:color="auto" w:fill="auto"/>
                  <w:noWrap w:val="0"/>
                  <w:vAlign w:val="center"/>
                </w:tcPr>
                <w:p w14:paraId="745BF871">
                  <w:pPr>
                    <w:pStyle w:val="48"/>
                    <w:bidi w:val="0"/>
                    <w:rPr>
                      <w:rFonts w:hint="default"/>
                      <w:lang w:val="en-US" w:eastAsia="zh-CN"/>
                    </w:rPr>
                  </w:pPr>
                  <w:r>
                    <w:rPr>
                      <w:rFonts w:hint="default"/>
                      <w:lang w:val="en-US" w:eastAsia="zh-CN"/>
                    </w:rPr>
                    <w:t>2.44</w:t>
                  </w:r>
                </w:p>
              </w:tc>
              <w:tc>
                <w:tcPr>
                  <w:tcW w:w="958" w:type="dxa"/>
                  <w:shd w:val="clear" w:color="auto" w:fill="auto"/>
                  <w:noWrap w:val="0"/>
                  <w:vAlign w:val="center"/>
                </w:tcPr>
                <w:p w14:paraId="403CA469">
                  <w:pPr>
                    <w:pStyle w:val="48"/>
                    <w:bidi w:val="0"/>
                    <w:rPr>
                      <w:rFonts w:hint="default"/>
                      <w:lang w:val="en-US" w:eastAsia="zh-CN"/>
                    </w:rPr>
                  </w:pPr>
                  <w:r>
                    <w:rPr>
                      <w:rFonts w:hint="default"/>
                      <w:lang w:val="en-US" w:eastAsia="zh-CN"/>
                    </w:rPr>
                    <w:t>0.0406</w:t>
                  </w:r>
                </w:p>
              </w:tc>
              <w:tc>
                <w:tcPr>
                  <w:tcW w:w="717" w:type="dxa"/>
                  <w:vMerge w:val="restart"/>
                  <w:noWrap w:val="0"/>
                  <w:vAlign w:val="center"/>
                </w:tcPr>
                <w:p w14:paraId="7168242D">
                  <w:pPr>
                    <w:pStyle w:val="48"/>
                    <w:bidi w:val="0"/>
                    <w:rPr>
                      <w:rFonts w:hint="default"/>
                      <w:lang w:val="en-US" w:eastAsia="zh-CN"/>
                    </w:rPr>
                  </w:pPr>
                  <w:r>
                    <w:rPr>
                      <w:rFonts w:hint="default"/>
                      <w:lang w:val="en-US" w:eastAsia="zh-CN"/>
                    </w:rPr>
                    <w:t>1440</w:t>
                  </w:r>
                </w:p>
              </w:tc>
            </w:tr>
            <w:tr w14:paraId="7A526B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60F8C9A9">
                  <w:pPr>
                    <w:pStyle w:val="60"/>
                    <w:bidi w:val="0"/>
                    <w:rPr>
                      <w:rFonts w:hint="eastAsia"/>
                      <w:color w:val="auto"/>
                      <w:sz w:val="21"/>
                      <w:szCs w:val="21"/>
                      <w:highlight w:val="none"/>
                      <w:lang w:val="en-US" w:eastAsia="zh-CN"/>
                    </w:rPr>
                  </w:pPr>
                </w:p>
              </w:tc>
              <w:tc>
                <w:tcPr>
                  <w:tcW w:w="264" w:type="pct"/>
                  <w:vMerge w:val="continue"/>
                  <w:noWrap w:val="0"/>
                  <w:vAlign w:val="center"/>
                </w:tcPr>
                <w:p w14:paraId="6983E654">
                  <w:pPr>
                    <w:pStyle w:val="60"/>
                    <w:bidi w:val="0"/>
                    <w:rPr>
                      <w:rFonts w:hint="eastAsia"/>
                      <w:color w:val="auto"/>
                      <w:sz w:val="21"/>
                      <w:szCs w:val="21"/>
                      <w:highlight w:val="none"/>
                      <w:lang w:val="en-US" w:eastAsia="zh-CN"/>
                    </w:rPr>
                  </w:pPr>
                </w:p>
              </w:tc>
              <w:tc>
                <w:tcPr>
                  <w:tcW w:w="186" w:type="pct"/>
                  <w:vMerge w:val="continue"/>
                  <w:noWrap w:val="0"/>
                  <w:vAlign w:val="center"/>
                </w:tcPr>
                <w:p w14:paraId="68534AC8">
                  <w:pPr>
                    <w:pStyle w:val="60"/>
                    <w:bidi w:val="0"/>
                    <w:rPr>
                      <w:color w:val="auto"/>
                      <w:sz w:val="21"/>
                      <w:szCs w:val="21"/>
                      <w:highlight w:val="none"/>
                    </w:rPr>
                  </w:pPr>
                </w:p>
              </w:tc>
              <w:tc>
                <w:tcPr>
                  <w:tcW w:w="333" w:type="pct"/>
                  <w:noWrap w:val="0"/>
                  <w:vAlign w:val="center"/>
                </w:tcPr>
                <w:p w14:paraId="21654149">
                  <w:pPr>
                    <w:pStyle w:val="60"/>
                    <w:bidi w:val="0"/>
                    <w:rPr>
                      <w:color w:val="auto"/>
                      <w:sz w:val="21"/>
                      <w:szCs w:val="21"/>
                      <w:highlight w:val="none"/>
                    </w:rPr>
                  </w:pPr>
                  <w:r>
                    <w:rPr>
                      <w:rFonts w:hint="eastAsia"/>
                      <w:color w:val="auto"/>
                      <w:sz w:val="21"/>
                      <w:szCs w:val="21"/>
                      <w:highlight w:val="none"/>
                      <w:lang w:val="en-US" w:eastAsia="zh-CN"/>
                    </w:rPr>
                    <w:t>二氧化硫</w:t>
                  </w:r>
                </w:p>
              </w:tc>
              <w:tc>
                <w:tcPr>
                  <w:tcW w:w="275" w:type="pct"/>
                  <w:vMerge w:val="continue"/>
                  <w:noWrap w:val="0"/>
                  <w:vAlign w:val="center"/>
                </w:tcPr>
                <w:p w14:paraId="21317A8F">
                  <w:pPr>
                    <w:pStyle w:val="60"/>
                    <w:bidi w:val="0"/>
                    <w:rPr>
                      <w:rFonts w:hint="eastAsia"/>
                      <w:color w:val="auto"/>
                      <w:sz w:val="21"/>
                      <w:szCs w:val="21"/>
                      <w:highlight w:val="none"/>
                    </w:rPr>
                  </w:pPr>
                </w:p>
              </w:tc>
              <w:tc>
                <w:tcPr>
                  <w:tcW w:w="956" w:type="dxa"/>
                  <w:vMerge w:val="continue"/>
                  <w:noWrap w:val="0"/>
                  <w:vAlign w:val="center"/>
                </w:tcPr>
                <w:p w14:paraId="5183B2B4">
                  <w:pPr>
                    <w:pStyle w:val="48"/>
                    <w:bidi w:val="0"/>
                    <w:rPr>
                      <w:rFonts w:hint="eastAsia"/>
                    </w:rPr>
                  </w:pPr>
                </w:p>
              </w:tc>
              <w:tc>
                <w:tcPr>
                  <w:tcW w:w="954" w:type="dxa"/>
                  <w:noWrap w:val="0"/>
                  <w:vAlign w:val="center"/>
                </w:tcPr>
                <w:p w14:paraId="28F02111">
                  <w:pPr>
                    <w:pStyle w:val="48"/>
                    <w:bidi w:val="0"/>
                    <w:rPr>
                      <w:rFonts w:hint="default"/>
                      <w:lang w:val="en-US" w:eastAsia="zh-CN"/>
                    </w:rPr>
                  </w:pPr>
                  <w:r>
                    <w:rPr>
                      <w:rFonts w:hint="default"/>
                      <w:lang w:val="en-US" w:eastAsia="zh-CN"/>
                    </w:rPr>
                    <w:t>45.80</w:t>
                  </w:r>
                </w:p>
              </w:tc>
              <w:tc>
                <w:tcPr>
                  <w:tcW w:w="956" w:type="dxa"/>
                  <w:noWrap w:val="0"/>
                  <w:vAlign w:val="center"/>
                </w:tcPr>
                <w:p w14:paraId="2AD5AC78">
                  <w:pPr>
                    <w:pStyle w:val="48"/>
                    <w:bidi w:val="0"/>
                    <w:rPr>
                      <w:rFonts w:hint="default"/>
                      <w:lang w:val="en-US" w:eastAsia="zh-CN"/>
                    </w:rPr>
                  </w:pPr>
                  <w:r>
                    <w:rPr>
                      <w:rFonts w:hint="default"/>
                      <w:lang w:val="en-US" w:eastAsia="zh-CN"/>
                    </w:rPr>
                    <w:t>0.7625</w:t>
                  </w:r>
                </w:p>
              </w:tc>
              <w:tc>
                <w:tcPr>
                  <w:tcW w:w="1140" w:type="dxa"/>
                  <w:noWrap w:val="0"/>
                  <w:vAlign w:val="center"/>
                </w:tcPr>
                <w:p w14:paraId="78303DF1">
                  <w:pPr>
                    <w:pStyle w:val="48"/>
                    <w:bidi w:val="0"/>
                    <w:rPr>
                      <w:rFonts w:hint="eastAsia"/>
                    </w:rPr>
                  </w:pPr>
                  <w:r>
                    <w:rPr>
                      <w:rFonts w:hint="default"/>
                      <w:lang w:val="en-US" w:eastAsia="zh-CN"/>
                    </w:rPr>
                    <w:t>/</w:t>
                  </w:r>
                </w:p>
              </w:tc>
              <w:tc>
                <w:tcPr>
                  <w:tcW w:w="768" w:type="dxa"/>
                  <w:noWrap w:val="0"/>
                  <w:vAlign w:val="center"/>
                </w:tcPr>
                <w:p w14:paraId="3B158551">
                  <w:pPr>
                    <w:pStyle w:val="48"/>
                    <w:bidi w:val="0"/>
                    <w:rPr>
                      <w:rFonts w:hint="default"/>
                      <w:lang w:val="en-US" w:eastAsia="zh-CN"/>
                    </w:rPr>
                  </w:pPr>
                  <w:r>
                    <w:rPr>
                      <w:rFonts w:hint="default"/>
                      <w:lang w:val="en-US" w:eastAsia="zh-CN"/>
                    </w:rPr>
                    <w:t>/</w:t>
                  </w:r>
                </w:p>
              </w:tc>
              <w:tc>
                <w:tcPr>
                  <w:tcW w:w="954" w:type="dxa"/>
                  <w:vMerge w:val="continue"/>
                  <w:noWrap w:val="0"/>
                  <w:vAlign w:val="center"/>
                </w:tcPr>
                <w:p w14:paraId="00AB0BFB">
                  <w:pPr>
                    <w:pStyle w:val="48"/>
                    <w:bidi w:val="0"/>
                    <w:rPr>
                      <w:rFonts w:hint="eastAsia"/>
                    </w:rPr>
                  </w:pPr>
                </w:p>
              </w:tc>
              <w:tc>
                <w:tcPr>
                  <w:tcW w:w="954" w:type="dxa"/>
                  <w:vMerge w:val="continue"/>
                  <w:noWrap w:val="0"/>
                  <w:vAlign w:val="center"/>
                </w:tcPr>
                <w:p w14:paraId="036DA78F">
                  <w:pPr>
                    <w:pStyle w:val="48"/>
                    <w:bidi w:val="0"/>
                    <w:rPr>
                      <w:rFonts w:hint="eastAsia"/>
                    </w:rPr>
                  </w:pPr>
                </w:p>
              </w:tc>
              <w:tc>
                <w:tcPr>
                  <w:tcW w:w="954" w:type="dxa"/>
                  <w:noWrap w:val="0"/>
                  <w:vAlign w:val="center"/>
                </w:tcPr>
                <w:p w14:paraId="04A032F8">
                  <w:pPr>
                    <w:pStyle w:val="48"/>
                    <w:bidi w:val="0"/>
                    <w:rPr>
                      <w:rFonts w:hint="default"/>
                      <w:lang w:val="en-US"/>
                    </w:rPr>
                  </w:pPr>
                  <w:r>
                    <w:rPr>
                      <w:rFonts w:hint="default"/>
                      <w:lang w:val="en-US" w:eastAsia="zh-CN"/>
                    </w:rPr>
                    <w:t>45.80</w:t>
                  </w:r>
                </w:p>
              </w:tc>
              <w:tc>
                <w:tcPr>
                  <w:tcW w:w="958" w:type="dxa"/>
                  <w:noWrap w:val="0"/>
                  <w:vAlign w:val="center"/>
                </w:tcPr>
                <w:p w14:paraId="33B4D02A">
                  <w:pPr>
                    <w:pStyle w:val="48"/>
                    <w:bidi w:val="0"/>
                    <w:rPr>
                      <w:rFonts w:hint="default"/>
                      <w:lang w:val="en-US"/>
                    </w:rPr>
                  </w:pPr>
                  <w:r>
                    <w:rPr>
                      <w:rFonts w:hint="default"/>
                      <w:lang w:val="en-US" w:eastAsia="zh-CN"/>
                    </w:rPr>
                    <w:t>0.7625</w:t>
                  </w:r>
                </w:p>
              </w:tc>
              <w:tc>
                <w:tcPr>
                  <w:tcW w:w="717" w:type="dxa"/>
                  <w:vMerge w:val="continue"/>
                  <w:noWrap w:val="0"/>
                  <w:vAlign w:val="center"/>
                </w:tcPr>
                <w:p w14:paraId="581D0317">
                  <w:pPr>
                    <w:pStyle w:val="48"/>
                    <w:bidi w:val="0"/>
                    <w:rPr>
                      <w:rFonts w:hint="eastAsia"/>
                      <w:lang w:eastAsia="zh-CN"/>
                    </w:rPr>
                  </w:pPr>
                </w:p>
              </w:tc>
            </w:tr>
            <w:tr w14:paraId="26C1F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3A4B5A04">
                  <w:pPr>
                    <w:pStyle w:val="60"/>
                    <w:bidi w:val="0"/>
                    <w:rPr>
                      <w:rFonts w:hint="eastAsia"/>
                      <w:color w:val="auto"/>
                      <w:sz w:val="21"/>
                      <w:szCs w:val="21"/>
                      <w:highlight w:val="none"/>
                      <w:lang w:val="en-US" w:eastAsia="zh-CN"/>
                    </w:rPr>
                  </w:pPr>
                </w:p>
              </w:tc>
              <w:tc>
                <w:tcPr>
                  <w:tcW w:w="264" w:type="pct"/>
                  <w:vMerge w:val="continue"/>
                  <w:noWrap w:val="0"/>
                  <w:vAlign w:val="center"/>
                </w:tcPr>
                <w:p w14:paraId="0E3EC981">
                  <w:pPr>
                    <w:pStyle w:val="60"/>
                    <w:bidi w:val="0"/>
                    <w:rPr>
                      <w:rFonts w:hint="eastAsia"/>
                      <w:color w:val="auto"/>
                      <w:sz w:val="21"/>
                      <w:szCs w:val="21"/>
                      <w:highlight w:val="none"/>
                      <w:lang w:val="en-US" w:eastAsia="zh-CN"/>
                    </w:rPr>
                  </w:pPr>
                </w:p>
              </w:tc>
              <w:tc>
                <w:tcPr>
                  <w:tcW w:w="186" w:type="pct"/>
                  <w:vMerge w:val="continue"/>
                  <w:noWrap w:val="0"/>
                  <w:vAlign w:val="center"/>
                </w:tcPr>
                <w:p w14:paraId="58857DAA">
                  <w:pPr>
                    <w:pStyle w:val="60"/>
                    <w:bidi w:val="0"/>
                    <w:rPr>
                      <w:color w:val="auto"/>
                      <w:sz w:val="21"/>
                      <w:szCs w:val="21"/>
                      <w:highlight w:val="none"/>
                    </w:rPr>
                  </w:pPr>
                </w:p>
              </w:tc>
              <w:tc>
                <w:tcPr>
                  <w:tcW w:w="333" w:type="pct"/>
                  <w:noWrap w:val="0"/>
                  <w:vAlign w:val="center"/>
                </w:tcPr>
                <w:p w14:paraId="34825DB6">
                  <w:pPr>
                    <w:pStyle w:val="60"/>
                    <w:bidi w:val="0"/>
                    <w:rPr>
                      <w:color w:val="auto"/>
                      <w:sz w:val="21"/>
                      <w:szCs w:val="21"/>
                      <w:highlight w:val="none"/>
                    </w:rPr>
                  </w:pPr>
                  <w:r>
                    <w:rPr>
                      <w:color w:val="auto"/>
                      <w:sz w:val="21"/>
                      <w:szCs w:val="21"/>
                      <w:highlight w:val="none"/>
                    </w:rPr>
                    <w:t>氮氧化物</w:t>
                  </w:r>
                </w:p>
              </w:tc>
              <w:tc>
                <w:tcPr>
                  <w:tcW w:w="275" w:type="pct"/>
                  <w:noWrap w:val="0"/>
                  <w:vAlign w:val="center"/>
                </w:tcPr>
                <w:p w14:paraId="4DE8E6FF">
                  <w:pPr>
                    <w:pStyle w:val="60"/>
                    <w:bidi w:val="0"/>
                    <w:rPr>
                      <w:rFonts w:hint="eastAsia"/>
                      <w:color w:val="auto"/>
                      <w:sz w:val="21"/>
                      <w:szCs w:val="21"/>
                      <w:highlight w:val="none"/>
                    </w:rPr>
                  </w:pPr>
                  <w:r>
                    <w:rPr>
                      <w:rFonts w:hint="eastAsia"/>
                      <w:color w:val="auto"/>
                      <w:sz w:val="21"/>
                      <w:szCs w:val="21"/>
                      <w:highlight w:val="none"/>
                    </w:rPr>
                    <w:t>系数法</w:t>
                  </w:r>
                </w:p>
              </w:tc>
              <w:tc>
                <w:tcPr>
                  <w:tcW w:w="956" w:type="dxa"/>
                  <w:vMerge w:val="continue"/>
                  <w:noWrap w:val="0"/>
                  <w:vAlign w:val="center"/>
                </w:tcPr>
                <w:p w14:paraId="1EB795EB">
                  <w:pPr>
                    <w:pStyle w:val="48"/>
                    <w:bidi w:val="0"/>
                    <w:rPr>
                      <w:rFonts w:hint="eastAsia"/>
                    </w:rPr>
                  </w:pPr>
                </w:p>
              </w:tc>
              <w:tc>
                <w:tcPr>
                  <w:tcW w:w="954" w:type="dxa"/>
                  <w:noWrap w:val="0"/>
                  <w:vAlign w:val="center"/>
                </w:tcPr>
                <w:p w14:paraId="3B765A15">
                  <w:pPr>
                    <w:pStyle w:val="48"/>
                    <w:bidi w:val="0"/>
                    <w:rPr>
                      <w:rFonts w:hint="default"/>
                      <w:lang w:val="en-US" w:eastAsia="zh-CN"/>
                    </w:rPr>
                  </w:pPr>
                  <w:r>
                    <w:rPr>
                      <w:rFonts w:hint="default"/>
                      <w:lang w:val="en-US" w:eastAsia="zh-CN"/>
                    </w:rPr>
                    <w:t>129.78</w:t>
                  </w:r>
                </w:p>
              </w:tc>
              <w:tc>
                <w:tcPr>
                  <w:tcW w:w="956" w:type="dxa"/>
                  <w:noWrap w:val="0"/>
                  <w:vAlign w:val="center"/>
                </w:tcPr>
                <w:p w14:paraId="5962CA13">
                  <w:pPr>
                    <w:pStyle w:val="48"/>
                    <w:bidi w:val="0"/>
                    <w:rPr>
                      <w:rFonts w:hint="default"/>
                      <w:lang w:val="en-US" w:eastAsia="zh-CN"/>
                    </w:rPr>
                  </w:pPr>
                  <w:r>
                    <w:rPr>
                      <w:rFonts w:hint="default"/>
                      <w:lang w:val="en-US" w:eastAsia="zh-CN"/>
                    </w:rPr>
                    <w:t>2.1605</w:t>
                  </w:r>
                </w:p>
              </w:tc>
              <w:tc>
                <w:tcPr>
                  <w:tcW w:w="1140" w:type="dxa"/>
                  <w:noWrap w:val="0"/>
                  <w:vAlign w:val="center"/>
                </w:tcPr>
                <w:p w14:paraId="56542E2E">
                  <w:pPr>
                    <w:pStyle w:val="48"/>
                    <w:bidi w:val="0"/>
                    <w:rPr>
                      <w:rFonts w:hint="eastAsia"/>
                    </w:rPr>
                  </w:pPr>
                  <w:r>
                    <w:rPr>
                      <w:rFonts w:hint="default"/>
                      <w:lang w:val="en-US" w:eastAsia="zh-CN"/>
                    </w:rPr>
                    <w:t>/</w:t>
                  </w:r>
                </w:p>
              </w:tc>
              <w:tc>
                <w:tcPr>
                  <w:tcW w:w="768" w:type="dxa"/>
                  <w:noWrap w:val="0"/>
                  <w:vAlign w:val="center"/>
                </w:tcPr>
                <w:p w14:paraId="6CC04474">
                  <w:pPr>
                    <w:pStyle w:val="48"/>
                    <w:bidi w:val="0"/>
                    <w:rPr>
                      <w:rFonts w:hint="eastAsia"/>
                      <w:lang w:val="en-US" w:eastAsia="zh-CN"/>
                    </w:rPr>
                  </w:pPr>
                  <w:r>
                    <w:rPr>
                      <w:rFonts w:hint="default"/>
                      <w:lang w:val="en-US" w:eastAsia="zh-CN"/>
                    </w:rPr>
                    <w:t>/</w:t>
                  </w:r>
                </w:p>
              </w:tc>
              <w:tc>
                <w:tcPr>
                  <w:tcW w:w="954" w:type="dxa"/>
                  <w:noWrap w:val="0"/>
                  <w:vAlign w:val="center"/>
                </w:tcPr>
                <w:p w14:paraId="4665F9FF">
                  <w:pPr>
                    <w:pStyle w:val="48"/>
                    <w:bidi w:val="0"/>
                    <w:rPr>
                      <w:rFonts w:hint="eastAsia"/>
                    </w:rPr>
                  </w:pPr>
                  <w:r>
                    <w:rPr>
                      <w:rFonts w:hint="eastAsia"/>
                      <w:lang w:val="en-US" w:eastAsia="zh-CN"/>
                    </w:rPr>
                    <w:t>系数法</w:t>
                  </w:r>
                </w:p>
              </w:tc>
              <w:tc>
                <w:tcPr>
                  <w:tcW w:w="954" w:type="dxa"/>
                  <w:vMerge w:val="continue"/>
                  <w:noWrap w:val="0"/>
                  <w:vAlign w:val="center"/>
                </w:tcPr>
                <w:p w14:paraId="3D3F8E36">
                  <w:pPr>
                    <w:pStyle w:val="48"/>
                    <w:bidi w:val="0"/>
                    <w:rPr>
                      <w:rFonts w:hint="eastAsia"/>
                    </w:rPr>
                  </w:pPr>
                </w:p>
              </w:tc>
              <w:tc>
                <w:tcPr>
                  <w:tcW w:w="954" w:type="dxa"/>
                  <w:noWrap w:val="0"/>
                  <w:vAlign w:val="center"/>
                </w:tcPr>
                <w:p w14:paraId="3F331F88">
                  <w:pPr>
                    <w:pStyle w:val="48"/>
                    <w:bidi w:val="0"/>
                    <w:rPr>
                      <w:rFonts w:hint="eastAsia"/>
                    </w:rPr>
                  </w:pPr>
                  <w:r>
                    <w:rPr>
                      <w:rFonts w:hint="default"/>
                      <w:lang w:val="en-US" w:eastAsia="zh-CN"/>
                    </w:rPr>
                    <w:t>129.78</w:t>
                  </w:r>
                </w:p>
              </w:tc>
              <w:tc>
                <w:tcPr>
                  <w:tcW w:w="958" w:type="dxa"/>
                  <w:noWrap w:val="0"/>
                  <w:vAlign w:val="center"/>
                </w:tcPr>
                <w:p w14:paraId="1FA3C6A8">
                  <w:pPr>
                    <w:pStyle w:val="48"/>
                    <w:bidi w:val="0"/>
                    <w:rPr>
                      <w:rFonts w:hint="default"/>
                      <w:lang w:val="en-US"/>
                    </w:rPr>
                  </w:pPr>
                  <w:r>
                    <w:rPr>
                      <w:rFonts w:hint="default"/>
                      <w:lang w:val="en-US" w:eastAsia="zh-CN"/>
                    </w:rPr>
                    <w:t>2.1605</w:t>
                  </w:r>
                </w:p>
              </w:tc>
              <w:tc>
                <w:tcPr>
                  <w:tcW w:w="717" w:type="dxa"/>
                  <w:vMerge w:val="continue"/>
                  <w:noWrap w:val="0"/>
                  <w:vAlign w:val="center"/>
                </w:tcPr>
                <w:p w14:paraId="6AC142CE">
                  <w:pPr>
                    <w:pStyle w:val="48"/>
                    <w:bidi w:val="0"/>
                    <w:rPr>
                      <w:rFonts w:hint="eastAsia"/>
                      <w:lang w:eastAsia="zh-CN"/>
                    </w:rPr>
                  </w:pPr>
                </w:p>
              </w:tc>
            </w:tr>
            <w:tr w14:paraId="08B8C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restart"/>
                  <w:noWrap w:val="0"/>
                  <w:vAlign w:val="center"/>
                </w:tcPr>
                <w:p w14:paraId="1E9ACF03">
                  <w:pPr>
                    <w:pStyle w:val="60"/>
                    <w:bidi w:val="0"/>
                    <w:rPr>
                      <w:rFonts w:hint="default"/>
                      <w:color w:val="auto"/>
                      <w:sz w:val="21"/>
                      <w:szCs w:val="21"/>
                      <w:highlight w:val="none"/>
                      <w:lang w:val="en-US" w:eastAsia="zh-CN"/>
                    </w:rPr>
                  </w:pPr>
                  <w:r>
                    <w:rPr>
                      <w:rFonts w:hint="eastAsia"/>
                      <w:color w:val="auto"/>
                      <w:sz w:val="21"/>
                      <w:szCs w:val="21"/>
                      <w:highlight w:val="none"/>
                      <w:lang w:val="en-US" w:eastAsia="zh-CN"/>
                    </w:rPr>
                    <w:t>厂区</w:t>
                  </w:r>
                </w:p>
              </w:tc>
              <w:tc>
                <w:tcPr>
                  <w:tcW w:w="264" w:type="pct"/>
                  <w:noWrap w:val="0"/>
                  <w:vAlign w:val="center"/>
                </w:tcPr>
                <w:p w14:paraId="5CDEBF47">
                  <w:pPr>
                    <w:pStyle w:val="60"/>
                    <w:bidi w:val="0"/>
                    <w:rPr>
                      <w:rFonts w:hint="eastAsia"/>
                      <w:color w:val="auto"/>
                      <w:sz w:val="21"/>
                      <w:szCs w:val="21"/>
                      <w:highlight w:val="none"/>
                      <w:lang w:val="en-US" w:eastAsia="zh-CN"/>
                    </w:rPr>
                  </w:pPr>
                  <w:r>
                    <w:rPr>
                      <w:color w:val="auto"/>
                      <w:sz w:val="21"/>
                      <w:szCs w:val="21"/>
                      <w:highlight w:val="none"/>
                    </w:rPr>
                    <w:t>装卸、输送</w:t>
                  </w:r>
                  <w:r>
                    <w:rPr>
                      <w:rFonts w:hint="eastAsia"/>
                      <w:color w:val="auto"/>
                      <w:sz w:val="21"/>
                      <w:szCs w:val="21"/>
                      <w:highlight w:val="none"/>
                      <w:lang w:val="en-US" w:eastAsia="zh-CN"/>
                    </w:rPr>
                    <w:t>废气</w:t>
                  </w:r>
                </w:p>
              </w:tc>
              <w:tc>
                <w:tcPr>
                  <w:tcW w:w="186" w:type="pct"/>
                  <w:vMerge w:val="restart"/>
                  <w:noWrap w:val="0"/>
                  <w:vAlign w:val="center"/>
                </w:tcPr>
                <w:p w14:paraId="2525B3A8">
                  <w:pPr>
                    <w:pStyle w:val="60"/>
                    <w:bidi w:val="0"/>
                    <w:rPr>
                      <w:color w:val="auto"/>
                      <w:sz w:val="21"/>
                      <w:szCs w:val="21"/>
                      <w:highlight w:val="none"/>
                    </w:rPr>
                  </w:pPr>
                  <w:r>
                    <w:rPr>
                      <w:color w:val="auto"/>
                      <w:sz w:val="21"/>
                      <w:szCs w:val="21"/>
                      <w:highlight w:val="none"/>
                    </w:rPr>
                    <w:t>无组织</w:t>
                  </w:r>
                </w:p>
              </w:tc>
              <w:tc>
                <w:tcPr>
                  <w:tcW w:w="333" w:type="pct"/>
                  <w:noWrap w:val="0"/>
                  <w:vAlign w:val="center"/>
                </w:tcPr>
                <w:p w14:paraId="13DFE08D">
                  <w:pPr>
                    <w:pStyle w:val="60"/>
                    <w:bidi w:val="0"/>
                    <w:rPr>
                      <w:color w:val="auto"/>
                      <w:sz w:val="21"/>
                      <w:szCs w:val="21"/>
                      <w:highlight w:val="none"/>
                    </w:rPr>
                  </w:pPr>
                  <w:r>
                    <w:rPr>
                      <w:color w:val="auto"/>
                      <w:sz w:val="21"/>
                      <w:szCs w:val="21"/>
                      <w:highlight w:val="none"/>
                    </w:rPr>
                    <w:t>颗粒物</w:t>
                  </w:r>
                </w:p>
              </w:tc>
              <w:tc>
                <w:tcPr>
                  <w:tcW w:w="275" w:type="pct"/>
                  <w:noWrap w:val="0"/>
                  <w:vAlign w:val="center"/>
                </w:tcPr>
                <w:p w14:paraId="4F0D553A">
                  <w:pPr>
                    <w:pStyle w:val="60"/>
                    <w:bidi w:val="0"/>
                    <w:rPr>
                      <w:rFonts w:hint="eastAsia"/>
                      <w:color w:val="auto"/>
                      <w:sz w:val="21"/>
                      <w:szCs w:val="21"/>
                      <w:highlight w:val="none"/>
                    </w:rPr>
                  </w:pPr>
                  <w:r>
                    <w:rPr>
                      <w:color w:val="auto"/>
                      <w:sz w:val="21"/>
                      <w:szCs w:val="21"/>
                      <w:highlight w:val="none"/>
                    </w:rPr>
                    <w:t>系数法</w:t>
                  </w:r>
                </w:p>
              </w:tc>
              <w:tc>
                <w:tcPr>
                  <w:tcW w:w="956" w:type="dxa"/>
                  <w:noWrap w:val="0"/>
                  <w:vAlign w:val="center"/>
                </w:tcPr>
                <w:p w14:paraId="59BC8FE1">
                  <w:pPr>
                    <w:pStyle w:val="48"/>
                    <w:bidi w:val="0"/>
                    <w:rPr>
                      <w:rFonts w:hint="eastAsia"/>
                      <w:lang w:val="en-US" w:eastAsia="zh-CN"/>
                    </w:rPr>
                  </w:pPr>
                  <w:r>
                    <w:rPr>
                      <w:rFonts w:hint="default"/>
                      <w:lang w:val="en-US" w:eastAsia="zh-CN"/>
                    </w:rPr>
                    <w:t>/</w:t>
                  </w:r>
                </w:p>
              </w:tc>
              <w:tc>
                <w:tcPr>
                  <w:tcW w:w="954" w:type="dxa"/>
                  <w:noWrap w:val="0"/>
                  <w:vAlign w:val="center"/>
                </w:tcPr>
                <w:p w14:paraId="688042C7">
                  <w:pPr>
                    <w:pStyle w:val="48"/>
                    <w:bidi w:val="0"/>
                    <w:rPr>
                      <w:rFonts w:hint="default"/>
                      <w:lang w:val="en-US" w:eastAsia="zh-CN"/>
                    </w:rPr>
                  </w:pPr>
                  <w:r>
                    <w:rPr>
                      <w:rFonts w:hint="default"/>
                      <w:lang w:val="en-US" w:eastAsia="zh-CN"/>
                    </w:rPr>
                    <w:t>/</w:t>
                  </w:r>
                </w:p>
              </w:tc>
              <w:tc>
                <w:tcPr>
                  <w:tcW w:w="956" w:type="dxa"/>
                  <w:noWrap w:val="0"/>
                  <w:vAlign w:val="center"/>
                </w:tcPr>
                <w:p w14:paraId="5EA76ECF">
                  <w:pPr>
                    <w:pStyle w:val="48"/>
                    <w:bidi w:val="0"/>
                    <w:rPr>
                      <w:rFonts w:hint="default"/>
                      <w:lang w:val="en-US" w:eastAsia="zh-CN"/>
                    </w:rPr>
                  </w:pPr>
                  <w:r>
                    <w:rPr>
                      <w:rFonts w:hint="default"/>
                      <w:lang w:val="en-US" w:eastAsia="zh-CN"/>
                    </w:rPr>
                    <w:t>4.00</w:t>
                  </w:r>
                </w:p>
              </w:tc>
              <w:tc>
                <w:tcPr>
                  <w:tcW w:w="1140" w:type="dxa"/>
                  <w:noWrap w:val="0"/>
                  <w:vAlign w:val="center"/>
                </w:tcPr>
                <w:p w14:paraId="5971866D">
                  <w:pPr>
                    <w:pStyle w:val="48"/>
                    <w:bidi w:val="0"/>
                    <w:rPr>
                      <w:rFonts w:hint="eastAsia"/>
                    </w:rPr>
                  </w:pPr>
                  <w:r>
                    <w:rPr>
                      <w:rFonts w:hint="eastAsia"/>
                      <w:lang w:val="en-US" w:eastAsia="zh-CN"/>
                    </w:rPr>
                    <w:t>车间封闭</w:t>
                  </w:r>
                  <w:r>
                    <w:rPr>
                      <w:rFonts w:hint="default"/>
                      <w:lang w:val="en-US" w:eastAsia="zh-CN"/>
                    </w:rPr>
                    <w:t>+</w:t>
                  </w:r>
                  <w:r>
                    <w:rPr>
                      <w:rFonts w:hint="eastAsia"/>
                      <w:lang w:val="en-US" w:eastAsia="zh-CN"/>
                    </w:rPr>
                    <w:t>减小装卸高度等措施</w:t>
                  </w:r>
                </w:p>
              </w:tc>
              <w:tc>
                <w:tcPr>
                  <w:tcW w:w="768" w:type="dxa"/>
                  <w:noWrap w:val="0"/>
                  <w:vAlign w:val="center"/>
                </w:tcPr>
                <w:p w14:paraId="62530954">
                  <w:pPr>
                    <w:pStyle w:val="48"/>
                    <w:bidi w:val="0"/>
                    <w:rPr>
                      <w:rFonts w:hint="default"/>
                      <w:lang w:val="en-US" w:eastAsia="zh-CN"/>
                    </w:rPr>
                  </w:pPr>
                  <w:r>
                    <w:rPr>
                      <w:rFonts w:hint="default"/>
                      <w:lang w:val="en-US" w:eastAsia="zh-CN"/>
                    </w:rPr>
                    <w:t>60</w:t>
                  </w:r>
                </w:p>
              </w:tc>
              <w:tc>
                <w:tcPr>
                  <w:tcW w:w="954" w:type="dxa"/>
                  <w:noWrap w:val="0"/>
                  <w:vAlign w:val="center"/>
                </w:tcPr>
                <w:p w14:paraId="5AACA569">
                  <w:pPr>
                    <w:pStyle w:val="48"/>
                    <w:bidi w:val="0"/>
                    <w:rPr>
                      <w:rFonts w:hint="eastAsia"/>
                    </w:rPr>
                  </w:pPr>
                  <w:r>
                    <w:rPr>
                      <w:rFonts w:hint="eastAsia"/>
                      <w:lang w:val="en-US" w:eastAsia="zh-CN"/>
                    </w:rPr>
                    <w:t>系数法</w:t>
                  </w:r>
                </w:p>
              </w:tc>
              <w:tc>
                <w:tcPr>
                  <w:tcW w:w="954" w:type="dxa"/>
                  <w:noWrap w:val="0"/>
                  <w:vAlign w:val="center"/>
                </w:tcPr>
                <w:p w14:paraId="59827208">
                  <w:pPr>
                    <w:pStyle w:val="48"/>
                    <w:bidi w:val="0"/>
                    <w:rPr>
                      <w:rFonts w:hint="eastAsia"/>
                    </w:rPr>
                  </w:pPr>
                  <w:r>
                    <w:rPr>
                      <w:rFonts w:hint="default"/>
                      <w:lang w:val="en-US" w:eastAsia="zh-CN"/>
                    </w:rPr>
                    <w:t>/</w:t>
                  </w:r>
                </w:p>
              </w:tc>
              <w:tc>
                <w:tcPr>
                  <w:tcW w:w="954" w:type="dxa"/>
                  <w:noWrap w:val="0"/>
                  <w:vAlign w:val="center"/>
                </w:tcPr>
                <w:p w14:paraId="39DC6152">
                  <w:pPr>
                    <w:pStyle w:val="48"/>
                    <w:bidi w:val="0"/>
                    <w:rPr>
                      <w:rFonts w:hint="eastAsia"/>
                      <w:lang w:val="en-US" w:eastAsia="zh-CN"/>
                    </w:rPr>
                  </w:pPr>
                  <w:r>
                    <w:rPr>
                      <w:rFonts w:hint="default"/>
                      <w:lang w:val="en-US" w:eastAsia="zh-CN"/>
                    </w:rPr>
                    <w:t>/</w:t>
                  </w:r>
                </w:p>
              </w:tc>
              <w:tc>
                <w:tcPr>
                  <w:tcW w:w="958" w:type="dxa"/>
                  <w:noWrap w:val="0"/>
                  <w:vAlign w:val="center"/>
                </w:tcPr>
                <w:p w14:paraId="231AC885">
                  <w:pPr>
                    <w:pStyle w:val="48"/>
                    <w:bidi w:val="0"/>
                    <w:rPr>
                      <w:rFonts w:hint="default"/>
                      <w:lang w:val="en-US" w:eastAsia="zh-CN"/>
                    </w:rPr>
                  </w:pPr>
                  <w:r>
                    <w:rPr>
                      <w:rFonts w:hint="default"/>
                      <w:lang w:val="en-US" w:eastAsia="zh-CN"/>
                    </w:rPr>
                    <w:t>1.60</w:t>
                  </w:r>
                </w:p>
              </w:tc>
              <w:tc>
                <w:tcPr>
                  <w:tcW w:w="717" w:type="dxa"/>
                  <w:noWrap w:val="0"/>
                  <w:vAlign w:val="center"/>
                </w:tcPr>
                <w:p w14:paraId="5D7A36EA">
                  <w:pPr>
                    <w:pStyle w:val="48"/>
                    <w:bidi w:val="0"/>
                    <w:rPr>
                      <w:rFonts w:hint="default"/>
                      <w:lang w:val="en-US" w:eastAsia="zh-CN"/>
                    </w:rPr>
                  </w:pPr>
                  <w:r>
                    <w:rPr>
                      <w:rFonts w:hint="default"/>
                      <w:lang w:val="en-US" w:eastAsia="zh-CN"/>
                    </w:rPr>
                    <w:t>1440</w:t>
                  </w:r>
                </w:p>
              </w:tc>
            </w:tr>
            <w:tr w14:paraId="1E6FA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7ACA1260">
                  <w:pPr>
                    <w:pStyle w:val="60"/>
                    <w:bidi w:val="0"/>
                    <w:rPr>
                      <w:rFonts w:hint="eastAsia"/>
                      <w:color w:val="auto"/>
                      <w:sz w:val="21"/>
                      <w:szCs w:val="21"/>
                      <w:highlight w:val="none"/>
                      <w:lang w:val="en-US" w:eastAsia="zh-CN"/>
                    </w:rPr>
                  </w:pPr>
                </w:p>
              </w:tc>
              <w:tc>
                <w:tcPr>
                  <w:tcW w:w="264" w:type="pct"/>
                  <w:noWrap w:val="0"/>
                  <w:vAlign w:val="center"/>
                </w:tcPr>
                <w:p w14:paraId="746C3B6E">
                  <w:pPr>
                    <w:pStyle w:val="60"/>
                    <w:bidi w:val="0"/>
                    <w:rPr>
                      <w:color w:val="auto"/>
                      <w:sz w:val="21"/>
                      <w:szCs w:val="21"/>
                      <w:highlight w:val="none"/>
                    </w:rPr>
                  </w:pPr>
                  <w:r>
                    <w:rPr>
                      <w:color w:val="auto"/>
                      <w:sz w:val="21"/>
                      <w:szCs w:val="21"/>
                      <w:highlight w:val="none"/>
                    </w:rPr>
                    <w:t>筛分</w:t>
                  </w:r>
                  <w:r>
                    <w:rPr>
                      <w:rFonts w:hint="eastAsia"/>
                      <w:color w:val="auto"/>
                      <w:sz w:val="21"/>
                      <w:szCs w:val="21"/>
                      <w:highlight w:val="none"/>
                      <w:lang w:val="en-US" w:eastAsia="zh-CN"/>
                    </w:rPr>
                    <w:t>废气</w:t>
                  </w:r>
                </w:p>
              </w:tc>
              <w:tc>
                <w:tcPr>
                  <w:tcW w:w="186" w:type="pct"/>
                  <w:vMerge w:val="continue"/>
                  <w:noWrap w:val="0"/>
                  <w:vAlign w:val="center"/>
                </w:tcPr>
                <w:p w14:paraId="27C24F0B">
                  <w:pPr>
                    <w:pStyle w:val="60"/>
                    <w:bidi w:val="0"/>
                    <w:rPr>
                      <w:color w:val="auto"/>
                      <w:sz w:val="21"/>
                      <w:szCs w:val="21"/>
                      <w:highlight w:val="none"/>
                    </w:rPr>
                  </w:pPr>
                </w:p>
              </w:tc>
              <w:tc>
                <w:tcPr>
                  <w:tcW w:w="333" w:type="pct"/>
                  <w:noWrap w:val="0"/>
                  <w:vAlign w:val="center"/>
                </w:tcPr>
                <w:p w14:paraId="4CAB030F">
                  <w:pPr>
                    <w:pStyle w:val="60"/>
                    <w:bidi w:val="0"/>
                    <w:rPr>
                      <w:color w:val="auto"/>
                      <w:sz w:val="21"/>
                      <w:szCs w:val="21"/>
                      <w:highlight w:val="none"/>
                    </w:rPr>
                  </w:pPr>
                  <w:r>
                    <w:rPr>
                      <w:color w:val="auto"/>
                      <w:sz w:val="21"/>
                      <w:szCs w:val="21"/>
                      <w:highlight w:val="none"/>
                    </w:rPr>
                    <w:t>颗粒物</w:t>
                  </w:r>
                </w:p>
              </w:tc>
              <w:tc>
                <w:tcPr>
                  <w:tcW w:w="275" w:type="pct"/>
                  <w:noWrap w:val="0"/>
                  <w:vAlign w:val="center"/>
                </w:tcPr>
                <w:p w14:paraId="15A280A7">
                  <w:pPr>
                    <w:pStyle w:val="60"/>
                    <w:bidi w:val="0"/>
                    <w:rPr>
                      <w:color w:val="auto"/>
                      <w:sz w:val="21"/>
                      <w:szCs w:val="21"/>
                      <w:highlight w:val="none"/>
                    </w:rPr>
                  </w:pPr>
                  <w:r>
                    <w:rPr>
                      <w:color w:val="auto"/>
                      <w:sz w:val="21"/>
                      <w:szCs w:val="21"/>
                      <w:highlight w:val="none"/>
                    </w:rPr>
                    <w:t>系数法</w:t>
                  </w:r>
                </w:p>
              </w:tc>
              <w:tc>
                <w:tcPr>
                  <w:tcW w:w="956" w:type="dxa"/>
                  <w:noWrap w:val="0"/>
                  <w:vAlign w:val="center"/>
                </w:tcPr>
                <w:p w14:paraId="3A59559A">
                  <w:pPr>
                    <w:pStyle w:val="48"/>
                    <w:bidi w:val="0"/>
                  </w:pPr>
                  <w:r>
                    <w:rPr>
                      <w:rFonts w:hint="default"/>
                      <w:lang w:val="en-US" w:eastAsia="zh-CN"/>
                    </w:rPr>
                    <w:t>/</w:t>
                  </w:r>
                </w:p>
              </w:tc>
              <w:tc>
                <w:tcPr>
                  <w:tcW w:w="954" w:type="dxa"/>
                  <w:noWrap w:val="0"/>
                  <w:vAlign w:val="center"/>
                </w:tcPr>
                <w:p w14:paraId="57906165">
                  <w:pPr>
                    <w:pStyle w:val="48"/>
                    <w:bidi w:val="0"/>
                  </w:pPr>
                  <w:r>
                    <w:rPr>
                      <w:rFonts w:hint="default"/>
                      <w:lang w:val="en-US" w:eastAsia="zh-CN"/>
                    </w:rPr>
                    <w:t>/</w:t>
                  </w:r>
                </w:p>
              </w:tc>
              <w:tc>
                <w:tcPr>
                  <w:tcW w:w="956" w:type="dxa"/>
                  <w:noWrap w:val="0"/>
                  <w:vAlign w:val="center"/>
                </w:tcPr>
                <w:p w14:paraId="58FBB174">
                  <w:pPr>
                    <w:pStyle w:val="48"/>
                    <w:bidi w:val="0"/>
                    <w:rPr>
                      <w:rFonts w:hint="default"/>
                      <w:lang w:val="en-US" w:eastAsia="zh-CN"/>
                    </w:rPr>
                  </w:pPr>
                  <w:r>
                    <w:rPr>
                      <w:rFonts w:hint="default"/>
                      <w:lang w:val="en-US" w:eastAsia="zh-CN"/>
                    </w:rPr>
                    <w:t>5.00</w:t>
                  </w:r>
                </w:p>
              </w:tc>
              <w:tc>
                <w:tcPr>
                  <w:tcW w:w="1140" w:type="dxa"/>
                  <w:noWrap w:val="0"/>
                  <w:vAlign w:val="center"/>
                </w:tcPr>
                <w:p w14:paraId="398C53FD">
                  <w:pPr>
                    <w:pStyle w:val="48"/>
                    <w:bidi w:val="0"/>
                  </w:pPr>
                  <w:r>
                    <w:rPr>
                      <w:rFonts w:hint="eastAsia"/>
                      <w:lang w:val="en-US" w:eastAsia="zh-CN"/>
                    </w:rPr>
                    <w:t>清选工艺采用封闭式清理筛</w:t>
                  </w:r>
                </w:p>
              </w:tc>
              <w:tc>
                <w:tcPr>
                  <w:tcW w:w="768" w:type="dxa"/>
                  <w:noWrap w:val="0"/>
                  <w:vAlign w:val="center"/>
                </w:tcPr>
                <w:p w14:paraId="067D66DE">
                  <w:pPr>
                    <w:pStyle w:val="48"/>
                    <w:bidi w:val="0"/>
                  </w:pPr>
                  <w:r>
                    <w:rPr>
                      <w:rFonts w:hint="default"/>
                      <w:lang w:val="en-US" w:eastAsia="zh-CN"/>
                    </w:rPr>
                    <w:t>90</w:t>
                  </w:r>
                </w:p>
              </w:tc>
              <w:tc>
                <w:tcPr>
                  <w:tcW w:w="954" w:type="dxa"/>
                  <w:noWrap w:val="0"/>
                  <w:vAlign w:val="center"/>
                </w:tcPr>
                <w:p w14:paraId="2E37D3DA">
                  <w:pPr>
                    <w:pStyle w:val="48"/>
                    <w:bidi w:val="0"/>
                  </w:pPr>
                  <w:r>
                    <w:rPr>
                      <w:rFonts w:hint="eastAsia"/>
                      <w:lang w:val="en-US" w:eastAsia="zh-CN"/>
                    </w:rPr>
                    <w:t>系数法</w:t>
                  </w:r>
                </w:p>
              </w:tc>
              <w:tc>
                <w:tcPr>
                  <w:tcW w:w="954" w:type="dxa"/>
                  <w:noWrap w:val="0"/>
                  <w:vAlign w:val="center"/>
                </w:tcPr>
                <w:p w14:paraId="24FA0C55">
                  <w:pPr>
                    <w:pStyle w:val="48"/>
                    <w:bidi w:val="0"/>
                  </w:pPr>
                  <w:r>
                    <w:rPr>
                      <w:rFonts w:hint="default"/>
                      <w:lang w:val="en-US" w:eastAsia="zh-CN"/>
                    </w:rPr>
                    <w:t>/</w:t>
                  </w:r>
                </w:p>
              </w:tc>
              <w:tc>
                <w:tcPr>
                  <w:tcW w:w="954" w:type="dxa"/>
                  <w:noWrap w:val="0"/>
                  <w:vAlign w:val="center"/>
                </w:tcPr>
                <w:p w14:paraId="61D432B0">
                  <w:pPr>
                    <w:pStyle w:val="48"/>
                    <w:bidi w:val="0"/>
                  </w:pPr>
                  <w:r>
                    <w:rPr>
                      <w:rFonts w:hint="default"/>
                      <w:lang w:val="en-US" w:eastAsia="zh-CN"/>
                    </w:rPr>
                    <w:t>/</w:t>
                  </w:r>
                </w:p>
              </w:tc>
              <w:tc>
                <w:tcPr>
                  <w:tcW w:w="958" w:type="dxa"/>
                  <w:noWrap w:val="0"/>
                  <w:vAlign w:val="center"/>
                </w:tcPr>
                <w:p w14:paraId="172C9D2D">
                  <w:pPr>
                    <w:pStyle w:val="48"/>
                    <w:bidi w:val="0"/>
                    <w:rPr>
                      <w:rFonts w:hint="default"/>
                      <w:lang w:val="en-US" w:eastAsia="zh-CN"/>
                    </w:rPr>
                  </w:pPr>
                  <w:r>
                    <w:rPr>
                      <w:rFonts w:hint="default"/>
                      <w:lang w:val="en-US" w:eastAsia="zh-CN"/>
                    </w:rPr>
                    <w:t>0.50</w:t>
                  </w:r>
                </w:p>
              </w:tc>
              <w:tc>
                <w:tcPr>
                  <w:tcW w:w="717" w:type="dxa"/>
                  <w:noWrap w:val="0"/>
                  <w:vAlign w:val="center"/>
                </w:tcPr>
                <w:p w14:paraId="72CD91DE">
                  <w:pPr>
                    <w:pStyle w:val="48"/>
                    <w:bidi w:val="0"/>
                    <w:rPr>
                      <w:rFonts w:hint="default"/>
                      <w:lang w:val="en-US" w:eastAsia="zh-CN"/>
                    </w:rPr>
                  </w:pPr>
                  <w:r>
                    <w:rPr>
                      <w:rFonts w:hint="default"/>
                      <w:lang w:val="en-US" w:eastAsia="zh-CN"/>
                    </w:rPr>
                    <w:t>720</w:t>
                  </w:r>
                </w:p>
              </w:tc>
            </w:tr>
            <w:tr w14:paraId="4EFA0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2C03597A">
                  <w:pPr>
                    <w:pStyle w:val="60"/>
                    <w:bidi w:val="0"/>
                    <w:rPr>
                      <w:rFonts w:hint="eastAsia"/>
                      <w:color w:val="auto"/>
                      <w:sz w:val="21"/>
                      <w:szCs w:val="21"/>
                      <w:highlight w:val="none"/>
                      <w:lang w:val="en-US" w:eastAsia="zh-CN"/>
                    </w:rPr>
                  </w:pPr>
                </w:p>
              </w:tc>
              <w:tc>
                <w:tcPr>
                  <w:tcW w:w="264" w:type="pct"/>
                  <w:noWrap w:val="0"/>
                  <w:vAlign w:val="center"/>
                </w:tcPr>
                <w:p w14:paraId="4B81BDAF">
                  <w:pPr>
                    <w:pStyle w:val="60"/>
                    <w:bidi w:val="0"/>
                    <w:rPr>
                      <w:color w:val="auto"/>
                      <w:sz w:val="21"/>
                      <w:szCs w:val="21"/>
                      <w:highlight w:val="none"/>
                    </w:rPr>
                  </w:pPr>
                  <w:r>
                    <w:rPr>
                      <w:color w:val="auto"/>
                      <w:sz w:val="21"/>
                      <w:szCs w:val="21"/>
                      <w:highlight w:val="none"/>
                    </w:rPr>
                    <w:t>烘干塔</w:t>
                  </w:r>
                  <w:r>
                    <w:rPr>
                      <w:rFonts w:hint="default"/>
                      <w:color w:val="auto"/>
                      <w:sz w:val="21"/>
                      <w:szCs w:val="21"/>
                      <w:highlight w:val="none"/>
                      <w:lang w:val="en-US" w:eastAsia="zh-CN"/>
                    </w:rPr>
                    <w:t>干燥</w:t>
                  </w:r>
                  <w:r>
                    <w:rPr>
                      <w:rFonts w:hint="eastAsia"/>
                      <w:color w:val="auto"/>
                      <w:sz w:val="21"/>
                      <w:szCs w:val="21"/>
                      <w:highlight w:val="none"/>
                      <w:lang w:val="en-US" w:eastAsia="zh-CN"/>
                    </w:rPr>
                    <w:t>废气</w:t>
                  </w:r>
                </w:p>
              </w:tc>
              <w:tc>
                <w:tcPr>
                  <w:tcW w:w="186" w:type="pct"/>
                  <w:vMerge w:val="continue"/>
                  <w:noWrap w:val="0"/>
                  <w:vAlign w:val="center"/>
                </w:tcPr>
                <w:p w14:paraId="73507F78">
                  <w:pPr>
                    <w:pStyle w:val="60"/>
                    <w:bidi w:val="0"/>
                    <w:rPr>
                      <w:color w:val="auto"/>
                      <w:sz w:val="21"/>
                      <w:szCs w:val="21"/>
                      <w:highlight w:val="none"/>
                    </w:rPr>
                  </w:pPr>
                </w:p>
              </w:tc>
              <w:tc>
                <w:tcPr>
                  <w:tcW w:w="333" w:type="pct"/>
                  <w:noWrap w:val="0"/>
                  <w:vAlign w:val="center"/>
                </w:tcPr>
                <w:p w14:paraId="772382FA">
                  <w:pPr>
                    <w:pStyle w:val="60"/>
                    <w:bidi w:val="0"/>
                    <w:rPr>
                      <w:color w:val="auto"/>
                      <w:sz w:val="21"/>
                      <w:szCs w:val="21"/>
                      <w:highlight w:val="none"/>
                    </w:rPr>
                  </w:pPr>
                  <w:r>
                    <w:rPr>
                      <w:color w:val="auto"/>
                      <w:sz w:val="21"/>
                      <w:szCs w:val="21"/>
                      <w:highlight w:val="none"/>
                    </w:rPr>
                    <w:t>颗粒物</w:t>
                  </w:r>
                </w:p>
              </w:tc>
              <w:tc>
                <w:tcPr>
                  <w:tcW w:w="275" w:type="pct"/>
                  <w:noWrap w:val="0"/>
                  <w:vAlign w:val="center"/>
                </w:tcPr>
                <w:p w14:paraId="5D64F3A3">
                  <w:pPr>
                    <w:pStyle w:val="60"/>
                    <w:bidi w:val="0"/>
                    <w:rPr>
                      <w:color w:val="auto"/>
                      <w:sz w:val="21"/>
                      <w:szCs w:val="21"/>
                      <w:highlight w:val="none"/>
                    </w:rPr>
                  </w:pPr>
                  <w:r>
                    <w:rPr>
                      <w:color w:val="auto"/>
                      <w:sz w:val="21"/>
                      <w:szCs w:val="21"/>
                      <w:highlight w:val="none"/>
                    </w:rPr>
                    <w:t>系数法</w:t>
                  </w:r>
                </w:p>
              </w:tc>
              <w:tc>
                <w:tcPr>
                  <w:tcW w:w="956" w:type="dxa"/>
                  <w:noWrap w:val="0"/>
                  <w:vAlign w:val="center"/>
                </w:tcPr>
                <w:p w14:paraId="0206D68F">
                  <w:pPr>
                    <w:pStyle w:val="48"/>
                    <w:bidi w:val="0"/>
                  </w:pPr>
                  <w:r>
                    <w:rPr>
                      <w:rFonts w:hint="default"/>
                      <w:lang w:val="en-US" w:eastAsia="zh-CN"/>
                    </w:rPr>
                    <w:t>/</w:t>
                  </w:r>
                </w:p>
              </w:tc>
              <w:tc>
                <w:tcPr>
                  <w:tcW w:w="954" w:type="dxa"/>
                  <w:noWrap w:val="0"/>
                  <w:vAlign w:val="center"/>
                </w:tcPr>
                <w:p w14:paraId="28E89CEB">
                  <w:pPr>
                    <w:pStyle w:val="48"/>
                    <w:bidi w:val="0"/>
                  </w:pPr>
                  <w:r>
                    <w:rPr>
                      <w:rFonts w:hint="default"/>
                      <w:lang w:val="en-US" w:eastAsia="zh-CN"/>
                    </w:rPr>
                    <w:t>/</w:t>
                  </w:r>
                </w:p>
              </w:tc>
              <w:tc>
                <w:tcPr>
                  <w:tcW w:w="956" w:type="dxa"/>
                  <w:noWrap w:val="0"/>
                  <w:vAlign w:val="center"/>
                </w:tcPr>
                <w:p w14:paraId="3A08F6A5">
                  <w:pPr>
                    <w:pStyle w:val="48"/>
                    <w:bidi w:val="0"/>
                    <w:rPr>
                      <w:rFonts w:hint="default"/>
                      <w:lang w:val="en-US" w:eastAsia="zh-CN"/>
                    </w:rPr>
                  </w:pPr>
                  <w:r>
                    <w:rPr>
                      <w:rFonts w:hint="eastAsia"/>
                      <w:lang w:val="en-US" w:eastAsia="zh-CN"/>
                    </w:rPr>
                    <w:t>6.24</w:t>
                  </w:r>
                </w:p>
              </w:tc>
              <w:tc>
                <w:tcPr>
                  <w:tcW w:w="1140" w:type="dxa"/>
                  <w:noWrap w:val="0"/>
                  <w:vAlign w:val="center"/>
                </w:tcPr>
                <w:p w14:paraId="56C6A190">
                  <w:pPr>
                    <w:pStyle w:val="48"/>
                    <w:bidi w:val="0"/>
                  </w:pPr>
                  <w:r>
                    <w:rPr>
                      <w:rFonts w:hint="eastAsia"/>
                      <w:lang w:val="en-US" w:eastAsia="zh-CN"/>
                    </w:rPr>
                    <w:t>塔体两侧排气孔设置折流挡板</w:t>
                  </w:r>
                </w:p>
              </w:tc>
              <w:tc>
                <w:tcPr>
                  <w:tcW w:w="768" w:type="dxa"/>
                  <w:noWrap w:val="0"/>
                  <w:vAlign w:val="center"/>
                </w:tcPr>
                <w:p w14:paraId="0DABA691">
                  <w:pPr>
                    <w:pStyle w:val="48"/>
                    <w:bidi w:val="0"/>
                    <w:rPr>
                      <w:rFonts w:hint="default"/>
                      <w:lang w:val="en-US" w:eastAsia="zh-CN"/>
                    </w:rPr>
                  </w:pPr>
                  <w:r>
                    <w:rPr>
                      <w:rFonts w:hint="default"/>
                      <w:lang w:val="en-US" w:eastAsia="zh-CN"/>
                    </w:rPr>
                    <w:t>70</w:t>
                  </w:r>
                </w:p>
              </w:tc>
              <w:tc>
                <w:tcPr>
                  <w:tcW w:w="954" w:type="dxa"/>
                  <w:noWrap w:val="0"/>
                  <w:vAlign w:val="center"/>
                </w:tcPr>
                <w:p w14:paraId="0DAA741A">
                  <w:pPr>
                    <w:pStyle w:val="48"/>
                    <w:bidi w:val="0"/>
                  </w:pPr>
                  <w:r>
                    <w:rPr>
                      <w:rFonts w:hint="eastAsia"/>
                      <w:lang w:val="en-US" w:eastAsia="zh-CN"/>
                    </w:rPr>
                    <w:t>系数法</w:t>
                  </w:r>
                </w:p>
              </w:tc>
              <w:tc>
                <w:tcPr>
                  <w:tcW w:w="954" w:type="dxa"/>
                  <w:noWrap w:val="0"/>
                  <w:vAlign w:val="center"/>
                </w:tcPr>
                <w:p w14:paraId="4F0C395C">
                  <w:pPr>
                    <w:pStyle w:val="48"/>
                    <w:bidi w:val="0"/>
                  </w:pPr>
                  <w:r>
                    <w:rPr>
                      <w:rFonts w:hint="default"/>
                      <w:lang w:val="en-US" w:eastAsia="zh-CN"/>
                    </w:rPr>
                    <w:t>/</w:t>
                  </w:r>
                </w:p>
              </w:tc>
              <w:tc>
                <w:tcPr>
                  <w:tcW w:w="954" w:type="dxa"/>
                  <w:noWrap w:val="0"/>
                  <w:vAlign w:val="center"/>
                </w:tcPr>
                <w:p w14:paraId="7478112B">
                  <w:pPr>
                    <w:pStyle w:val="48"/>
                    <w:bidi w:val="0"/>
                  </w:pPr>
                  <w:r>
                    <w:rPr>
                      <w:rFonts w:hint="default"/>
                      <w:lang w:val="en-US" w:eastAsia="zh-CN"/>
                    </w:rPr>
                    <w:t>/</w:t>
                  </w:r>
                </w:p>
              </w:tc>
              <w:tc>
                <w:tcPr>
                  <w:tcW w:w="958" w:type="dxa"/>
                  <w:noWrap w:val="0"/>
                  <w:vAlign w:val="center"/>
                </w:tcPr>
                <w:p w14:paraId="41B16B4E">
                  <w:pPr>
                    <w:pStyle w:val="48"/>
                    <w:bidi w:val="0"/>
                    <w:rPr>
                      <w:rFonts w:hint="default"/>
                      <w:lang w:val="en-US" w:eastAsia="zh-CN"/>
                    </w:rPr>
                  </w:pPr>
                  <w:r>
                    <w:rPr>
                      <w:rFonts w:hint="default"/>
                      <w:lang w:val="en-US" w:eastAsia="zh-CN"/>
                    </w:rPr>
                    <w:t>1.87</w:t>
                  </w:r>
                </w:p>
              </w:tc>
              <w:tc>
                <w:tcPr>
                  <w:tcW w:w="717" w:type="dxa"/>
                  <w:noWrap w:val="0"/>
                  <w:vAlign w:val="center"/>
                </w:tcPr>
                <w:p w14:paraId="501BB0C0">
                  <w:pPr>
                    <w:pStyle w:val="48"/>
                    <w:bidi w:val="0"/>
                    <w:rPr>
                      <w:rFonts w:hint="default"/>
                      <w:lang w:val="en-US" w:eastAsia="zh-CN"/>
                    </w:rPr>
                  </w:pPr>
                  <w:r>
                    <w:rPr>
                      <w:rFonts w:hint="default"/>
                      <w:lang w:val="en-US" w:eastAsia="zh-CN"/>
                    </w:rPr>
                    <w:t>1440</w:t>
                  </w:r>
                </w:p>
              </w:tc>
            </w:tr>
            <w:tr w14:paraId="4BEE50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 w:type="pct"/>
                  <w:vMerge w:val="continue"/>
                  <w:noWrap w:val="0"/>
                  <w:vAlign w:val="center"/>
                </w:tcPr>
                <w:p w14:paraId="4C1A0748">
                  <w:pPr>
                    <w:pStyle w:val="60"/>
                    <w:bidi w:val="0"/>
                    <w:rPr>
                      <w:rFonts w:hint="eastAsia"/>
                      <w:color w:val="auto"/>
                      <w:sz w:val="21"/>
                      <w:szCs w:val="21"/>
                      <w:highlight w:val="none"/>
                      <w:lang w:val="en-US" w:eastAsia="zh-CN"/>
                    </w:rPr>
                  </w:pPr>
                </w:p>
              </w:tc>
              <w:tc>
                <w:tcPr>
                  <w:tcW w:w="264" w:type="pct"/>
                  <w:noWrap w:val="0"/>
                  <w:vAlign w:val="center"/>
                </w:tcPr>
                <w:p w14:paraId="16B923AE">
                  <w:pPr>
                    <w:pStyle w:val="60"/>
                    <w:bidi w:val="0"/>
                    <w:rPr>
                      <w:color w:val="auto"/>
                      <w:sz w:val="21"/>
                      <w:szCs w:val="21"/>
                      <w:highlight w:val="none"/>
                    </w:rPr>
                  </w:pPr>
                  <w:r>
                    <w:rPr>
                      <w:rFonts w:hint="eastAsia"/>
                      <w:color w:val="auto"/>
                      <w:highlight w:val="none"/>
                    </w:rPr>
                    <w:t>灰渣转运</w:t>
                  </w:r>
                  <w:r>
                    <w:rPr>
                      <w:rFonts w:hint="eastAsia"/>
                      <w:color w:val="auto"/>
                      <w:highlight w:val="none"/>
                      <w:lang w:eastAsia="zh-CN"/>
                    </w:rPr>
                    <w:t>、</w:t>
                  </w:r>
                  <w:r>
                    <w:rPr>
                      <w:rFonts w:hint="eastAsia"/>
                      <w:color w:val="auto"/>
                      <w:highlight w:val="none"/>
                    </w:rPr>
                    <w:t>储存</w:t>
                  </w:r>
                  <w:r>
                    <w:rPr>
                      <w:rFonts w:hint="eastAsia"/>
                      <w:color w:val="auto"/>
                      <w:sz w:val="21"/>
                      <w:szCs w:val="21"/>
                      <w:highlight w:val="none"/>
                      <w:lang w:val="en-US" w:eastAsia="zh-CN"/>
                    </w:rPr>
                    <w:t>废气</w:t>
                  </w:r>
                </w:p>
              </w:tc>
              <w:tc>
                <w:tcPr>
                  <w:tcW w:w="186" w:type="pct"/>
                  <w:vMerge w:val="continue"/>
                  <w:noWrap w:val="0"/>
                  <w:vAlign w:val="center"/>
                </w:tcPr>
                <w:p w14:paraId="0B4065B5">
                  <w:pPr>
                    <w:pStyle w:val="60"/>
                    <w:bidi w:val="0"/>
                    <w:rPr>
                      <w:color w:val="auto"/>
                      <w:sz w:val="21"/>
                      <w:szCs w:val="21"/>
                      <w:highlight w:val="none"/>
                    </w:rPr>
                  </w:pPr>
                </w:p>
              </w:tc>
              <w:tc>
                <w:tcPr>
                  <w:tcW w:w="333" w:type="pct"/>
                  <w:noWrap w:val="0"/>
                  <w:vAlign w:val="center"/>
                </w:tcPr>
                <w:p w14:paraId="3948203A">
                  <w:pPr>
                    <w:pStyle w:val="60"/>
                    <w:bidi w:val="0"/>
                    <w:ind w:firstLine="0" w:firstLineChars="0"/>
                    <w:rPr>
                      <w:color w:val="auto"/>
                      <w:sz w:val="21"/>
                      <w:szCs w:val="21"/>
                      <w:highlight w:val="none"/>
                    </w:rPr>
                  </w:pPr>
                  <w:r>
                    <w:rPr>
                      <w:color w:val="auto"/>
                      <w:sz w:val="21"/>
                      <w:szCs w:val="21"/>
                      <w:highlight w:val="none"/>
                    </w:rPr>
                    <w:t>颗粒物</w:t>
                  </w:r>
                </w:p>
              </w:tc>
              <w:tc>
                <w:tcPr>
                  <w:tcW w:w="275" w:type="pct"/>
                  <w:noWrap w:val="0"/>
                  <w:vAlign w:val="center"/>
                </w:tcPr>
                <w:p w14:paraId="56BE15C3">
                  <w:pPr>
                    <w:pStyle w:val="60"/>
                    <w:bidi w:val="0"/>
                    <w:ind w:firstLine="0" w:firstLineChars="0"/>
                    <w:rPr>
                      <w:color w:val="auto"/>
                      <w:sz w:val="21"/>
                      <w:szCs w:val="21"/>
                      <w:highlight w:val="none"/>
                    </w:rPr>
                  </w:pPr>
                  <w:r>
                    <w:rPr>
                      <w:color w:val="auto"/>
                      <w:sz w:val="21"/>
                      <w:szCs w:val="21"/>
                      <w:highlight w:val="none"/>
                    </w:rPr>
                    <w:t>系数法</w:t>
                  </w:r>
                </w:p>
              </w:tc>
              <w:tc>
                <w:tcPr>
                  <w:tcW w:w="956" w:type="dxa"/>
                  <w:noWrap w:val="0"/>
                  <w:vAlign w:val="center"/>
                </w:tcPr>
                <w:p w14:paraId="52F954AC">
                  <w:pPr>
                    <w:pStyle w:val="48"/>
                    <w:bidi w:val="0"/>
                    <w:rPr>
                      <w:rFonts w:hint="eastAsia"/>
                      <w:lang w:val="en-US" w:eastAsia="zh-CN"/>
                    </w:rPr>
                  </w:pPr>
                  <w:r>
                    <w:rPr>
                      <w:rFonts w:hint="default"/>
                      <w:lang w:val="en-US" w:eastAsia="zh-CN"/>
                    </w:rPr>
                    <w:t>/</w:t>
                  </w:r>
                </w:p>
              </w:tc>
              <w:tc>
                <w:tcPr>
                  <w:tcW w:w="954" w:type="dxa"/>
                  <w:noWrap w:val="0"/>
                  <w:vAlign w:val="center"/>
                </w:tcPr>
                <w:p w14:paraId="017B7088">
                  <w:pPr>
                    <w:pStyle w:val="48"/>
                    <w:bidi w:val="0"/>
                    <w:rPr>
                      <w:rFonts w:hint="eastAsia"/>
                      <w:lang w:val="en-US" w:eastAsia="zh-CN"/>
                    </w:rPr>
                  </w:pPr>
                  <w:r>
                    <w:rPr>
                      <w:rFonts w:hint="default"/>
                      <w:lang w:val="en-US" w:eastAsia="zh-CN"/>
                    </w:rPr>
                    <w:t>/</w:t>
                  </w:r>
                </w:p>
              </w:tc>
              <w:tc>
                <w:tcPr>
                  <w:tcW w:w="956" w:type="dxa"/>
                  <w:noWrap w:val="0"/>
                  <w:vAlign w:val="center"/>
                </w:tcPr>
                <w:p w14:paraId="4014F7D1">
                  <w:pPr>
                    <w:pStyle w:val="48"/>
                    <w:bidi w:val="0"/>
                    <w:rPr>
                      <w:rFonts w:hint="default"/>
                      <w:lang w:val="en-US" w:eastAsia="zh-CN"/>
                    </w:rPr>
                  </w:pPr>
                  <w:r>
                    <w:rPr>
                      <w:rFonts w:hint="default"/>
                      <w:lang w:val="en-US" w:eastAsia="zh-CN"/>
                    </w:rPr>
                    <w:t>0.0590</w:t>
                  </w:r>
                </w:p>
              </w:tc>
              <w:tc>
                <w:tcPr>
                  <w:tcW w:w="1140" w:type="dxa"/>
                  <w:noWrap w:val="0"/>
                  <w:vAlign w:val="center"/>
                </w:tcPr>
                <w:p w14:paraId="64AD6CCB">
                  <w:pPr>
                    <w:pStyle w:val="48"/>
                    <w:bidi w:val="0"/>
                    <w:rPr>
                      <w:rFonts w:hint="default"/>
                      <w:lang w:val="en-US" w:eastAsia="zh-CN"/>
                    </w:rPr>
                  </w:pPr>
                  <w:r>
                    <w:rPr>
                      <w:rFonts w:hint="eastAsia"/>
                      <w:lang w:val="en-US" w:eastAsia="zh-CN"/>
                    </w:rPr>
                    <w:t>灰渣库为封闭</w:t>
                  </w:r>
                  <w:r>
                    <w:rPr>
                      <w:rFonts w:hint="default"/>
                      <w:lang w:val="en-US" w:eastAsia="zh-CN"/>
                    </w:rPr>
                    <w:t>+</w:t>
                  </w:r>
                  <w:r>
                    <w:rPr>
                      <w:rFonts w:hint="eastAsia"/>
                      <w:lang w:val="en-US" w:eastAsia="zh-CN"/>
                    </w:rPr>
                    <w:t>洒水降尘</w:t>
                  </w:r>
                </w:p>
              </w:tc>
              <w:tc>
                <w:tcPr>
                  <w:tcW w:w="768" w:type="dxa"/>
                  <w:noWrap w:val="0"/>
                  <w:vAlign w:val="center"/>
                </w:tcPr>
                <w:p w14:paraId="77732E3B">
                  <w:pPr>
                    <w:pStyle w:val="48"/>
                    <w:bidi w:val="0"/>
                    <w:rPr>
                      <w:rFonts w:hint="default"/>
                      <w:lang w:val="en-US" w:eastAsia="zh-CN"/>
                    </w:rPr>
                  </w:pPr>
                  <w:r>
                    <w:rPr>
                      <w:rFonts w:hint="default"/>
                      <w:lang w:val="en-US" w:eastAsia="zh-CN"/>
                    </w:rPr>
                    <w:t>90</w:t>
                  </w:r>
                </w:p>
              </w:tc>
              <w:tc>
                <w:tcPr>
                  <w:tcW w:w="954" w:type="dxa"/>
                  <w:noWrap w:val="0"/>
                  <w:vAlign w:val="center"/>
                </w:tcPr>
                <w:p w14:paraId="7733BA27">
                  <w:pPr>
                    <w:pStyle w:val="48"/>
                    <w:bidi w:val="0"/>
                  </w:pPr>
                  <w:r>
                    <w:rPr>
                      <w:rFonts w:hint="eastAsia"/>
                      <w:lang w:val="en-US" w:eastAsia="zh-CN"/>
                    </w:rPr>
                    <w:t>系数法</w:t>
                  </w:r>
                </w:p>
              </w:tc>
              <w:tc>
                <w:tcPr>
                  <w:tcW w:w="954" w:type="dxa"/>
                  <w:noWrap w:val="0"/>
                  <w:vAlign w:val="center"/>
                </w:tcPr>
                <w:p w14:paraId="0B59E980">
                  <w:pPr>
                    <w:pStyle w:val="48"/>
                    <w:bidi w:val="0"/>
                  </w:pPr>
                  <w:r>
                    <w:rPr>
                      <w:rFonts w:hint="default"/>
                      <w:lang w:val="en-US" w:eastAsia="zh-CN"/>
                    </w:rPr>
                    <w:t>/</w:t>
                  </w:r>
                </w:p>
              </w:tc>
              <w:tc>
                <w:tcPr>
                  <w:tcW w:w="954" w:type="dxa"/>
                  <w:noWrap w:val="0"/>
                  <w:vAlign w:val="center"/>
                </w:tcPr>
                <w:p w14:paraId="74559CD0">
                  <w:pPr>
                    <w:pStyle w:val="48"/>
                    <w:bidi w:val="0"/>
                  </w:pPr>
                  <w:r>
                    <w:rPr>
                      <w:rFonts w:hint="default"/>
                      <w:lang w:val="en-US" w:eastAsia="zh-CN"/>
                    </w:rPr>
                    <w:t>/</w:t>
                  </w:r>
                </w:p>
              </w:tc>
              <w:tc>
                <w:tcPr>
                  <w:tcW w:w="958" w:type="dxa"/>
                  <w:noWrap w:val="0"/>
                  <w:vAlign w:val="center"/>
                </w:tcPr>
                <w:p w14:paraId="5D3A6B73">
                  <w:pPr>
                    <w:pStyle w:val="48"/>
                    <w:bidi w:val="0"/>
                    <w:rPr>
                      <w:rFonts w:hint="default"/>
                      <w:lang w:val="en-US" w:eastAsia="zh-CN"/>
                    </w:rPr>
                  </w:pPr>
                  <w:r>
                    <w:rPr>
                      <w:rFonts w:hint="default"/>
                      <w:lang w:val="en-US" w:eastAsia="zh-CN"/>
                    </w:rPr>
                    <w:t>0.0059</w:t>
                  </w:r>
                </w:p>
              </w:tc>
              <w:tc>
                <w:tcPr>
                  <w:tcW w:w="717" w:type="dxa"/>
                  <w:noWrap w:val="0"/>
                  <w:vAlign w:val="center"/>
                </w:tcPr>
                <w:p w14:paraId="646EBA61">
                  <w:pPr>
                    <w:pStyle w:val="48"/>
                    <w:bidi w:val="0"/>
                    <w:rPr>
                      <w:rFonts w:hint="eastAsia"/>
                      <w:lang w:val="en-US" w:eastAsia="zh-CN"/>
                    </w:rPr>
                  </w:pPr>
                  <w:r>
                    <w:rPr>
                      <w:rFonts w:hint="default"/>
                      <w:lang w:val="en-US" w:eastAsia="zh-CN"/>
                    </w:rPr>
                    <w:t>1440</w:t>
                  </w:r>
                </w:p>
              </w:tc>
            </w:tr>
          </w:tbl>
          <w:p w14:paraId="1474D876">
            <w:pPr>
              <w:pStyle w:val="46"/>
              <w:ind w:left="0" w:leftChars="0" w:firstLine="0" w:firstLineChars="0"/>
              <w:rPr>
                <w:rFonts w:hint="default" w:ascii="Times New Roman" w:hAnsi="Times New Roman" w:cs="Times New Roman"/>
                <w:color w:val="auto"/>
                <w:highlight w:val="none"/>
              </w:rPr>
            </w:pPr>
          </w:p>
        </w:tc>
      </w:tr>
    </w:tbl>
    <w:p w14:paraId="00A8EFF1">
      <w:pPr>
        <w:overflowPunct w:val="0"/>
        <w:topLinePunct/>
        <w:spacing w:line="240" w:lineRule="auto"/>
        <w:jc w:val="center"/>
        <w:rPr>
          <w:rFonts w:hint="default" w:ascii="Times New Roman" w:hAnsi="Times New Roman" w:cs="Times New Roman"/>
          <w:bCs/>
          <w:color w:val="auto"/>
          <w:highlight w:val="none"/>
        </w:rPr>
        <w:sectPr>
          <w:pgSz w:w="16840" w:h="11907" w:orient="landscape"/>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8"/>
        <w:tblW w:w="514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9"/>
        <w:gridCol w:w="7885"/>
      </w:tblGrid>
      <w:tr w14:paraId="62746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44" w:hRule="atLeast"/>
          <w:jc w:val="center"/>
        </w:trPr>
        <w:tc>
          <w:tcPr>
            <w:tcW w:w="460" w:type="pct"/>
            <w:noWrap w:val="0"/>
            <w:tcMar>
              <w:left w:w="28" w:type="dxa"/>
              <w:right w:w="28" w:type="dxa"/>
            </w:tcMar>
            <w:vAlign w:val="center"/>
          </w:tcPr>
          <w:p w14:paraId="73576DCD">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运营</w:t>
            </w:r>
          </w:p>
          <w:p w14:paraId="0684DABB">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期环</w:t>
            </w:r>
          </w:p>
          <w:p w14:paraId="35BB97C5">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境影</w:t>
            </w:r>
          </w:p>
          <w:p w14:paraId="2A737C28">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响和</w:t>
            </w:r>
          </w:p>
          <w:p w14:paraId="512BD69F">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保护</w:t>
            </w:r>
          </w:p>
          <w:p w14:paraId="182314CE">
            <w:pPr>
              <w:overflowPunct w:val="0"/>
              <w:topLinePunct/>
              <w:spacing w:line="240" w:lineRule="auto"/>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措施</w:t>
            </w:r>
          </w:p>
        </w:tc>
        <w:tc>
          <w:tcPr>
            <w:tcW w:w="4539" w:type="pct"/>
            <w:noWrap w:val="0"/>
            <w:vAlign w:val="center"/>
          </w:tcPr>
          <w:p w14:paraId="6ADC45BA">
            <w:pPr>
              <w:pStyle w:val="5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eastAsia" w:cs="Times New Roman"/>
                <w:color w:val="auto"/>
                <w:highlight w:val="none"/>
                <w:lang w:val="en-US" w:eastAsia="zh-CN"/>
              </w:rPr>
              <w:t>8</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排放口基本情况表</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3"/>
              <w:gridCol w:w="840"/>
              <w:gridCol w:w="585"/>
              <w:gridCol w:w="600"/>
              <w:gridCol w:w="795"/>
              <w:gridCol w:w="1200"/>
              <w:gridCol w:w="765"/>
              <w:gridCol w:w="1207"/>
              <w:gridCol w:w="1207"/>
            </w:tblGrid>
            <w:tr w14:paraId="4862D6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 w:type="pct"/>
                  <w:vMerge w:val="restart"/>
                  <w:noWrap w:val="0"/>
                  <w:vAlign w:val="center"/>
                </w:tcPr>
                <w:p w14:paraId="23C8808C">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548" w:type="pct"/>
                  <w:vMerge w:val="restart"/>
                  <w:noWrap w:val="0"/>
                  <w:vAlign w:val="center"/>
                </w:tcPr>
                <w:p w14:paraId="204FF53D">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编号及名称</w:t>
                  </w:r>
                </w:p>
              </w:tc>
              <w:tc>
                <w:tcPr>
                  <w:tcW w:w="381" w:type="pct"/>
                  <w:vMerge w:val="restart"/>
                  <w:noWrap w:val="0"/>
                  <w:vAlign w:val="center"/>
                </w:tcPr>
                <w:p w14:paraId="704FCE86">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类型</w:t>
                  </w:r>
                </w:p>
              </w:tc>
              <w:tc>
                <w:tcPr>
                  <w:tcW w:w="391" w:type="pct"/>
                  <w:vMerge w:val="restart"/>
                  <w:noWrap w:val="0"/>
                  <w:vAlign w:val="center"/>
                </w:tcPr>
                <w:p w14:paraId="4DA88D12">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高度（m）</w:t>
                  </w:r>
                </w:p>
              </w:tc>
              <w:tc>
                <w:tcPr>
                  <w:tcW w:w="518" w:type="pct"/>
                  <w:vMerge w:val="restart"/>
                  <w:noWrap w:val="0"/>
                  <w:vAlign w:val="center"/>
                </w:tcPr>
                <w:p w14:paraId="08A8BF9F">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排气筒内径（m）</w:t>
                  </w:r>
                </w:p>
              </w:tc>
              <w:tc>
                <w:tcPr>
                  <w:tcW w:w="783" w:type="pct"/>
                  <w:vMerge w:val="restart"/>
                  <w:noWrap w:val="0"/>
                  <w:vAlign w:val="center"/>
                </w:tcPr>
                <w:p w14:paraId="4308A97F">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tc>
              <w:tc>
                <w:tcPr>
                  <w:tcW w:w="499" w:type="pct"/>
                  <w:vMerge w:val="restart"/>
                  <w:noWrap w:val="0"/>
                  <w:vAlign w:val="center"/>
                </w:tcPr>
                <w:p w14:paraId="47501B93">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温度（℃）</w:t>
                  </w:r>
                </w:p>
              </w:tc>
              <w:tc>
                <w:tcPr>
                  <w:tcW w:w="1575" w:type="pct"/>
                  <w:gridSpan w:val="2"/>
                  <w:noWrap w:val="0"/>
                  <w:vAlign w:val="center"/>
                </w:tcPr>
                <w:p w14:paraId="00497B63">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地理坐标</w:t>
                  </w:r>
                </w:p>
              </w:tc>
            </w:tr>
            <w:tr w14:paraId="10F26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 w:type="pct"/>
                  <w:vMerge w:val="continue"/>
                  <w:noWrap w:val="0"/>
                  <w:vAlign w:val="center"/>
                </w:tcPr>
                <w:p w14:paraId="16832D2B">
                  <w:pPr>
                    <w:pStyle w:val="60"/>
                    <w:bidi w:val="0"/>
                    <w:rPr>
                      <w:rFonts w:hint="default" w:ascii="Times New Roman" w:hAnsi="Times New Roman" w:cs="Times New Roman"/>
                      <w:color w:val="auto"/>
                      <w:sz w:val="21"/>
                      <w:szCs w:val="21"/>
                      <w:highlight w:val="none"/>
                    </w:rPr>
                  </w:pPr>
                </w:p>
              </w:tc>
              <w:tc>
                <w:tcPr>
                  <w:tcW w:w="548" w:type="pct"/>
                  <w:vMerge w:val="continue"/>
                  <w:noWrap w:val="0"/>
                  <w:vAlign w:val="center"/>
                </w:tcPr>
                <w:p w14:paraId="57BD34A7">
                  <w:pPr>
                    <w:pStyle w:val="60"/>
                    <w:bidi w:val="0"/>
                    <w:rPr>
                      <w:rFonts w:hint="default" w:ascii="Times New Roman" w:hAnsi="Times New Roman" w:cs="Times New Roman"/>
                      <w:color w:val="auto"/>
                      <w:sz w:val="21"/>
                      <w:szCs w:val="21"/>
                      <w:highlight w:val="none"/>
                    </w:rPr>
                  </w:pPr>
                </w:p>
              </w:tc>
              <w:tc>
                <w:tcPr>
                  <w:tcW w:w="381" w:type="pct"/>
                  <w:vMerge w:val="continue"/>
                  <w:noWrap w:val="0"/>
                  <w:vAlign w:val="center"/>
                </w:tcPr>
                <w:p w14:paraId="2A61E27A">
                  <w:pPr>
                    <w:pStyle w:val="60"/>
                    <w:bidi w:val="0"/>
                    <w:rPr>
                      <w:rFonts w:hint="default" w:ascii="Times New Roman" w:hAnsi="Times New Roman" w:cs="Times New Roman"/>
                      <w:color w:val="auto"/>
                      <w:sz w:val="21"/>
                      <w:szCs w:val="21"/>
                      <w:highlight w:val="none"/>
                    </w:rPr>
                  </w:pPr>
                </w:p>
              </w:tc>
              <w:tc>
                <w:tcPr>
                  <w:tcW w:w="391" w:type="pct"/>
                  <w:vMerge w:val="continue"/>
                  <w:noWrap w:val="0"/>
                  <w:vAlign w:val="center"/>
                </w:tcPr>
                <w:p w14:paraId="1BCEA116">
                  <w:pPr>
                    <w:pStyle w:val="60"/>
                    <w:bidi w:val="0"/>
                    <w:rPr>
                      <w:rFonts w:hint="default" w:ascii="Times New Roman" w:hAnsi="Times New Roman" w:cs="Times New Roman"/>
                      <w:color w:val="auto"/>
                      <w:sz w:val="21"/>
                      <w:szCs w:val="21"/>
                      <w:highlight w:val="none"/>
                    </w:rPr>
                  </w:pPr>
                </w:p>
              </w:tc>
              <w:tc>
                <w:tcPr>
                  <w:tcW w:w="518" w:type="pct"/>
                  <w:vMerge w:val="continue"/>
                  <w:noWrap w:val="0"/>
                  <w:vAlign w:val="center"/>
                </w:tcPr>
                <w:p w14:paraId="45F6DFD3">
                  <w:pPr>
                    <w:pStyle w:val="60"/>
                    <w:bidi w:val="0"/>
                    <w:rPr>
                      <w:rFonts w:hint="default" w:ascii="Times New Roman" w:hAnsi="Times New Roman" w:cs="Times New Roman"/>
                      <w:color w:val="auto"/>
                      <w:sz w:val="21"/>
                      <w:szCs w:val="21"/>
                      <w:highlight w:val="none"/>
                    </w:rPr>
                  </w:pPr>
                </w:p>
              </w:tc>
              <w:tc>
                <w:tcPr>
                  <w:tcW w:w="783" w:type="pct"/>
                  <w:vMerge w:val="continue"/>
                  <w:noWrap w:val="0"/>
                  <w:vAlign w:val="center"/>
                </w:tcPr>
                <w:p w14:paraId="33DD8D9D">
                  <w:pPr>
                    <w:pStyle w:val="60"/>
                    <w:bidi w:val="0"/>
                    <w:rPr>
                      <w:rFonts w:hint="default" w:ascii="Times New Roman" w:hAnsi="Times New Roman" w:cs="Times New Roman"/>
                      <w:color w:val="auto"/>
                      <w:sz w:val="21"/>
                      <w:szCs w:val="21"/>
                      <w:highlight w:val="none"/>
                    </w:rPr>
                  </w:pPr>
                </w:p>
              </w:tc>
              <w:tc>
                <w:tcPr>
                  <w:tcW w:w="499" w:type="pct"/>
                  <w:vMerge w:val="continue"/>
                  <w:noWrap w:val="0"/>
                  <w:vAlign w:val="center"/>
                </w:tcPr>
                <w:p w14:paraId="276F572B">
                  <w:pPr>
                    <w:pStyle w:val="60"/>
                    <w:bidi w:val="0"/>
                    <w:rPr>
                      <w:rFonts w:hint="default" w:ascii="Times New Roman" w:hAnsi="Times New Roman" w:cs="Times New Roman"/>
                      <w:color w:val="auto"/>
                      <w:sz w:val="21"/>
                      <w:szCs w:val="21"/>
                      <w:highlight w:val="none"/>
                    </w:rPr>
                  </w:pPr>
                </w:p>
              </w:tc>
              <w:tc>
                <w:tcPr>
                  <w:tcW w:w="787" w:type="pct"/>
                  <w:noWrap w:val="0"/>
                  <w:vAlign w:val="center"/>
                </w:tcPr>
                <w:p w14:paraId="1C9AA5AE">
                  <w:pPr>
                    <w:pStyle w:val="60"/>
                    <w:bidi w:val="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经度</w:t>
                  </w:r>
                </w:p>
              </w:tc>
              <w:tc>
                <w:tcPr>
                  <w:tcW w:w="787" w:type="pct"/>
                  <w:noWrap w:val="0"/>
                  <w:vAlign w:val="center"/>
                </w:tcPr>
                <w:p w14:paraId="1715D48A">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纬度</w:t>
                  </w:r>
                </w:p>
              </w:tc>
            </w:tr>
            <w:tr w14:paraId="144E5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 w:type="pct"/>
                  <w:noWrap w:val="0"/>
                  <w:vAlign w:val="center"/>
                </w:tcPr>
                <w:p w14:paraId="650AC6FA">
                  <w:pPr>
                    <w:pStyle w:val="60"/>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548" w:type="pct"/>
                  <w:noWrap w:val="0"/>
                  <w:vAlign w:val="center"/>
                </w:tcPr>
                <w:p w14:paraId="3B5E8372">
                  <w:pPr>
                    <w:pStyle w:val="60"/>
                    <w:bidi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DA001</w:t>
                  </w:r>
                </w:p>
                <w:p w14:paraId="0F6469E2">
                  <w:pPr>
                    <w:pStyle w:val="60"/>
                    <w:bidi w:val="0"/>
                    <w:ind w:firstLine="0" w:firstLineChars="0"/>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热风炉烟囱</w:t>
                  </w:r>
                </w:p>
              </w:tc>
              <w:tc>
                <w:tcPr>
                  <w:tcW w:w="381" w:type="pct"/>
                  <w:noWrap w:val="0"/>
                  <w:vAlign w:val="center"/>
                </w:tcPr>
                <w:p w14:paraId="6444CA25">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一般排放口</w:t>
                  </w:r>
                </w:p>
              </w:tc>
              <w:tc>
                <w:tcPr>
                  <w:tcW w:w="391" w:type="pct"/>
                  <w:noWrap w:val="0"/>
                  <w:vAlign w:val="center"/>
                </w:tcPr>
                <w:p w14:paraId="09E46FBF">
                  <w:pPr>
                    <w:pStyle w:val="60"/>
                    <w:bidi w:val="0"/>
                    <w:ind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518" w:type="pct"/>
                  <w:noWrap w:val="0"/>
                  <w:vAlign w:val="center"/>
                </w:tcPr>
                <w:p w14:paraId="013B8BE0">
                  <w:pPr>
                    <w:pStyle w:val="60"/>
                    <w:bidi w:val="0"/>
                    <w:ind w:firstLine="0" w:firstLineChars="0"/>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0.7</w:t>
                  </w:r>
                </w:p>
              </w:tc>
              <w:tc>
                <w:tcPr>
                  <w:tcW w:w="783" w:type="pct"/>
                  <w:noWrap w:val="0"/>
                  <w:vAlign w:val="center"/>
                </w:tcPr>
                <w:p w14:paraId="3C4E3322">
                  <w:pPr>
                    <w:pStyle w:val="60"/>
                    <w:bidi w:val="0"/>
                    <w:ind w:firstLine="0" w:firstLineChars="0"/>
                    <w:rPr>
                      <w:rFonts w:hint="default" w:ascii="Times New Roman" w:hAnsi="Times New Roman" w:cs="Times New Roman"/>
                      <w:color w:val="auto"/>
                      <w:sz w:val="21"/>
                      <w:szCs w:val="21"/>
                      <w:highlight w:val="none"/>
                      <w:lang w:val="en-US"/>
                    </w:rPr>
                  </w:pPr>
                  <w:r>
                    <w:rPr>
                      <w:color w:val="auto"/>
                      <w:sz w:val="21"/>
                      <w:szCs w:val="21"/>
                      <w:highlight w:val="none"/>
                    </w:rPr>
                    <w:t>颗粒物</w:t>
                  </w:r>
                  <w:r>
                    <w:rPr>
                      <w:rFonts w:hint="eastAsia"/>
                      <w:color w:val="auto"/>
                      <w:sz w:val="21"/>
                      <w:szCs w:val="21"/>
                      <w:highlight w:val="none"/>
                      <w:lang w:eastAsia="zh-CN"/>
                    </w:rPr>
                    <w:t>、</w:t>
                  </w:r>
                  <w:r>
                    <w:rPr>
                      <w:rFonts w:hint="eastAsia"/>
                      <w:color w:val="auto"/>
                      <w:sz w:val="21"/>
                      <w:szCs w:val="21"/>
                      <w:highlight w:val="none"/>
                      <w:lang w:val="en-US" w:eastAsia="zh-CN"/>
                    </w:rPr>
                    <w:t>二氧化硫、氮氧化物、烟气黑度</w:t>
                  </w:r>
                </w:p>
              </w:tc>
              <w:tc>
                <w:tcPr>
                  <w:tcW w:w="499" w:type="pct"/>
                  <w:noWrap w:val="0"/>
                  <w:vAlign w:val="center"/>
                </w:tcPr>
                <w:p w14:paraId="20EFC73D">
                  <w:pPr>
                    <w:pStyle w:val="60"/>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w:t>
                  </w:r>
                </w:p>
              </w:tc>
              <w:tc>
                <w:tcPr>
                  <w:tcW w:w="787" w:type="pct"/>
                  <w:noWrap w:val="0"/>
                  <w:vAlign w:val="center"/>
                </w:tcPr>
                <w:p w14:paraId="621C7426">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126.889732</w:t>
                  </w:r>
                  <w:r>
                    <w:rPr>
                      <w:rFonts w:hint="default" w:ascii="Times New Roman" w:hAnsi="Times New Roman" w:cs="Times New Roman"/>
                      <w:color w:val="auto"/>
                      <w:sz w:val="21"/>
                      <w:szCs w:val="21"/>
                      <w:highlight w:val="none"/>
                      <w:lang w:val="en-US" w:eastAsia="zh-CN"/>
                    </w:rPr>
                    <w:t>°</w:t>
                  </w:r>
                </w:p>
              </w:tc>
              <w:tc>
                <w:tcPr>
                  <w:tcW w:w="787" w:type="pct"/>
                  <w:noWrap w:val="0"/>
                  <w:vAlign w:val="center"/>
                </w:tcPr>
                <w:p w14:paraId="272FA7DC">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51.144996</w:t>
                  </w:r>
                  <w:r>
                    <w:rPr>
                      <w:rFonts w:hint="default" w:ascii="Times New Roman" w:hAnsi="Times New Roman" w:cs="Times New Roman"/>
                      <w:color w:val="auto"/>
                      <w:sz w:val="21"/>
                      <w:szCs w:val="21"/>
                      <w:highlight w:val="none"/>
                      <w:lang w:val="en-US" w:eastAsia="zh-CN"/>
                    </w:rPr>
                    <w:t>°</w:t>
                  </w:r>
                </w:p>
              </w:tc>
            </w:tr>
          </w:tbl>
          <w:p w14:paraId="337F24DE">
            <w:pPr>
              <w:pStyle w:val="46"/>
              <w:keepNext w:val="0"/>
              <w:keepLines w:val="0"/>
              <w:pageBreakBefore w:val="0"/>
              <w:widowControl w:val="0"/>
              <w:kinsoku/>
              <w:wordWrap w:val="0"/>
              <w:overflowPunct/>
              <w:topLinePunct/>
              <w:autoSpaceDE/>
              <w:autoSpaceDN/>
              <w:bidi w:val="0"/>
              <w:adjustRightInd/>
              <w:snapToGrid/>
              <w:spacing w:before="157" w:beforeLines="50"/>
              <w:ind w:firstLine="482"/>
              <w:textAlignment w:val="auto"/>
              <w:rPr>
                <w:b/>
                <w:bCs/>
                <w:color w:val="auto"/>
                <w:highlight w:val="none"/>
              </w:rPr>
            </w:pPr>
            <w:r>
              <w:rPr>
                <w:rFonts w:hint="eastAsia"/>
                <w:b/>
                <w:bCs/>
                <w:color w:val="auto"/>
                <w:highlight w:val="none"/>
                <w:lang w:eastAsia="zh-CN"/>
              </w:rPr>
              <w:t>3.</w:t>
            </w:r>
            <w:r>
              <w:rPr>
                <w:b/>
                <w:bCs/>
                <w:color w:val="auto"/>
                <w:highlight w:val="none"/>
              </w:rPr>
              <w:t>非正常工况分析</w:t>
            </w:r>
          </w:p>
          <w:p w14:paraId="46C03324">
            <w:pPr>
              <w:pStyle w:val="46"/>
              <w:ind w:firstLine="480"/>
              <w:rPr>
                <w:color w:val="auto"/>
                <w:highlight w:val="none"/>
              </w:rPr>
            </w:pPr>
            <w:r>
              <w:rPr>
                <w:color w:val="auto"/>
                <w:highlight w:val="none"/>
              </w:rPr>
              <w:t>本项目非正常工况为</w:t>
            </w:r>
            <w:r>
              <w:rPr>
                <w:rFonts w:hint="eastAsia"/>
                <w:color w:val="auto"/>
                <w:highlight w:val="none"/>
                <w:lang w:val="en-US" w:eastAsia="zh-CN"/>
              </w:rPr>
              <w:t>布袋</w:t>
            </w:r>
            <w:r>
              <w:rPr>
                <w:color w:val="auto"/>
                <w:highlight w:val="none"/>
              </w:rPr>
              <w:t>除尘器发生故障，污染物排放控制措施达不到应有效果，事故状态各污染物去除效率按90%计。本项目非正常工况排放量核算表详见表4-</w:t>
            </w:r>
            <w:r>
              <w:rPr>
                <w:rFonts w:hint="eastAsia"/>
                <w:color w:val="auto"/>
                <w:highlight w:val="none"/>
                <w:lang w:val="en-US" w:eastAsia="zh-CN"/>
              </w:rPr>
              <w:t>9</w:t>
            </w:r>
            <w:r>
              <w:rPr>
                <w:color w:val="auto"/>
                <w:highlight w:val="none"/>
              </w:rPr>
              <w:t>。</w:t>
            </w:r>
          </w:p>
          <w:p w14:paraId="2E5A518D">
            <w:pPr>
              <w:pStyle w:val="50"/>
              <w:rPr>
                <w:rFonts w:hint="default"/>
                <w:color w:val="auto"/>
                <w:highlight w:val="none"/>
              </w:rPr>
            </w:pPr>
            <w:r>
              <w:rPr>
                <w:rFonts w:hint="default"/>
                <w:color w:val="auto"/>
                <w:highlight w:val="none"/>
              </w:rPr>
              <w:t>表4-</w:t>
            </w:r>
            <w:r>
              <w:rPr>
                <w:rFonts w:hint="eastAsia"/>
                <w:color w:val="auto"/>
                <w:highlight w:val="none"/>
                <w:lang w:val="en-US" w:eastAsia="zh-CN"/>
              </w:rPr>
              <w:t>9</w:t>
            </w:r>
            <w:r>
              <w:rPr>
                <w:color w:val="auto"/>
                <w:highlight w:val="none"/>
              </w:rPr>
              <w:t xml:space="preserve">   </w:t>
            </w:r>
            <w:r>
              <w:rPr>
                <w:rFonts w:hint="default"/>
                <w:color w:val="auto"/>
                <w:highlight w:val="none"/>
              </w:rPr>
              <w:t>污染源非正常排放量核算表</w:t>
            </w:r>
          </w:p>
          <w:tbl>
            <w:tblPr>
              <w:tblStyle w:val="38"/>
              <w:tblW w:w="4994"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72"/>
              <w:gridCol w:w="686"/>
              <w:gridCol w:w="932"/>
              <w:gridCol w:w="616"/>
              <w:gridCol w:w="1237"/>
              <w:gridCol w:w="1183"/>
              <w:gridCol w:w="915"/>
              <w:gridCol w:w="862"/>
              <w:gridCol w:w="658"/>
            </w:tblGrid>
            <w:tr w14:paraId="679043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373" w:type="pct"/>
                  <w:noWrap w:val="0"/>
                  <w:vAlign w:val="center"/>
                </w:tcPr>
                <w:p w14:paraId="39951D9D">
                  <w:pPr>
                    <w:pStyle w:val="60"/>
                    <w:rPr>
                      <w:color w:val="auto"/>
                      <w:highlight w:val="none"/>
                    </w:rPr>
                  </w:pPr>
                  <w:r>
                    <w:rPr>
                      <w:color w:val="auto"/>
                      <w:highlight w:val="none"/>
                    </w:rPr>
                    <w:t>序号</w:t>
                  </w:r>
                </w:p>
              </w:tc>
              <w:tc>
                <w:tcPr>
                  <w:tcW w:w="447" w:type="pct"/>
                  <w:noWrap w:val="0"/>
                  <w:vAlign w:val="center"/>
                </w:tcPr>
                <w:p w14:paraId="2BE5E57B">
                  <w:pPr>
                    <w:pStyle w:val="60"/>
                    <w:rPr>
                      <w:color w:val="auto"/>
                      <w:highlight w:val="none"/>
                    </w:rPr>
                  </w:pPr>
                  <w:r>
                    <w:rPr>
                      <w:color w:val="auto"/>
                      <w:highlight w:val="none"/>
                    </w:rPr>
                    <w:t>污染源</w:t>
                  </w:r>
                </w:p>
              </w:tc>
              <w:tc>
                <w:tcPr>
                  <w:tcW w:w="608" w:type="pct"/>
                  <w:noWrap w:val="0"/>
                  <w:vAlign w:val="center"/>
                </w:tcPr>
                <w:p w14:paraId="3761EE56">
                  <w:pPr>
                    <w:pStyle w:val="60"/>
                    <w:rPr>
                      <w:color w:val="auto"/>
                      <w:highlight w:val="none"/>
                    </w:rPr>
                  </w:pPr>
                  <w:r>
                    <w:rPr>
                      <w:color w:val="auto"/>
                      <w:highlight w:val="none"/>
                    </w:rPr>
                    <w:t>非正常排放原因</w:t>
                  </w:r>
                </w:p>
              </w:tc>
              <w:tc>
                <w:tcPr>
                  <w:tcW w:w="402" w:type="pct"/>
                  <w:noWrap w:val="0"/>
                  <w:vAlign w:val="center"/>
                </w:tcPr>
                <w:p w14:paraId="1E8B7B07">
                  <w:pPr>
                    <w:pStyle w:val="60"/>
                    <w:rPr>
                      <w:color w:val="auto"/>
                      <w:highlight w:val="none"/>
                    </w:rPr>
                  </w:pPr>
                  <w:r>
                    <w:rPr>
                      <w:color w:val="auto"/>
                      <w:highlight w:val="none"/>
                    </w:rPr>
                    <w:t>污染物</w:t>
                  </w:r>
                </w:p>
              </w:tc>
              <w:tc>
                <w:tcPr>
                  <w:tcW w:w="807" w:type="pct"/>
                  <w:noWrap w:val="0"/>
                  <w:vAlign w:val="center"/>
                </w:tcPr>
                <w:p w14:paraId="1D938D77">
                  <w:pPr>
                    <w:pStyle w:val="60"/>
                    <w:rPr>
                      <w:rFonts w:hint="eastAsia" w:eastAsia="宋体"/>
                      <w:color w:val="auto"/>
                      <w:highlight w:val="none"/>
                      <w:lang w:eastAsia="zh-CN"/>
                    </w:rPr>
                  </w:pPr>
                  <w:r>
                    <w:rPr>
                      <w:color w:val="auto"/>
                      <w:highlight w:val="none"/>
                    </w:rPr>
                    <w:t>非正常排放浓度/mg/</w:t>
                  </w:r>
                  <w:r>
                    <w:rPr>
                      <w:rFonts w:hint="eastAsia"/>
                      <w:color w:val="auto"/>
                      <w:highlight w:val="none"/>
                      <w:lang w:eastAsia="zh-CN"/>
                    </w:rPr>
                    <w:t>m</w:t>
                  </w:r>
                  <w:r>
                    <w:rPr>
                      <w:rFonts w:hint="eastAsia"/>
                      <w:color w:val="auto"/>
                      <w:highlight w:val="none"/>
                      <w:vertAlign w:val="superscript"/>
                      <w:lang w:eastAsia="zh-CN"/>
                    </w:rPr>
                    <w:t>3</w:t>
                  </w:r>
                </w:p>
              </w:tc>
              <w:tc>
                <w:tcPr>
                  <w:tcW w:w="772" w:type="pct"/>
                  <w:noWrap w:val="0"/>
                  <w:vAlign w:val="center"/>
                </w:tcPr>
                <w:p w14:paraId="37E24C7E">
                  <w:pPr>
                    <w:pStyle w:val="60"/>
                    <w:rPr>
                      <w:color w:val="auto"/>
                      <w:highlight w:val="none"/>
                    </w:rPr>
                  </w:pPr>
                  <w:r>
                    <w:rPr>
                      <w:color w:val="auto"/>
                      <w:highlight w:val="none"/>
                    </w:rPr>
                    <w:t>非正常排放速率/kg/h</w:t>
                  </w:r>
                </w:p>
              </w:tc>
              <w:tc>
                <w:tcPr>
                  <w:tcW w:w="597" w:type="pct"/>
                  <w:noWrap w:val="0"/>
                  <w:vAlign w:val="center"/>
                </w:tcPr>
                <w:p w14:paraId="602125C3">
                  <w:pPr>
                    <w:pStyle w:val="60"/>
                    <w:rPr>
                      <w:color w:val="auto"/>
                      <w:highlight w:val="none"/>
                    </w:rPr>
                  </w:pPr>
                  <w:r>
                    <w:rPr>
                      <w:color w:val="auto"/>
                      <w:highlight w:val="none"/>
                    </w:rPr>
                    <w:t>单次持续时间/h</w:t>
                  </w:r>
                </w:p>
              </w:tc>
              <w:tc>
                <w:tcPr>
                  <w:tcW w:w="562" w:type="pct"/>
                  <w:noWrap w:val="0"/>
                  <w:vAlign w:val="center"/>
                </w:tcPr>
                <w:p w14:paraId="55CBA6ED">
                  <w:pPr>
                    <w:pStyle w:val="60"/>
                    <w:rPr>
                      <w:color w:val="auto"/>
                      <w:highlight w:val="none"/>
                    </w:rPr>
                  </w:pPr>
                  <w:r>
                    <w:rPr>
                      <w:color w:val="auto"/>
                      <w:highlight w:val="none"/>
                    </w:rPr>
                    <w:t>年发生频次/次</w:t>
                  </w:r>
                </w:p>
              </w:tc>
              <w:tc>
                <w:tcPr>
                  <w:tcW w:w="429" w:type="pct"/>
                  <w:noWrap w:val="0"/>
                  <w:vAlign w:val="center"/>
                </w:tcPr>
                <w:p w14:paraId="5D300EB0">
                  <w:pPr>
                    <w:pStyle w:val="60"/>
                    <w:rPr>
                      <w:color w:val="auto"/>
                      <w:highlight w:val="none"/>
                    </w:rPr>
                  </w:pPr>
                  <w:r>
                    <w:rPr>
                      <w:color w:val="auto"/>
                      <w:highlight w:val="none"/>
                    </w:rPr>
                    <w:t>应对措施</w:t>
                  </w:r>
                </w:p>
              </w:tc>
            </w:tr>
            <w:tr w14:paraId="31BBF0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373" w:type="pct"/>
                  <w:noWrap w:val="0"/>
                  <w:vAlign w:val="center"/>
                </w:tcPr>
                <w:p w14:paraId="72628B63">
                  <w:pPr>
                    <w:pStyle w:val="60"/>
                    <w:rPr>
                      <w:rFonts w:hint="default" w:eastAsia="宋体"/>
                      <w:color w:val="auto"/>
                      <w:highlight w:val="none"/>
                      <w:lang w:val="en-US" w:eastAsia="zh-CN"/>
                    </w:rPr>
                  </w:pPr>
                  <w:r>
                    <w:rPr>
                      <w:rFonts w:hint="eastAsia"/>
                      <w:color w:val="auto"/>
                      <w:highlight w:val="none"/>
                      <w:lang w:val="en-US" w:eastAsia="zh-CN"/>
                    </w:rPr>
                    <w:t>DA001</w:t>
                  </w:r>
                </w:p>
              </w:tc>
              <w:tc>
                <w:tcPr>
                  <w:tcW w:w="447" w:type="pct"/>
                  <w:noWrap w:val="0"/>
                  <w:vAlign w:val="center"/>
                </w:tcPr>
                <w:p w14:paraId="7985F418">
                  <w:pPr>
                    <w:pStyle w:val="60"/>
                    <w:bidi w:val="0"/>
                    <w:rPr>
                      <w:rFonts w:hint="eastAsia"/>
                      <w:color w:val="auto"/>
                      <w:highlight w:val="none"/>
                      <w:lang w:val="en-US" w:eastAsia="zh-CN"/>
                    </w:rPr>
                  </w:pPr>
                  <w:r>
                    <w:rPr>
                      <w:rFonts w:hint="eastAsia"/>
                      <w:color w:val="auto"/>
                      <w:highlight w:val="none"/>
                      <w:lang w:val="en-US" w:eastAsia="zh-CN"/>
                    </w:rPr>
                    <w:t>热风炉</w:t>
                  </w:r>
                </w:p>
              </w:tc>
              <w:tc>
                <w:tcPr>
                  <w:tcW w:w="608" w:type="pct"/>
                  <w:noWrap w:val="0"/>
                  <w:vAlign w:val="center"/>
                </w:tcPr>
                <w:p w14:paraId="7FA01303">
                  <w:pPr>
                    <w:pStyle w:val="60"/>
                    <w:rPr>
                      <w:color w:val="auto"/>
                      <w:highlight w:val="none"/>
                    </w:rPr>
                  </w:pPr>
                  <w:r>
                    <w:rPr>
                      <w:color w:val="auto"/>
                      <w:highlight w:val="none"/>
                    </w:rPr>
                    <w:t>除尘器发生故障</w:t>
                  </w:r>
                </w:p>
              </w:tc>
              <w:tc>
                <w:tcPr>
                  <w:tcW w:w="402" w:type="pct"/>
                  <w:noWrap w:val="0"/>
                  <w:vAlign w:val="center"/>
                </w:tcPr>
                <w:p w14:paraId="6C7BF746">
                  <w:pPr>
                    <w:pStyle w:val="60"/>
                    <w:rPr>
                      <w:color w:val="auto"/>
                      <w:highlight w:val="none"/>
                    </w:rPr>
                  </w:pPr>
                  <w:r>
                    <w:rPr>
                      <w:color w:val="auto"/>
                      <w:highlight w:val="none"/>
                    </w:rPr>
                    <w:t>颗粒物</w:t>
                  </w:r>
                </w:p>
              </w:tc>
              <w:tc>
                <w:tcPr>
                  <w:tcW w:w="807" w:type="pct"/>
                  <w:noWrap w:val="0"/>
                  <w:vAlign w:val="center"/>
                </w:tcPr>
                <w:p w14:paraId="07C6A018">
                  <w:pPr>
                    <w:pStyle w:val="60"/>
                    <w:bidi w:val="0"/>
                    <w:rPr>
                      <w:rFonts w:hint="default"/>
                      <w:color w:val="auto"/>
                      <w:highlight w:val="none"/>
                      <w:lang w:val="en-US" w:eastAsia="zh-CN"/>
                    </w:rPr>
                  </w:pPr>
                  <w:r>
                    <w:rPr>
                      <w:rFonts w:hint="eastAsia"/>
                      <w:color w:val="auto"/>
                      <w:highlight w:val="none"/>
                      <w:lang w:val="en-US" w:eastAsia="zh-CN"/>
                    </w:rPr>
                    <w:t>24.41</w:t>
                  </w:r>
                </w:p>
              </w:tc>
              <w:tc>
                <w:tcPr>
                  <w:tcW w:w="772" w:type="pct"/>
                  <w:noWrap w:val="0"/>
                  <w:vAlign w:val="center"/>
                </w:tcPr>
                <w:p w14:paraId="4212CCEA">
                  <w:pPr>
                    <w:pStyle w:val="60"/>
                    <w:bidi w:val="0"/>
                    <w:rPr>
                      <w:rFonts w:hint="default"/>
                      <w:color w:val="auto"/>
                      <w:highlight w:val="none"/>
                      <w:lang w:val="en-US" w:eastAsia="zh-CN"/>
                    </w:rPr>
                  </w:pPr>
                  <w:r>
                    <w:rPr>
                      <w:rFonts w:hint="eastAsia"/>
                      <w:color w:val="auto"/>
                      <w:highlight w:val="none"/>
                      <w:lang w:val="en-US" w:eastAsia="zh-CN"/>
                    </w:rPr>
                    <w:t>0.4064</w:t>
                  </w:r>
                </w:p>
              </w:tc>
              <w:tc>
                <w:tcPr>
                  <w:tcW w:w="597" w:type="pct"/>
                  <w:noWrap w:val="0"/>
                  <w:vAlign w:val="center"/>
                </w:tcPr>
                <w:p w14:paraId="73D9C9B6">
                  <w:pPr>
                    <w:pStyle w:val="60"/>
                    <w:rPr>
                      <w:rFonts w:hint="default" w:eastAsia="宋体"/>
                      <w:color w:val="auto"/>
                      <w:highlight w:val="none"/>
                      <w:lang w:val="en-US" w:eastAsia="zh-CN"/>
                    </w:rPr>
                  </w:pPr>
                  <w:r>
                    <w:rPr>
                      <w:rFonts w:hint="eastAsia"/>
                      <w:color w:val="auto"/>
                      <w:highlight w:val="none"/>
                      <w:lang w:val="en-US" w:eastAsia="zh-CN"/>
                    </w:rPr>
                    <w:t>0.5</w:t>
                  </w:r>
                </w:p>
              </w:tc>
              <w:tc>
                <w:tcPr>
                  <w:tcW w:w="562" w:type="pct"/>
                  <w:noWrap w:val="0"/>
                  <w:vAlign w:val="center"/>
                </w:tcPr>
                <w:p w14:paraId="6ECEA5DB">
                  <w:pPr>
                    <w:pStyle w:val="60"/>
                    <w:rPr>
                      <w:rFonts w:hint="eastAsia" w:eastAsia="宋体"/>
                      <w:color w:val="auto"/>
                      <w:highlight w:val="none"/>
                      <w:lang w:val="en-US" w:eastAsia="zh-CN"/>
                    </w:rPr>
                  </w:pPr>
                  <w:r>
                    <w:rPr>
                      <w:rFonts w:hint="eastAsia"/>
                      <w:color w:val="auto"/>
                      <w:highlight w:val="none"/>
                      <w:lang w:val="en-US" w:eastAsia="zh-CN"/>
                    </w:rPr>
                    <w:t>1</w:t>
                  </w:r>
                </w:p>
              </w:tc>
              <w:tc>
                <w:tcPr>
                  <w:tcW w:w="429" w:type="pct"/>
                  <w:noWrap w:val="0"/>
                  <w:vAlign w:val="center"/>
                </w:tcPr>
                <w:p w14:paraId="0CC7351B">
                  <w:pPr>
                    <w:pStyle w:val="60"/>
                    <w:rPr>
                      <w:color w:val="auto"/>
                      <w:highlight w:val="none"/>
                    </w:rPr>
                  </w:pPr>
                  <w:r>
                    <w:rPr>
                      <w:color w:val="auto"/>
                      <w:highlight w:val="none"/>
                    </w:rPr>
                    <w:t>停产检修</w:t>
                  </w:r>
                </w:p>
              </w:tc>
            </w:tr>
          </w:tbl>
          <w:p w14:paraId="7CC4334F">
            <w:pPr>
              <w:pStyle w:val="52"/>
              <w:spacing w:before="120"/>
              <w:ind w:firstLine="482"/>
              <w:rPr>
                <w:rFonts w:hint="default"/>
                <w:b/>
                <w:bCs/>
                <w:color w:val="auto"/>
                <w:highlight w:val="none"/>
              </w:rPr>
            </w:pPr>
            <w:r>
              <w:rPr>
                <w:rFonts w:hint="eastAsia"/>
                <w:b/>
                <w:bCs/>
                <w:color w:val="auto"/>
                <w:highlight w:val="none"/>
                <w:lang w:eastAsia="zh-CN"/>
              </w:rPr>
              <w:t>4.</w:t>
            </w:r>
            <w:r>
              <w:rPr>
                <w:rFonts w:hint="default"/>
                <w:b/>
                <w:bCs/>
                <w:color w:val="auto"/>
                <w:highlight w:val="none"/>
              </w:rPr>
              <w:t>环境影响和保护措施</w:t>
            </w:r>
          </w:p>
          <w:p w14:paraId="1BF6D085">
            <w:pPr>
              <w:pStyle w:val="46"/>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热风炉</w:t>
            </w:r>
            <w:r>
              <w:rPr>
                <w:rFonts w:hint="eastAsia"/>
                <w:color w:val="auto"/>
                <w:highlight w:val="none"/>
                <w:lang w:eastAsia="zh-CN"/>
              </w:rPr>
              <w:t>布袋除尘器</w:t>
            </w:r>
            <w:r>
              <w:rPr>
                <w:color w:val="auto"/>
                <w:highlight w:val="none"/>
              </w:rPr>
              <w:t>可行性论证</w:t>
            </w:r>
          </w:p>
          <w:p w14:paraId="28B35115">
            <w:pPr>
              <w:pStyle w:val="46"/>
              <w:keepNext w:val="0"/>
              <w:keepLines w:val="0"/>
              <w:pageBreakBefore w:val="0"/>
              <w:widowControl w:val="0"/>
              <w:kinsoku/>
              <w:wordWrap w:val="0"/>
              <w:overflowPunct/>
              <w:topLinePunct/>
              <w:autoSpaceDE/>
              <w:autoSpaceDN/>
              <w:bidi w:val="0"/>
              <w:adjustRightInd/>
              <w:snapToGrid/>
              <w:ind w:firstLine="480"/>
              <w:textAlignment w:val="center"/>
              <w:rPr>
                <w:color w:val="auto"/>
                <w:highlight w:val="none"/>
              </w:rPr>
            </w:pPr>
            <w:r>
              <w:rPr>
                <w:rFonts w:hint="eastAsia"/>
                <w:color w:val="auto"/>
                <w:highlight w:val="none"/>
              </w:rPr>
              <w:t>根据《排污许可证申请与核发技术规范 工业炉窑》（</w:t>
            </w:r>
            <w:r>
              <w:rPr>
                <w:rFonts w:hint="eastAsia"/>
                <w:color w:val="auto"/>
                <w:highlight w:val="none"/>
                <w:lang w:eastAsia="zh-CN"/>
              </w:rPr>
              <w:t>HJ 1121</w:t>
            </w:r>
            <w:r>
              <w:rPr>
                <w:rFonts w:hint="eastAsia"/>
                <w:color w:val="auto"/>
                <w:highlight w:val="none"/>
              </w:rPr>
              <w:t>-2020）附录A，主要工艺为干燥的炉窑的除尘可行性技术为静电除尘和袋式除尘，这两种除尘方案的性能特点比较</w:t>
            </w:r>
            <w:r>
              <w:rPr>
                <w:rFonts w:hint="eastAsia"/>
                <w:color w:val="auto"/>
                <w:highlight w:val="none"/>
                <w:lang w:eastAsia="zh-CN"/>
              </w:rPr>
              <w:t>，</w:t>
            </w:r>
            <w:r>
              <w:rPr>
                <w:rFonts w:hint="eastAsia"/>
                <w:color w:val="auto"/>
                <w:highlight w:val="none"/>
              </w:rPr>
              <w:t>见</w:t>
            </w:r>
            <w:r>
              <w:rPr>
                <w:rFonts w:hint="eastAsia"/>
                <w:color w:val="auto"/>
                <w:highlight w:val="none"/>
                <w:lang w:val="en-US" w:eastAsia="zh-CN"/>
              </w:rPr>
              <w:t>表4-10</w:t>
            </w:r>
            <w:r>
              <w:rPr>
                <w:rFonts w:hint="eastAsia"/>
                <w:color w:val="auto"/>
                <w:highlight w:val="none"/>
              </w:rPr>
              <w:t>。</w:t>
            </w:r>
          </w:p>
          <w:p w14:paraId="4E60E9AC">
            <w:pPr>
              <w:pStyle w:val="55"/>
              <w:bidi w:val="0"/>
              <w:rPr>
                <w:color w:val="auto"/>
                <w:highlight w:val="none"/>
              </w:rPr>
            </w:pPr>
            <w:r>
              <w:rPr>
                <w:color w:val="auto"/>
                <w:highlight w:val="none"/>
              </w:rPr>
              <w:t>表</w:t>
            </w:r>
            <w:r>
              <w:rPr>
                <w:rFonts w:hint="eastAsia"/>
                <w:color w:val="auto"/>
                <w:highlight w:val="none"/>
                <w:lang w:val="en-US" w:eastAsia="zh-CN"/>
              </w:rPr>
              <w:t>4-10</w:t>
            </w:r>
            <w:r>
              <w:rPr>
                <w:color w:val="auto"/>
                <w:highlight w:val="none"/>
              </w:rPr>
              <w:t xml:space="preserve">   不同除尘方案的性能特点比较</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48"/>
              <w:gridCol w:w="765"/>
              <w:gridCol w:w="764"/>
              <w:gridCol w:w="765"/>
              <w:gridCol w:w="637"/>
              <w:gridCol w:w="1148"/>
              <w:gridCol w:w="1322"/>
            </w:tblGrid>
            <w:tr w14:paraId="0A36AF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Align w:val="center"/>
                </w:tcPr>
                <w:p w14:paraId="177324FD">
                  <w:pPr>
                    <w:pStyle w:val="56"/>
                    <w:bidi w:val="0"/>
                    <w:rPr>
                      <w:color w:val="auto"/>
                      <w:highlight w:val="none"/>
                    </w:rPr>
                  </w:pPr>
                  <w:r>
                    <w:rPr>
                      <w:color w:val="auto"/>
                      <w:highlight w:val="none"/>
                    </w:rPr>
                    <w:t>除尘器</w:t>
                  </w:r>
                </w:p>
                <w:p w14:paraId="18436F2C">
                  <w:pPr>
                    <w:pStyle w:val="56"/>
                    <w:bidi w:val="0"/>
                    <w:rPr>
                      <w:color w:val="auto"/>
                      <w:highlight w:val="none"/>
                    </w:rPr>
                  </w:pPr>
                  <w:r>
                    <w:rPr>
                      <w:color w:val="auto"/>
                      <w:highlight w:val="none"/>
                    </w:rPr>
                    <w:t>类别</w:t>
                  </w:r>
                </w:p>
              </w:tc>
              <w:tc>
                <w:tcPr>
                  <w:tcW w:w="748" w:type="pct"/>
                  <w:vAlign w:val="center"/>
                </w:tcPr>
                <w:p w14:paraId="3ECD29E6">
                  <w:pPr>
                    <w:pStyle w:val="56"/>
                    <w:bidi w:val="0"/>
                    <w:rPr>
                      <w:color w:val="auto"/>
                      <w:highlight w:val="none"/>
                    </w:rPr>
                  </w:pPr>
                  <w:r>
                    <w:rPr>
                      <w:color w:val="auto"/>
                      <w:highlight w:val="none"/>
                    </w:rPr>
                    <w:t>除尘效率（%）</w:t>
                  </w:r>
                </w:p>
              </w:tc>
              <w:tc>
                <w:tcPr>
                  <w:tcW w:w="499" w:type="pct"/>
                  <w:vAlign w:val="center"/>
                </w:tcPr>
                <w:p w14:paraId="59433CFB">
                  <w:pPr>
                    <w:pStyle w:val="56"/>
                    <w:bidi w:val="0"/>
                    <w:rPr>
                      <w:color w:val="auto"/>
                      <w:highlight w:val="none"/>
                    </w:rPr>
                  </w:pPr>
                  <w:r>
                    <w:rPr>
                      <w:color w:val="auto"/>
                      <w:highlight w:val="none"/>
                    </w:rPr>
                    <w:t>设备结构</w:t>
                  </w:r>
                </w:p>
              </w:tc>
              <w:tc>
                <w:tcPr>
                  <w:tcW w:w="498" w:type="pct"/>
                  <w:vAlign w:val="center"/>
                </w:tcPr>
                <w:p w14:paraId="034A9508">
                  <w:pPr>
                    <w:pStyle w:val="56"/>
                    <w:bidi w:val="0"/>
                    <w:rPr>
                      <w:color w:val="auto"/>
                      <w:highlight w:val="none"/>
                    </w:rPr>
                  </w:pPr>
                  <w:r>
                    <w:rPr>
                      <w:color w:val="auto"/>
                      <w:highlight w:val="none"/>
                    </w:rPr>
                    <w:t>一次投资</w:t>
                  </w:r>
                </w:p>
              </w:tc>
              <w:tc>
                <w:tcPr>
                  <w:tcW w:w="499" w:type="pct"/>
                  <w:vAlign w:val="center"/>
                </w:tcPr>
                <w:p w14:paraId="2B1D7B3C">
                  <w:pPr>
                    <w:pStyle w:val="56"/>
                    <w:bidi w:val="0"/>
                    <w:rPr>
                      <w:color w:val="auto"/>
                      <w:highlight w:val="none"/>
                    </w:rPr>
                  </w:pPr>
                  <w:r>
                    <w:rPr>
                      <w:color w:val="auto"/>
                      <w:highlight w:val="none"/>
                    </w:rPr>
                    <w:t>运行费用</w:t>
                  </w:r>
                </w:p>
              </w:tc>
              <w:tc>
                <w:tcPr>
                  <w:tcW w:w="415" w:type="pct"/>
                  <w:vAlign w:val="center"/>
                </w:tcPr>
                <w:p w14:paraId="67544CDF">
                  <w:pPr>
                    <w:pStyle w:val="56"/>
                    <w:bidi w:val="0"/>
                    <w:rPr>
                      <w:color w:val="auto"/>
                      <w:highlight w:val="none"/>
                    </w:rPr>
                  </w:pPr>
                  <w:r>
                    <w:rPr>
                      <w:color w:val="auto"/>
                      <w:highlight w:val="none"/>
                    </w:rPr>
                    <w:t>操作维护</w:t>
                  </w:r>
                </w:p>
              </w:tc>
              <w:tc>
                <w:tcPr>
                  <w:tcW w:w="748" w:type="pct"/>
                  <w:vAlign w:val="center"/>
                </w:tcPr>
                <w:p w14:paraId="289D46F4">
                  <w:pPr>
                    <w:pStyle w:val="56"/>
                    <w:bidi w:val="0"/>
                    <w:rPr>
                      <w:color w:val="auto"/>
                      <w:highlight w:val="none"/>
                    </w:rPr>
                  </w:pPr>
                  <w:r>
                    <w:rPr>
                      <w:color w:val="auto"/>
                      <w:highlight w:val="none"/>
                    </w:rPr>
                    <w:t>适合处理风量</w:t>
                  </w:r>
                </w:p>
              </w:tc>
              <w:tc>
                <w:tcPr>
                  <w:tcW w:w="861" w:type="pct"/>
                  <w:vAlign w:val="center"/>
                </w:tcPr>
                <w:p w14:paraId="034313E1">
                  <w:pPr>
                    <w:pStyle w:val="56"/>
                    <w:bidi w:val="0"/>
                    <w:rPr>
                      <w:color w:val="auto"/>
                      <w:highlight w:val="none"/>
                    </w:rPr>
                  </w:pPr>
                  <w:r>
                    <w:rPr>
                      <w:rFonts w:hint="eastAsia"/>
                      <w:color w:val="auto"/>
                      <w:highlight w:val="none"/>
                      <w:lang w:eastAsia="zh-CN"/>
                    </w:rPr>
                    <w:t>其他</w:t>
                  </w:r>
                </w:p>
              </w:tc>
            </w:tr>
            <w:tr w14:paraId="54C34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Align w:val="center"/>
                </w:tcPr>
                <w:p w14:paraId="52AF8DFF">
                  <w:pPr>
                    <w:pStyle w:val="56"/>
                    <w:bidi w:val="0"/>
                    <w:rPr>
                      <w:color w:val="auto"/>
                      <w:highlight w:val="none"/>
                    </w:rPr>
                  </w:pPr>
                  <w:r>
                    <w:rPr>
                      <w:color w:val="auto"/>
                      <w:highlight w:val="none"/>
                    </w:rPr>
                    <w:t>静电除尘</w:t>
                  </w:r>
                </w:p>
              </w:tc>
              <w:tc>
                <w:tcPr>
                  <w:tcW w:w="748" w:type="pct"/>
                  <w:vAlign w:val="center"/>
                </w:tcPr>
                <w:p w14:paraId="0A6C9DEE">
                  <w:pPr>
                    <w:pStyle w:val="56"/>
                    <w:bidi w:val="0"/>
                    <w:rPr>
                      <w:color w:val="auto"/>
                      <w:highlight w:val="none"/>
                    </w:rPr>
                  </w:pPr>
                  <w:r>
                    <w:rPr>
                      <w:color w:val="auto"/>
                      <w:highlight w:val="none"/>
                    </w:rPr>
                    <w:t>≥99</w:t>
                  </w:r>
                </w:p>
              </w:tc>
              <w:tc>
                <w:tcPr>
                  <w:tcW w:w="499" w:type="pct"/>
                  <w:vAlign w:val="center"/>
                </w:tcPr>
                <w:p w14:paraId="5386D863">
                  <w:pPr>
                    <w:pStyle w:val="56"/>
                    <w:bidi w:val="0"/>
                    <w:rPr>
                      <w:color w:val="auto"/>
                      <w:highlight w:val="none"/>
                    </w:rPr>
                  </w:pPr>
                  <w:r>
                    <w:rPr>
                      <w:color w:val="auto"/>
                      <w:highlight w:val="none"/>
                    </w:rPr>
                    <w:t>较复杂</w:t>
                  </w:r>
                </w:p>
              </w:tc>
              <w:tc>
                <w:tcPr>
                  <w:tcW w:w="498" w:type="pct"/>
                  <w:vAlign w:val="center"/>
                </w:tcPr>
                <w:p w14:paraId="5E6EAE25">
                  <w:pPr>
                    <w:pStyle w:val="56"/>
                    <w:bidi w:val="0"/>
                    <w:rPr>
                      <w:color w:val="auto"/>
                      <w:highlight w:val="none"/>
                    </w:rPr>
                  </w:pPr>
                  <w:r>
                    <w:rPr>
                      <w:color w:val="auto"/>
                      <w:highlight w:val="none"/>
                    </w:rPr>
                    <w:t>高</w:t>
                  </w:r>
                </w:p>
              </w:tc>
              <w:tc>
                <w:tcPr>
                  <w:tcW w:w="499" w:type="pct"/>
                  <w:vAlign w:val="center"/>
                </w:tcPr>
                <w:p w14:paraId="0A73D160">
                  <w:pPr>
                    <w:pStyle w:val="56"/>
                    <w:bidi w:val="0"/>
                    <w:rPr>
                      <w:color w:val="auto"/>
                      <w:highlight w:val="none"/>
                    </w:rPr>
                  </w:pPr>
                  <w:r>
                    <w:rPr>
                      <w:color w:val="auto"/>
                      <w:highlight w:val="none"/>
                    </w:rPr>
                    <w:t>低</w:t>
                  </w:r>
                </w:p>
              </w:tc>
              <w:tc>
                <w:tcPr>
                  <w:tcW w:w="415" w:type="pct"/>
                  <w:vAlign w:val="center"/>
                </w:tcPr>
                <w:p w14:paraId="3BE6FAA4">
                  <w:pPr>
                    <w:pStyle w:val="56"/>
                    <w:bidi w:val="0"/>
                    <w:rPr>
                      <w:color w:val="auto"/>
                      <w:highlight w:val="none"/>
                    </w:rPr>
                  </w:pPr>
                  <w:r>
                    <w:rPr>
                      <w:color w:val="auto"/>
                      <w:highlight w:val="none"/>
                    </w:rPr>
                    <w:t>难</w:t>
                  </w:r>
                </w:p>
              </w:tc>
              <w:tc>
                <w:tcPr>
                  <w:tcW w:w="748" w:type="pct"/>
                  <w:vAlign w:val="center"/>
                </w:tcPr>
                <w:p w14:paraId="2E2D3406">
                  <w:pPr>
                    <w:pStyle w:val="56"/>
                    <w:bidi w:val="0"/>
                    <w:rPr>
                      <w:color w:val="auto"/>
                      <w:highlight w:val="none"/>
                    </w:rPr>
                  </w:pPr>
                  <w:r>
                    <w:rPr>
                      <w:color w:val="auto"/>
                      <w:highlight w:val="none"/>
                    </w:rPr>
                    <w:t>大</w:t>
                  </w:r>
                </w:p>
              </w:tc>
              <w:tc>
                <w:tcPr>
                  <w:tcW w:w="861" w:type="pct"/>
                  <w:vAlign w:val="center"/>
                </w:tcPr>
                <w:p w14:paraId="39B4E728">
                  <w:pPr>
                    <w:pStyle w:val="56"/>
                    <w:bidi w:val="0"/>
                    <w:rPr>
                      <w:color w:val="auto"/>
                      <w:highlight w:val="none"/>
                    </w:rPr>
                  </w:pPr>
                  <w:r>
                    <w:rPr>
                      <w:color w:val="auto"/>
                      <w:highlight w:val="none"/>
                    </w:rPr>
                    <w:t>干法除尘，无二次污染</w:t>
                  </w:r>
                </w:p>
              </w:tc>
            </w:tr>
            <w:tr w14:paraId="2AA30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Align w:val="center"/>
                </w:tcPr>
                <w:p w14:paraId="77A2A697">
                  <w:pPr>
                    <w:pStyle w:val="56"/>
                    <w:bidi w:val="0"/>
                    <w:rPr>
                      <w:color w:val="auto"/>
                      <w:highlight w:val="none"/>
                    </w:rPr>
                  </w:pPr>
                  <w:r>
                    <w:rPr>
                      <w:color w:val="auto"/>
                      <w:highlight w:val="none"/>
                    </w:rPr>
                    <w:t>袋式除尘</w:t>
                  </w:r>
                </w:p>
              </w:tc>
              <w:tc>
                <w:tcPr>
                  <w:tcW w:w="748" w:type="pct"/>
                  <w:vAlign w:val="center"/>
                </w:tcPr>
                <w:p w14:paraId="412D0AB5">
                  <w:pPr>
                    <w:pStyle w:val="56"/>
                    <w:bidi w:val="0"/>
                    <w:rPr>
                      <w:color w:val="auto"/>
                      <w:highlight w:val="none"/>
                    </w:rPr>
                  </w:pPr>
                  <w:r>
                    <w:rPr>
                      <w:color w:val="auto"/>
                      <w:highlight w:val="none"/>
                    </w:rPr>
                    <w:t>≥99</w:t>
                  </w:r>
                </w:p>
              </w:tc>
              <w:tc>
                <w:tcPr>
                  <w:tcW w:w="499" w:type="pct"/>
                  <w:vAlign w:val="center"/>
                </w:tcPr>
                <w:p w14:paraId="3E205373">
                  <w:pPr>
                    <w:pStyle w:val="56"/>
                    <w:bidi w:val="0"/>
                    <w:rPr>
                      <w:color w:val="auto"/>
                      <w:highlight w:val="none"/>
                    </w:rPr>
                  </w:pPr>
                  <w:r>
                    <w:rPr>
                      <w:color w:val="auto"/>
                      <w:highlight w:val="none"/>
                    </w:rPr>
                    <w:t>复杂</w:t>
                  </w:r>
                </w:p>
              </w:tc>
              <w:tc>
                <w:tcPr>
                  <w:tcW w:w="498" w:type="pct"/>
                  <w:vAlign w:val="center"/>
                </w:tcPr>
                <w:p w14:paraId="1E272102">
                  <w:pPr>
                    <w:pStyle w:val="56"/>
                    <w:bidi w:val="0"/>
                    <w:rPr>
                      <w:color w:val="auto"/>
                      <w:highlight w:val="none"/>
                    </w:rPr>
                  </w:pPr>
                  <w:r>
                    <w:rPr>
                      <w:color w:val="auto"/>
                      <w:highlight w:val="none"/>
                    </w:rPr>
                    <w:t>中</w:t>
                  </w:r>
                </w:p>
              </w:tc>
              <w:tc>
                <w:tcPr>
                  <w:tcW w:w="499" w:type="pct"/>
                  <w:vAlign w:val="center"/>
                </w:tcPr>
                <w:p w14:paraId="75B80FD1">
                  <w:pPr>
                    <w:pStyle w:val="56"/>
                    <w:bidi w:val="0"/>
                    <w:rPr>
                      <w:color w:val="auto"/>
                      <w:highlight w:val="none"/>
                    </w:rPr>
                  </w:pPr>
                  <w:r>
                    <w:rPr>
                      <w:color w:val="auto"/>
                      <w:highlight w:val="none"/>
                    </w:rPr>
                    <w:t>中</w:t>
                  </w:r>
                </w:p>
              </w:tc>
              <w:tc>
                <w:tcPr>
                  <w:tcW w:w="415" w:type="pct"/>
                  <w:vAlign w:val="center"/>
                </w:tcPr>
                <w:p w14:paraId="33E6585A">
                  <w:pPr>
                    <w:pStyle w:val="56"/>
                    <w:bidi w:val="0"/>
                    <w:rPr>
                      <w:color w:val="auto"/>
                      <w:highlight w:val="none"/>
                    </w:rPr>
                  </w:pPr>
                  <w:r>
                    <w:rPr>
                      <w:color w:val="auto"/>
                      <w:highlight w:val="none"/>
                    </w:rPr>
                    <w:t>易</w:t>
                  </w:r>
                </w:p>
              </w:tc>
              <w:tc>
                <w:tcPr>
                  <w:tcW w:w="748" w:type="pct"/>
                  <w:vAlign w:val="center"/>
                </w:tcPr>
                <w:p w14:paraId="3BE836F4">
                  <w:pPr>
                    <w:pStyle w:val="56"/>
                    <w:bidi w:val="0"/>
                    <w:rPr>
                      <w:color w:val="auto"/>
                      <w:highlight w:val="none"/>
                    </w:rPr>
                  </w:pPr>
                  <w:r>
                    <w:rPr>
                      <w:color w:val="auto"/>
                      <w:highlight w:val="none"/>
                    </w:rPr>
                    <w:t>大、中、小</w:t>
                  </w:r>
                </w:p>
              </w:tc>
              <w:tc>
                <w:tcPr>
                  <w:tcW w:w="861" w:type="pct"/>
                  <w:vAlign w:val="center"/>
                </w:tcPr>
                <w:p w14:paraId="58000F5B">
                  <w:pPr>
                    <w:pStyle w:val="56"/>
                    <w:bidi w:val="0"/>
                    <w:rPr>
                      <w:color w:val="auto"/>
                      <w:highlight w:val="none"/>
                    </w:rPr>
                  </w:pPr>
                  <w:r>
                    <w:rPr>
                      <w:color w:val="auto"/>
                      <w:highlight w:val="none"/>
                    </w:rPr>
                    <w:t>干法除尘，无二次污染</w:t>
                  </w:r>
                </w:p>
              </w:tc>
            </w:tr>
          </w:tbl>
          <w:p w14:paraId="095E3709">
            <w:pPr>
              <w:pStyle w:val="46"/>
              <w:keepNext w:val="0"/>
              <w:keepLines w:val="0"/>
              <w:pageBreakBefore w:val="0"/>
              <w:widowControl w:val="0"/>
              <w:kinsoku/>
              <w:wordWrap w:val="0"/>
              <w:overflowPunct/>
              <w:topLinePunct/>
              <w:autoSpaceDE/>
              <w:autoSpaceDN/>
              <w:bidi w:val="0"/>
              <w:adjustRightInd/>
              <w:snapToGrid/>
              <w:spacing w:before="156" w:beforeLines="50"/>
              <w:ind w:firstLine="480"/>
              <w:textAlignment w:val="center"/>
              <w:rPr>
                <w:color w:val="auto"/>
                <w:highlight w:val="none"/>
              </w:rPr>
            </w:pPr>
            <w:r>
              <w:rPr>
                <w:color w:val="auto"/>
                <w:highlight w:val="none"/>
              </w:rPr>
              <w:t>由表</w:t>
            </w:r>
            <w:r>
              <w:rPr>
                <w:rFonts w:hint="eastAsia"/>
                <w:color w:val="auto"/>
                <w:highlight w:val="none"/>
                <w:lang w:val="en-US" w:eastAsia="zh-CN"/>
              </w:rPr>
              <w:t>4-10</w:t>
            </w:r>
            <w:r>
              <w:rPr>
                <w:color w:val="auto"/>
                <w:highlight w:val="none"/>
              </w:rPr>
              <w:t>比较可知，烟气除尘选用袋式除尘器是合理、可行的。袋式除尘器主要优点有：除尘效率高，对微细粒子的除尘效率可达99</w:t>
            </w:r>
            <w:r>
              <w:rPr>
                <w:rFonts w:hint="eastAsia"/>
                <w:color w:val="auto"/>
                <w:highlight w:val="none"/>
              </w:rPr>
              <w:t>%</w:t>
            </w:r>
            <w:r>
              <w:rPr>
                <w:color w:val="auto"/>
                <w:highlight w:val="none"/>
              </w:rPr>
              <w:t>以上；适应性强，对各类性质的粉尘都有很高的除尘效率，如高比电阻粉尘和高浓度粉尘等；处理风量范围广，对于小风量和大风量均可处理；结构简单，操作方便，占地面积小；捕集的干尘粒便于回收利用，没有水污染及污泥处理等问题。袋式除尘器除尘工作原理为：含尘烟气由进风口进入袋式除尘器，颗粒物被机械地收集在滤袋上，过滤可以发生在滤袋的纤维上，也可以发生在滤袋表层附着</w:t>
            </w:r>
            <w:r>
              <w:rPr>
                <w:rFonts w:hint="eastAsia"/>
                <w:color w:val="auto"/>
                <w:highlight w:val="none"/>
                <w:lang w:eastAsia="zh-CN"/>
              </w:rPr>
              <w:t>的灰尘</w:t>
            </w:r>
            <w:r>
              <w:rPr>
                <w:color w:val="auto"/>
                <w:highlight w:val="none"/>
              </w:rPr>
              <w:t>上。经滤袋及表层灰层过滤后的清洁烟气由排风口排入大气。滤袋表层灰可通过不同的清灰方式进行清除。与电除尘器相比，袋式除尘器能更好地捕捉超微细颗粒。</w:t>
            </w:r>
          </w:p>
          <w:p w14:paraId="63B29F79">
            <w:pPr>
              <w:pStyle w:val="46"/>
              <w:keepNext w:val="0"/>
              <w:keepLines w:val="0"/>
              <w:pageBreakBefore w:val="0"/>
              <w:widowControl w:val="0"/>
              <w:kinsoku/>
              <w:wordWrap w:val="0"/>
              <w:overflowPunct/>
              <w:topLinePunct/>
              <w:autoSpaceDE/>
              <w:autoSpaceDN/>
              <w:bidi w:val="0"/>
              <w:adjustRightInd/>
              <w:snapToGrid/>
              <w:ind w:firstLine="480"/>
              <w:textAlignment w:val="center"/>
              <w:rPr>
                <w:rFonts w:hint="default"/>
                <w:b/>
                <w:bCs/>
                <w:color w:val="auto"/>
                <w:highlight w:val="none"/>
                <w:lang w:val="en-US" w:eastAsia="zh-CN"/>
              </w:rPr>
            </w:pPr>
            <w:r>
              <w:rPr>
                <w:color w:val="auto"/>
                <w:highlight w:val="none"/>
              </w:rPr>
              <w:t>本项目采用布袋除尘器除尘，除尘器效率可达99%，经除尘设施处理后，颗粒物排放浓度满足</w:t>
            </w:r>
            <w:r>
              <w:rPr>
                <w:rFonts w:hint="eastAsia"/>
                <w:color w:val="auto"/>
                <w:highlight w:val="none"/>
                <w:lang w:val="en-US" w:eastAsia="zh-CN"/>
              </w:rPr>
              <w:t>《工业炉窑大气污染物排放标准》（GB9078-1996）表2中二级标准限值要求</w:t>
            </w:r>
            <w:r>
              <w:rPr>
                <w:color w:val="auto"/>
                <w:highlight w:val="none"/>
              </w:rPr>
              <w:t>。</w:t>
            </w:r>
            <w:r>
              <w:rPr>
                <w:rFonts w:hint="eastAsia"/>
                <w:color w:val="auto"/>
                <w:highlight w:val="none"/>
                <w:lang w:val="en-US" w:eastAsia="zh-CN"/>
              </w:rPr>
              <w:t>若环保设施发生故障时，发生废气排放超标情况，采取立即停产整顿，待环保措施调修好再继续加工。</w:t>
            </w:r>
          </w:p>
          <w:p w14:paraId="12702126">
            <w:pPr>
              <w:pStyle w:val="46"/>
              <w:ind w:firstLine="480"/>
              <w:rPr>
                <w:color w:val="auto"/>
                <w:highlight w:val="none"/>
              </w:rPr>
            </w:pPr>
            <w:r>
              <w:rPr>
                <w:color w:val="auto"/>
                <w:highlight w:val="none"/>
              </w:rPr>
              <w:t>（2）15m高</w:t>
            </w:r>
            <w:r>
              <w:rPr>
                <w:rFonts w:hint="eastAsia"/>
                <w:color w:val="auto"/>
                <w:highlight w:val="none"/>
                <w:lang w:eastAsia="zh-CN"/>
              </w:rPr>
              <w:t>烟囱</w:t>
            </w:r>
            <w:r>
              <w:rPr>
                <w:color w:val="auto"/>
                <w:highlight w:val="none"/>
              </w:rPr>
              <w:t>可行性论证</w:t>
            </w:r>
          </w:p>
          <w:p w14:paraId="10EADA01">
            <w:pPr>
              <w:pStyle w:val="46"/>
              <w:ind w:firstLine="480"/>
              <w:rPr>
                <w:color w:val="auto"/>
                <w:highlight w:val="none"/>
              </w:rPr>
            </w:pPr>
            <w:r>
              <w:rPr>
                <w:rFonts w:hint="eastAsia"/>
                <w:color w:val="auto"/>
                <w:highlight w:val="none"/>
              </w:rPr>
              <w:t>本项目</w:t>
            </w:r>
            <w:r>
              <w:rPr>
                <w:rFonts w:hint="eastAsia"/>
                <w:color w:val="auto"/>
                <w:highlight w:val="none"/>
                <w:lang w:val="en-US" w:eastAsia="zh-CN"/>
              </w:rPr>
              <w:t>1台热风炉设置</w:t>
            </w:r>
            <w:r>
              <w:rPr>
                <w:rFonts w:hint="eastAsia"/>
                <w:color w:val="auto"/>
                <w:highlight w:val="none"/>
              </w:rPr>
              <w:t>1</w:t>
            </w:r>
            <w:r>
              <w:rPr>
                <w:color w:val="auto"/>
                <w:highlight w:val="none"/>
              </w:rPr>
              <w:t>根15m高的</w:t>
            </w:r>
            <w:r>
              <w:rPr>
                <w:rFonts w:hint="eastAsia"/>
                <w:color w:val="auto"/>
                <w:highlight w:val="none"/>
                <w:lang w:eastAsia="zh-CN"/>
              </w:rPr>
              <w:t>烟囱</w:t>
            </w:r>
            <w:r>
              <w:rPr>
                <w:rFonts w:hint="eastAsia"/>
                <w:color w:val="auto"/>
                <w:highlight w:val="none"/>
              </w:rPr>
              <w:t>，</w:t>
            </w:r>
            <w:r>
              <w:rPr>
                <w:rFonts w:hint="eastAsia"/>
                <w:color w:val="auto"/>
                <w:highlight w:val="none"/>
                <w:lang w:eastAsia="zh-CN"/>
              </w:rPr>
              <w:t>烟囱</w:t>
            </w:r>
            <w:r>
              <w:rPr>
                <w:color w:val="auto"/>
                <w:highlight w:val="none"/>
              </w:rPr>
              <w:t>周围200m半径范围内</w:t>
            </w:r>
            <w:r>
              <w:rPr>
                <w:rFonts w:hint="default" w:ascii="Times New Roman" w:hAnsi="Times New Roman" w:eastAsia="宋体" w:cs="Times New Roman"/>
                <w:b w:val="0"/>
                <w:bCs/>
                <w:color w:val="auto"/>
                <w:kern w:val="0"/>
                <w:sz w:val="24"/>
                <w:szCs w:val="24"/>
                <w:highlight w:val="none"/>
                <w:lang w:val="en-US" w:eastAsia="zh-CN" w:bidi="ar-SA"/>
              </w:rPr>
              <w:t>最高建筑物建筑</w:t>
            </w:r>
            <w:r>
              <w:rPr>
                <w:rFonts w:hint="eastAsia" w:cs="Times New Roman"/>
                <w:b w:val="0"/>
                <w:bCs/>
                <w:color w:val="auto"/>
                <w:kern w:val="0"/>
                <w:sz w:val="24"/>
                <w:szCs w:val="24"/>
                <w:highlight w:val="none"/>
                <w:lang w:val="en-US" w:eastAsia="zh-CN" w:bidi="ar-SA"/>
              </w:rPr>
              <w:t>为本项目1#原粮库、1#干粮库、2#干粮库，高度为11m</w:t>
            </w:r>
            <w:r>
              <w:rPr>
                <w:color w:val="auto"/>
                <w:highlight w:val="none"/>
              </w:rPr>
              <w:t>，</w:t>
            </w:r>
            <w:r>
              <w:rPr>
                <w:rFonts w:hint="eastAsia"/>
                <w:color w:val="auto"/>
                <w:highlight w:val="none"/>
                <w:lang w:val="en-US" w:eastAsia="zh-CN"/>
              </w:rPr>
              <w:t>故</w:t>
            </w:r>
            <w:r>
              <w:rPr>
                <w:rFonts w:hint="default" w:ascii="Times New Roman" w:hAnsi="Times New Roman" w:eastAsia="宋体" w:cs="Times New Roman"/>
                <w:b w:val="0"/>
                <w:bCs/>
                <w:color w:val="auto"/>
                <w:kern w:val="0"/>
                <w:sz w:val="24"/>
                <w:szCs w:val="24"/>
                <w:highlight w:val="none"/>
                <w:lang w:val="en-US" w:eastAsia="zh-CN" w:bidi="ar-SA"/>
              </w:rPr>
              <w:t>本项目热风炉烟囱符合《工业炉窑大气污染物排放标准》（GB9078-1996）</w:t>
            </w:r>
            <w:r>
              <w:rPr>
                <w:rFonts w:hint="eastAsia" w:cs="Times New Roman"/>
                <w:b w:val="0"/>
                <w:bCs/>
                <w:color w:val="auto"/>
                <w:kern w:val="0"/>
                <w:sz w:val="24"/>
                <w:szCs w:val="24"/>
                <w:highlight w:val="none"/>
                <w:lang w:val="en-US" w:eastAsia="zh-CN" w:bidi="ar-SA"/>
              </w:rPr>
              <w:t>中“4.6烟囱高度 4.6.1、4.6.2、4.6.3”等对</w:t>
            </w:r>
            <w:r>
              <w:rPr>
                <w:rFonts w:hint="default" w:ascii="Times New Roman" w:hAnsi="Times New Roman" w:eastAsia="宋体" w:cs="Times New Roman"/>
                <w:b w:val="0"/>
                <w:bCs/>
                <w:color w:val="auto"/>
                <w:kern w:val="0"/>
                <w:sz w:val="24"/>
                <w:szCs w:val="24"/>
                <w:highlight w:val="none"/>
                <w:lang w:val="en-US" w:eastAsia="zh-CN" w:bidi="ar-SA"/>
              </w:rPr>
              <w:t>工业炉窑烟囱高度的要求。</w:t>
            </w:r>
          </w:p>
          <w:p w14:paraId="34A5140C">
            <w:pPr>
              <w:pStyle w:val="46"/>
              <w:ind w:firstLine="480"/>
              <w:rPr>
                <w:color w:val="auto"/>
                <w:highlight w:val="none"/>
              </w:rPr>
            </w:pPr>
            <w:r>
              <w:rPr>
                <w:rFonts w:hint="eastAsia"/>
                <w:color w:val="auto"/>
                <w:highlight w:val="none"/>
              </w:rPr>
              <w:t>（3）</w:t>
            </w:r>
            <w:r>
              <w:rPr>
                <w:color w:val="auto"/>
                <w:highlight w:val="none"/>
              </w:rPr>
              <w:t>无组织粉尘</w:t>
            </w:r>
          </w:p>
          <w:p w14:paraId="3CBA7FF2">
            <w:pPr>
              <w:pStyle w:val="46"/>
              <w:bidi w:val="0"/>
              <w:rPr>
                <w:rFonts w:hint="eastAsia"/>
                <w:color w:val="auto"/>
                <w:highlight w:val="none"/>
              </w:rPr>
            </w:pPr>
            <w:r>
              <w:rPr>
                <w:rFonts w:hint="eastAsia"/>
                <w:color w:val="auto"/>
                <w:highlight w:val="none"/>
                <w:lang w:val="en-US" w:eastAsia="zh-CN"/>
              </w:rPr>
              <w:t>本项目装卸过程中采取车间封闭+减小装卸高度、</w:t>
            </w:r>
            <w:r>
              <w:rPr>
                <w:color w:val="auto"/>
                <w:highlight w:val="none"/>
              </w:rPr>
              <w:t>输送过程采用封闭输送带进行输送</w:t>
            </w:r>
            <w:r>
              <w:rPr>
                <w:rFonts w:hint="eastAsia"/>
                <w:color w:val="auto"/>
                <w:highlight w:val="none"/>
                <w:lang w:val="en-US" w:eastAsia="zh-CN"/>
              </w:rPr>
              <w:t>、清选工艺采用封闭式清理筛、烘干塔塔体两侧排气孔设置折流挡板</w:t>
            </w:r>
            <w:r>
              <w:rPr>
                <w:rFonts w:hint="eastAsia"/>
                <w:color w:val="auto"/>
                <w:highlight w:val="none"/>
                <w:lang w:eastAsia="zh-CN"/>
              </w:rPr>
              <w:t>，</w:t>
            </w:r>
            <w:r>
              <w:rPr>
                <w:rFonts w:hint="eastAsia"/>
                <w:color w:val="auto"/>
                <w:highlight w:val="none"/>
              </w:rPr>
              <w:t>通过以上治理措施使</w:t>
            </w:r>
            <w:r>
              <w:rPr>
                <w:color w:val="auto"/>
                <w:highlight w:val="none"/>
              </w:rPr>
              <w:t>厂界颗粒物排放浓度符合《大气污染物综合排放标准》（GB16297-1996）表2无组织排放浓度限值要求</w:t>
            </w:r>
            <w:r>
              <w:rPr>
                <w:rFonts w:hint="eastAsia"/>
                <w:color w:val="auto"/>
                <w:highlight w:val="none"/>
                <w:lang w:eastAsia="zh-CN"/>
              </w:rPr>
              <w:t>；</w:t>
            </w:r>
            <w:r>
              <w:rPr>
                <w:rFonts w:hint="eastAsia"/>
                <w:color w:val="auto"/>
                <w:highlight w:val="none"/>
                <w:lang w:val="en-US" w:eastAsia="zh-CN"/>
              </w:rPr>
              <w:t>灰渣采取袋装收集，贮存在封闭式灰渣库内，灰渣转运过程中采取洒水降尘措施，</w:t>
            </w:r>
            <w:r>
              <w:rPr>
                <w:rFonts w:hint="eastAsia"/>
                <w:color w:val="auto"/>
                <w:highlight w:val="none"/>
              </w:rPr>
              <w:t>通过以上治理措施使</w:t>
            </w:r>
            <w:r>
              <w:rPr>
                <w:color w:val="auto"/>
                <w:highlight w:val="none"/>
              </w:rPr>
              <w:t>工业炉窑周边颗粒物无组织排放浓度满足《工业炉窑大气污染物排放标准》（GB9078-1996）表3</w:t>
            </w:r>
            <w:r>
              <w:rPr>
                <w:rFonts w:hint="eastAsia"/>
                <w:color w:val="auto"/>
                <w:highlight w:val="none"/>
                <w:lang w:val="en-US" w:eastAsia="zh-CN"/>
              </w:rPr>
              <w:t>要求</w:t>
            </w:r>
            <w:r>
              <w:rPr>
                <w:rFonts w:hint="eastAsia"/>
                <w:color w:val="auto"/>
                <w:highlight w:val="none"/>
              </w:rPr>
              <w:t>。</w:t>
            </w:r>
          </w:p>
          <w:p w14:paraId="24FFFC1A">
            <w:pPr>
              <w:pStyle w:val="46"/>
              <w:bidi w:val="0"/>
              <w:rPr>
                <w:color w:val="auto"/>
                <w:highlight w:val="none"/>
              </w:rPr>
            </w:pPr>
            <w:r>
              <w:rPr>
                <w:rFonts w:hint="eastAsia"/>
                <w:color w:val="auto"/>
                <w:highlight w:val="none"/>
              </w:rPr>
              <w:t>综上，本项目通过采取以上措施，产生的废气对周边大气环境影响较小，本项目无需设置大气防护距离</w:t>
            </w:r>
            <w:r>
              <w:rPr>
                <w:rFonts w:hint="eastAsia"/>
                <w:color w:val="auto"/>
                <w:highlight w:val="none"/>
                <w:lang w:eastAsia="zh-CN"/>
              </w:rPr>
              <w:t>，</w:t>
            </w:r>
            <w:r>
              <w:rPr>
                <w:rFonts w:hint="eastAsia"/>
                <w:color w:val="auto"/>
                <w:highlight w:val="none"/>
                <w:lang w:val="en-US" w:eastAsia="zh-CN"/>
              </w:rPr>
              <w:t>符合《</w:t>
            </w:r>
            <w:r>
              <w:rPr>
                <w:rFonts w:ascii="Arial" w:hAnsi="Arial" w:eastAsia="Arial" w:cs="Arial"/>
                <w:i w:val="0"/>
                <w:iCs w:val="0"/>
                <w:caps w:val="0"/>
                <w:color w:val="333333"/>
                <w:spacing w:val="0"/>
                <w:sz w:val="24"/>
                <w:szCs w:val="24"/>
                <w:highlight w:val="none"/>
                <w:shd w:val="clear" w:fill="FFFFFF"/>
              </w:rPr>
              <w:t>中华人民共和国大气污染防治法</w:t>
            </w:r>
            <w:r>
              <w:rPr>
                <w:rFonts w:hint="eastAsia"/>
                <w:color w:val="auto"/>
                <w:highlight w:val="none"/>
                <w:lang w:val="en-US" w:eastAsia="zh-CN"/>
              </w:rPr>
              <w:t>》中相关要求，</w:t>
            </w:r>
            <w:r>
              <w:rPr>
                <w:rFonts w:hint="eastAsia"/>
                <w:color w:val="auto"/>
                <w:highlight w:val="none"/>
              </w:rPr>
              <w:t>企业日常应加强管理，确保污染物稳定达标排放，</w:t>
            </w:r>
            <w:r>
              <w:rPr>
                <w:rFonts w:hint="eastAsia"/>
                <w:color w:val="auto"/>
                <w:highlight w:val="none"/>
                <w:lang w:eastAsia="zh-CN"/>
              </w:rPr>
              <w:t>减少</w:t>
            </w:r>
            <w:r>
              <w:rPr>
                <w:rFonts w:hint="eastAsia"/>
                <w:color w:val="auto"/>
                <w:highlight w:val="none"/>
              </w:rPr>
              <w:t>大气污染物对周围敏感点的影响。</w:t>
            </w:r>
          </w:p>
          <w:p w14:paraId="4B1A6034">
            <w:pPr>
              <w:pStyle w:val="46"/>
              <w:ind w:firstLine="482"/>
              <w:rPr>
                <w:b/>
                <w:bCs/>
                <w:color w:val="auto"/>
                <w:highlight w:val="none"/>
              </w:rPr>
            </w:pPr>
            <w:r>
              <w:rPr>
                <w:rFonts w:hint="eastAsia"/>
                <w:b/>
                <w:bCs/>
                <w:color w:val="auto"/>
                <w:highlight w:val="none"/>
                <w:lang w:eastAsia="zh-CN"/>
              </w:rPr>
              <w:t>5.</w:t>
            </w:r>
            <w:r>
              <w:rPr>
                <w:b/>
                <w:bCs/>
                <w:color w:val="auto"/>
                <w:highlight w:val="none"/>
              </w:rPr>
              <w:t>监测要求</w:t>
            </w:r>
          </w:p>
          <w:p w14:paraId="48815262">
            <w:pPr>
              <w:pStyle w:val="46"/>
              <w:bidi w:val="0"/>
              <w:rPr>
                <w:color w:val="auto"/>
                <w:highlight w:val="none"/>
              </w:rPr>
            </w:pPr>
            <w:r>
              <w:rPr>
                <w:color w:val="auto"/>
                <w:highlight w:val="none"/>
              </w:rPr>
              <w:t>根据《排污单位自行监测技术指南</w:t>
            </w:r>
            <w:r>
              <w:rPr>
                <w:rFonts w:hint="eastAsia"/>
                <w:color w:val="auto"/>
                <w:highlight w:val="none"/>
              </w:rPr>
              <w:t xml:space="preserve"> </w:t>
            </w:r>
            <w:r>
              <w:rPr>
                <w:color w:val="auto"/>
                <w:highlight w:val="none"/>
              </w:rPr>
              <w:t>总则》</w:t>
            </w:r>
            <w:r>
              <w:rPr>
                <w:rFonts w:hint="eastAsia"/>
                <w:color w:val="auto"/>
                <w:highlight w:val="none"/>
              </w:rPr>
              <w:t>（</w:t>
            </w:r>
            <w:r>
              <w:rPr>
                <w:color w:val="auto"/>
                <w:highlight w:val="none"/>
              </w:rPr>
              <w:t>HJ819-2017</w:t>
            </w:r>
            <w:r>
              <w:rPr>
                <w:rFonts w:hint="eastAsia"/>
                <w:color w:val="auto"/>
                <w:highlight w:val="none"/>
              </w:rPr>
              <w:t>）</w:t>
            </w:r>
            <w:r>
              <w:rPr>
                <w:color w:val="auto"/>
                <w:highlight w:val="none"/>
              </w:rPr>
              <w:t>、《排污单位自行监测技术指南 农副食品加工业》</w:t>
            </w:r>
            <w:r>
              <w:rPr>
                <w:rFonts w:hint="eastAsia"/>
                <w:color w:val="auto"/>
                <w:highlight w:val="none"/>
              </w:rPr>
              <w:t>（</w:t>
            </w:r>
            <w:r>
              <w:rPr>
                <w:color w:val="auto"/>
                <w:highlight w:val="none"/>
              </w:rPr>
              <w:t>HJ986-2018</w:t>
            </w:r>
            <w:r>
              <w:rPr>
                <w:rFonts w:hint="eastAsia"/>
                <w:color w:val="auto"/>
                <w:highlight w:val="none"/>
              </w:rPr>
              <w:t>）</w:t>
            </w:r>
            <w:r>
              <w:rPr>
                <w:rFonts w:hint="eastAsia"/>
                <w:color w:val="auto"/>
                <w:highlight w:val="none"/>
                <w:lang w:eastAsia="zh-CN"/>
              </w:rPr>
              <w:t>、</w:t>
            </w:r>
            <w:r>
              <w:rPr>
                <w:rFonts w:hint="eastAsia"/>
                <w:color w:val="auto"/>
                <w:highlight w:val="none"/>
              </w:rPr>
              <w:t>《排污许可证申请与核发技术规范 工业炉窑</w:t>
            </w:r>
            <w:r>
              <w:rPr>
                <w:rFonts w:hint="eastAsia"/>
                <w:color w:val="auto"/>
                <w:highlight w:val="none"/>
                <w:lang w:eastAsia="zh-CN"/>
              </w:rPr>
              <w:t>》</w:t>
            </w:r>
            <w:r>
              <w:rPr>
                <w:rFonts w:hint="eastAsia"/>
                <w:color w:val="auto"/>
                <w:highlight w:val="none"/>
              </w:rPr>
              <w:t>（HJ1121-2020）》</w:t>
            </w:r>
            <w:r>
              <w:rPr>
                <w:color w:val="auto"/>
                <w:highlight w:val="none"/>
              </w:rPr>
              <w:t>确定本项目环境监测计划。</w:t>
            </w:r>
          </w:p>
          <w:p w14:paraId="4A0B8EF9">
            <w:pPr>
              <w:pStyle w:val="50"/>
              <w:bidi w:val="0"/>
              <w:rPr>
                <w:rFonts w:hint="default"/>
                <w:color w:val="auto"/>
                <w:highlight w:val="none"/>
              </w:rPr>
            </w:pPr>
            <w:r>
              <w:rPr>
                <w:rFonts w:hint="default"/>
                <w:color w:val="auto"/>
                <w:highlight w:val="none"/>
              </w:rPr>
              <w:t>表4-</w:t>
            </w:r>
            <w:r>
              <w:rPr>
                <w:rFonts w:hint="eastAsia"/>
                <w:color w:val="auto"/>
                <w:highlight w:val="none"/>
                <w:lang w:val="en-US" w:eastAsia="zh-CN"/>
              </w:rPr>
              <w:t>11</w:t>
            </w:r>
            <w:r>
              <w:rPr>
                <w:color w:val="auto"/>
                <w:highlight w:val="none"/>
              </w:rPr>
              <w:t xml:space="preserve">    </w:t>
            </w:r>
            <w:r>
              <w:rPr>
                <w:rFonts w:hint="default"/>
                <w:color w:val="auto"/>
                <w:highlight w:val="none"/>
              </w:rPr>
              <w:t>废气监测计划一览表</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1359"/>
              <w:gridCol w:w="1254"/>
              <w:gridCol w:w="1210"/>
              <w:gridCol w:w="2437"/>
            </w:tblGrid>
            <w:tr w14:paraId="560831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8" w:type="pct"/>
                  <w:noWrap w:val="0"/>
                  <w:vAlign w:val="center"/>
                </w:tcPr>
                <w:p w14:paraId="3F64B6D2">
                  <w:pPr>
                    <w:pStyle w:val="60"/>
                    <w:rPr>
                      <w:color w:val="auto"/>
                      <w:sz w:val="21"/>
                      <w:szCs w:val="21"/>
                      <w:highlight w:val="none"/>
                    </w:rPr>
                  </w:pPr>
                  <w:r>
                    <w:rPr>
                      <w:rFonts w:hint="eastAsia"/>
                      <w:color w:val="auto"/>
                      <w:sz w:val="21"/>
                      <w:szCs w:val="21"/>
                      <w:highlight w:val="none"/>
                      <w:lang w:val="en-US" w:eastAsia="zh-CN"/>
                    </w:rPr>
                    <w:t>类别</w:t>
                  </w:r>
                </w:p>
              </w:tc>
              <w:tc>
                <w:tcPr>
                  <w:tcW w:w="886" w:type="pct"/>
                  <w:noWrap w:val="0"/>
                  <w:vAlign w:val="center"/>
                </w:tcPr>
                <w:p w14:paraId="7E83F521">
                  <w:pPr>
                    <w:pStyle w:val="60"/>
                    <w:rPr>
                      <w:color w:val="auto"/>
                      <w:sz w:val="21"/>
                      <w:szCs w:val="21"/>
                      <w:highlight w:val="none"/>
                    </w:rPr>
                  </w:pPr>
                  <w:r>
                    <w:rPr>
                      <w:color w:val="auto"/>
                      <w:sz w:val="21"/>
                      <w:szCs w:val="21"/>
                      <w:highlight w:val="none"/>
                    </w:rPr>
                    <w:t>监测点位</w:t>
                  </w:r>
                </w:p>
              </w:tc>
              <w:tc>
                <w:tcPr>
                  <w:tcW w:w="817" w:type="pct"/>
                  <w:noWrap w:val="0"/>
                  <w:vAlign w:val="center"/>
                </w:tcPr>
                <w:p w14:paraId="0F936CDD">
                  <w:pPr>
                    <w:pStyle w:val="60"/>
                    <w:rPr>
                      <w:color w:val="auto"/>
                      <w:sz w:val="21"/>
                      <w:szCs w:val="21"/>
                      <w:highlight w:val="none"/>
                    </w:rPr>
                  </w:pPr>
                  <w:r>
                    <w:rPr>
                      <w:color w:val="auto"/>
                      <w:sz w:val="21"/>
                      <w:szCs w:val="21"/>
                      <w:highlight w:val="none"/>
                    </w:rPr>
                    <w:t>监测指标</w:t>
                  </w:r>
                </w:p>
              </w:tc>
              <w:tc>
                <w:tcPr>
                  <w:tcW w:w="788" w:type="pct"/>
                  <w:noWrap w:val="0"/>
                  <w:vAlign w:val="center"/>
                </w:tcPr>
                <w:p w14:paraId="599E1FD5">
                  <w:pPr>
                    <w:pStyle w:val="60"/>
                    <w:rPr>
                      <w:color w:val="auto"/>
                      <w:sz w:val="21"/>
                      <w:szCs w:val="21"/>
                      <w:highlight w:val="none"/>
                    </w:rPr>
                  </w:pPr>
                  <w:r>
                    <w:rPr>
                      <w:color w:val="auto"/>
                      <w:sz w:val="21"/>
                      <w:szCs w:val="21"/>
                      <w:highlight w:val="none"/>
                    </w:rPr>
                    <w:t>监测频次</w:t>
                  </w:r>
                </w:p>
              </w:tc>
              <w:tc>
                <w:tcPr>
                  <w:tcW w:w="1589" w:type="pct"/>
                  <w:noWrap w:val="0"/>
                  <w:vAlign w:val="center"/>
                </w:tcPr>
                <w:p w14:paraId="7A214FE2">
                  <w:pPr>
                    <w:pStyle w:val="60"/>
                    <w:rPr>
                      <w:color w:val="auto"/>
                      <w:sz w:val="21"/>
                      <w:szCs w:val="21"/>
                      <w:highlight w:val="none"/>
                    </w:rPr>
                  </w:pPr>
                  <w:r>
                    <w:rPr>
                      <w:color w:val="auto"/>
                      <w:sz w:val="21"/>
                      <w:szCs w:val="21"/>
                      <w:highlight w:val="none"/>
                    </w:rPr>
                    <w:t>执行标准</w:t>
                  </w:r>
                </w:p>
              </w:tc>
            </w:tr>
            <w:tr w14:paraId="442B5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918" w:type="pct"/>
                  <w:vMerge w:val="restart"/>
                  <w:noWrap w:val="0"/>
                  <w:vAlign w:val="center"/>
                </w:tcPr>
                <w:p w14:paraId="7C61AB40">
                  <w:pPr>
                    <w:pStyle w:val="60"/>
                    <w:rPr>
                      <w:color w:val="auto"/>
                      <w:sz w:val="21"/>
                      <w:szCs w:val="21"/>
                      <w:highlight w:val="none"/>
                    </w:rPr>
                  </w:pPr>
                  <w:r>
                    <w:rPr>
                      <w:rFonts w:hint="eastAsia"/>
                      <w:color w:val="auto"/>
                      <w:sz w:val="21"/>
                      <w:szCs w:val="21"/>
                      <w:highlight w:val="none"/>
                      <w:lang w:val="en-US" w:eastAsia="zh-CN"/>
                    </w:rPr>
                    <w:t>有组织废气</w:t>
                  </w:r>
                </w:p>
              </w:tc>
              <w:tc>
                <w:tcPr>
                  <w:tcW w:w="886" w:type="pct"/>
                  <w:vMerge w:val="restart"/>
                  <w:noWrap w:val="0"/>
                  <w:vAlign w:val="center"/>
                </w:tcPr>
                <w:p w14:paraId="68181B86">
                  <w:pPr>
                    <w:pStyle w:val="60"/>
                    <w:rPr>
                      <w:rFonts w:hint="eastAsia" w:eastAsia="宋体"/>
                      <w:color w:val="auto"/>
                      <w:sz w:val="21"/>
                      <w:szCs w:val="21"/>
                      <w:highlight w:val="none"/>
                      <w:lang w:eastAsia="zh-CN"/>
                    </w:rPr>
                  </w:pPr>
                  <w:r>
                    <w:rPr>
                      <w:rFonts w:hint="eastAsia"/>
                      <w:color w:val="auto"/>
                      <w:sz w:val="21"/>
                      <w:szCs w:val="21"/>
                      <w:highlight w:val="none"/>
                      <w:lang w:val="en-US" w:eastAsia="zh-CN"/>
                    </w:rPr>
                    <w:t>热风炉烟囱DA001</w:t>
                  </w:r>
                </w:p>
              </w:tc>
              <w:tc>
                <w:tcPr>
                  <w:tcW w:w="817" w:type="pct"/>
                  <w:noWrap w:val="0"/>
                  <w:vAlign w:val="center"/>
                </w:tcPr>
                <w:p w14:paraId="42DA1D01">
                  <w:pPr>
                    <w:pStyle w:val="103"/>
                    <w:keepNext w:val="0"/>
                    <w:keepLines w:val="0"/>
                    <w:pageBreakBefore w:val="0"/>
                    <w:widowControl w:val="0"/>
                    <w:kinsoku/>
                    <w:wordWrap w:val="0"/>
                    <w:overflowPunct/>
                    <w:topLinePunct/>
                    <w:autoSpaceDE/>
                    <w:autoSpaceDN/>
                    <w:bidi w:val="0"/>
                    <w:adjustRightInd/>
                    <w:snapToGrid/>
                    <w:textAlignment w:val="center"/>
                    <w:rPr>
                      <w:rFonts w:hint="eastAsia" w:eastAsia="宋体"/>
                      <w:color w:val="auto"/>
                      <w:sz w:val="21"/>
                      <w:szCs w:val="21"/>
                      <w:highlight w:val="none"/>
                      <w:lang w:eastAsia="zh-CN"/>
                    </w:rPr>
                  </w:pPr>
                  <w:r>
                    <w:rPr>
                      <w:rFonts w:hint="eastAsia"/>
                      <w:color w:val="auto"/>
                      <w:sz w:val="21"/>
                      <w:szCs w:val="21"/>
                      <w:highlight w:val="none"/>
                    </w:rPr>
                    <w:t>颗粒物、SO</w:t>
                  </w:r>
                  <w:r>
                    <w:rPr>
                      <w:rFonts w:hint="eastAsia"/>
                      <w:color w:val="auto"/>
                      <w:sz w:val="21"/>
                      <w:szCs w:val="21"/>
                      <w:highlight w:val="none"/>
                      <w:vertAlign w:val="subscript"/>
                    </w:rPr>
                    <w:t>2</w:t>
                  </w:r>
                  <w:r>
                    <w:rPr>
                      <w:rFonts w:hint="eastAsia"/>
                      <w:color w:val="auto"/>
                      <w:sz w:val="21"/>
                      <w:szCs w:val="21"/>
                      <w:highlight w:val="none"/>
                    </w:rPr>
                    <w:t>、</w:t>
                  </w:r>
                  <w:r>
                    <w:rPr>
                      <w:rFonts w:hint="eastAsia"/>
                      <w:color w:val="auto"/>
                      <w:sz w:val="21"/>
                      <w:szCs w:val="21"/>
                      <w:highlight w:val="none"/>
                      <w:lang w:eastAsia="zh-CN"/>
                    </w:rPr>
                    <w:t>烟气黑度</w:t>
                  </w:r>
                </w:p>
              </w:tc>
              <w:tc>
                <w:tcPr>
                  <w:tcW w:w="788" w:type="pct"/>
                  <w:noWrap w:val="0"/>
                  <w:vAlign w:val="center"/>
                </w:tcPr>
                <w:p w14:paraId="2F374E9D">
                  <w:pPr>
                    <w:pStyle w:val="103"/>
                    <w:keepNext w:val="0"/>
                    <w:keepLines w:val="0"/>
                    <w:pageBreakBefore w:val="0"/>
                    <w:widowControl w:val="0"/>
                    <w:kinsoku/>
                    <w:wordWrap w:val="0"/>
                    <w:overflowPunct/>
                    <w:topLinePunct/>
                    <w:autoSpaceDE/>
                    <w:autoSpaceDN/>
                    <w:bidi w:val="0"/>
                    <w:adjustRightInd/>
                    <w:snapToGrid/>
                    <w:textAlignment w:val="center"/>
                    <w:rPr>
                      <w:color w:val="auto"/>
                      <w:sz w:val="21"/>
                      <w:szCs w:val="21"/>
                      <w:highlight w:val="none"/>
                    </w:rPr>
                  </w:pPr>
                  <w:r>
                    <w:rPr>
                      <w:rFonts w:hint="eastAsia"/>
                      <w:color w:val="auto"/>
                      <w:sz w:val="21"/>
                      <w:szCs w:val="21"/>
                      <w:highlight w:val="none"/>
                    </w:rPr>
                    <w:t>1次/年</w:t>
                  </w:r>
                </w:p>
              </w:tc>
              <w:tc>
                <w:tcPr>
                  <w:tcW w:w="1589" w:type="pct"/>
                  <w:noWrap w:val="0"/>
                  <w:vAlign w:val="center"/>
                </w:tcPr>
                <w:p w14:paraId="37F014AE">
                  <w:pPr>
                    <w:pStyle w:val="60"/>
                    <w:rPr>
                      <w:color w:val="auto"/>
                      <w:sz w:val="21"/>
                      <w:szCs w:val="21"/>
                      <w:highlight w:val="none"/>
                    </w:rPr>
                  </w:pPr>
                  <w:r>
                    <w:rPr>
                      <w:rFonts w:hint="eastAsia"/>
                      <w:color w:val="auto"/>
                      <w:highlight w:val="none"/>
                      <w:lang w:val="en-US" w:eastAsia="zh-CN"/>
                    </w:rPr>
                    <w:t>《工业炉窑大气污染物排放标准》（GB9078-1996）表2、表4中二级标准限值要求</w:t>
                  </w:r>
                </w:p>
              </w:tc>
            </w:tr>
            <w:tr w14:paraId="150D9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8" w:type="pct"/>
                  <w:vMerge w:val="continue"/>
                  <w:noWrap w:val="0"/>
                  <w:vAlign w:val="center"/>
                </w:tcPr>
                <w:p w14:paraId="4D5253B6">
                  <w:pPr>
                    <w:pStyle w:val="60"/>
                    <w:rPr>
                      <w:rFonts w:hint="eastAsia"/>
                      <w:color w:val="auto"/>
                      <w:sz w:val="21"/>
                      <w:szCs w:val="21"/>
                      <w:highlight w:val="none"/>
                    </w:rPr>
                  </w:pPr>
                </w:p>
              </w:tc>
              <w:tc>
                <w:tcPr>
                  <w:tcW w:w="886" w:type="pct"/>
                  <w:vMerge w:val="continue"/>
                  <w:noWrap w:val="0"/>
                  <w:vAlign w:val="center"/>
                </w:tcPr>
                <w:p w14:paraId="2D5E8F58">
                  <w:pPr>
                    <w:pStyle w:val="60"/>
                    <w:rPr>
                      <w:rFonts w:hint="eastAsia"/>
                      <w:color w:val="auto"/>
                      <w:sz w:val="21"/>
                      <w:szCs w:val="21"/>
                      <w:highlight w:val="none"/>
                      <w:lang w:val="en-US" w:eastAsia="zh-CN"/>
                    </w:rPr>
                  </w:pPr>
                </w:p>
              </w:tc>
              <w:tc>
                <w:tcPr>
                  <w:tcW w:w="817" w:type="pct"/>
                  <w:noWrap w:val="0"/>
                  <w:vAlign w:val="center"/>
                </w:tcPr>
                <w:p w14:paraId="04DE828B">
                  <w:pPr>
                    <w:pStyle w:val="103"/>
                    <w:keepNext w:val="0"/>
                    <w:keepLines w:val="0"/>
                    <w:pageBreakBefore w:val="0"/>
                    <w:widowControl w:val="0"/>
                    <w:kinsoku/>
                    <w:wordWrap w:val="0"/>
                    <w:overflowPunct/>
                    <w:topLinePunct/>
                    <w:autoSpaceDE/>
                    <w:autoSpaceDN/>
                    <w:bidi w:val="0"/>
                    <w:adjustRightInd/>
                    <w:snapToGrid/>
                    <w:textAlignment w:val="center"/>
                    <w:rPr>
                      <w:color w:val="auto"/>
                      <w:sz w:val="21"/>
                      <w:szCs w:val="21"/>
                      <w:highlight w:val="none"/>
                    </w:rPr>
                  </w:pPr>
                  <w:r>
                    <w:rPr>
                      <w:rFonts w:hint="eastAsia"/>
                      <w:color w:val="auto"/>
                      <w:sz w:val="21"/>
                      <w:szCs w:val="21"/>
                      <w:highlight w:val="none"/>
                    </w:rPr>
                    <w:t>NO</w:t>
                  </w:r>
                  <w:r>
                    <w:rPr>
                      <w:rFonts w:hint="eastAsia"/>
                      <w:color w:val="auto"/>
                      <w:sz w:val="21"/>
                      <w:szCs w:val="21"/>
                      <w:highlight w:val="none"/>
                      <w:vertAlign w:val="subscript"/>
                    </w:rPr>
                    <w:t>x</w:t>
                  </w:r>
                </w:p>
              </w:tc>
              <w:tc>
                <w:tcPr>
                  <w:tcW w:w="788" w:type="pct"/>
                  <w:noWrap w:val="0"/>
                  <w:vAlign w:val="center"/>
                </w:tcPr>
                <w:p w14:paraId="03AB1FDE">
                  <w:pPr>
                    <w:pStyle w:val="103"/>
                    <w:keepNext w:val="0"/>
                    <w:keepLines w:val="0"/>
                    <w:pageBreakBefore w:val="0"/>
                    <w:widowControl w:val="0"/>
                    <w:kinsoku/>
                    <w:wordWrap w:val="0"/>
                    <w:overflowPunct/>
                    <w:topLinePunct/>
                    <w:autoSpaceDE/>
                    <w:autoSpaceDN/>
                    <w:bidi w:val="0"/>
                    <w:adjustRightInd/>
                    <w:snapToGrid/>
                    <w:textAlignment w:val="center"/>
                    <w:rPr>
                      <w:color w:val="auto"/>
                      <w:sz w:val="21"/>
                      <w:szCs w:val="21"/>
                      <w:highlight w:val="none"/>
                    </w:rPr>
                  </w:pPr>
                  <w:r>
                    <w:rPr>
                      <w:rFonts w:hint="eastAsia"/>
                      <w:color w:val="auto"/>
                      <w:sz w:val="21"/>
                      <w:szCs w:val="21"/>
                      <w:highlight w:val="none"/>
                    </w:rPr>
                    <w:t>1次/月</w:t>
                  </w:r>
                </w:p>
              </w:tc>
              <w:tc>
                <w:tcPr>
                  <w:tcW w:w="1589" w:type="pct"/>
                  <w:noWrap w:val="0"/>
                  <w:vAlign w:val="center"/>
                </w:tcPr>
                <w:p w14:paraId="3D314748">
                  <w:pPr>
                    <w:pStyle w:val="60"/>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r>
            <w:tr w14:paraId="725E4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8" w:type="pct"/>
                  <w:vMerge w:val="restart"/>
                  <w:noWrap w:val="0"/>
                  <w:vAlign w:val="center"/>
                </w:tcPr>
                <w:p w14:paraId="7E1DEA66">
                  <w:pPr>
                    <w:pStyle w:val="60"/>
                    <w:rPr>
                      <w:color w:val="auto"/>
                      <w:sz w:val="21"/>
                      <w:szCs w:val="21"/>
                      <w:highlight w:val="none"/>
                    </w:rPr>
                  </w:pPr>
                  <w:r>
                    <w:rPr>
                      <w:rFonts w:hint="eastAsia"/>
                      <w:color w:val="auto"/>
                      <w:sz w:val="21"/>
                      <w:szCs w:val="21"/>
                      <w:highlight w:val="none"/>
                    </w:rPr>
                    <w:t>无组织废气</w:t>
                  </w:r>
                </w:p>
              </w:tc>
              <w:tc>
                <w:tcPr>
                  <w:tcW w:w="886" w:type="pct"/>
                  <w:shd w:val="clear" w:color="auto" w:fill="auto"/>
                  <w:noWrap w:val="0"/>
                  <w:vAlign w:val="center"/>
                </w:tcPr>
                <w:p w14:paraId="6DAB6FC4">
                  <w:pPr>
                    <w:pStyle w:val="60"/>
                    <w:ind w:firstLine="0" w:firstLineChars="0"/>
                    <w:rPr>
                      <w:rFonts w:hint="default"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lang w:val="en-US" w:eastAsia="zh-CN"/>
                    </w:rPr>
                    <w:t>工业炉窑周边</w:t>
                  </w:r>
                </w:p>
              </w:tc>
              <w:tc>
                <w:tcPr>
                  <w:tcW w:w="817" w:type="pct"/>
                  <w:shd w:val="clear" w:color="auto" w:fill="auto"/>
                  <w:noWrap w:val="0"/>
                  <w:vAlign w:val="center"/>
                </w:tcPr>
                <w:p w14:paraId="6B12E557">
                  <w:pPr>
                    <w:pStyle w:val="103"/>
                    <w:keepNext w:val="0"/>
                    <w:keepLines w:val="0"/>
                    <w:pageBreakBefore w:val="0"/>
                    <w:widowControl w:val="0"/>
                    <w:kinsoku/>
                    <w:wordWrap w:val="0"/>
                    <w:overflowPunct/>
                    <w:topLinePunct/>
                    <w:autoSpaceDE/>
                    <w:autoSpaceDN/>
                    <w:bidi w:val="0"/>
                    <w:adjustRightInd/>
                    <w:snapToGrid/>
                    <w:textAlignment w:val="center"/>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rPr>
                    <w:t>颗粒物</w:t>
                  </w:r>
                </w:p>
              </w:tc>
              <w:tc>
                <w:tcPr>
                  <w:tcW w:w="788" w:type="pct"/>
                  <w:shd w:val="clear" w:color="auto" w:fill="auto"/>
                  <w:noWrap w:val="0"/>
                  <w:vAlign w:val="center"/>
                </w:tcPr>
                <w:p w14:paraId="7862601D">
                  <w:pPr>
                    <w:pStyle w:val="103"/>
                    <w:keepNext w:val="0"/>
                    <w:keepLines w:val="0"/>
                    <w:pageBreakBefore w:val="0"/>
                    <w:widowControl w:val="0"/>
                    <w:kinsoku/>
                    <w:wordWrap w:val="0"/>
                    <w:overflowPunct/>
                    <w:topLinePunct/>
                    <w:autoSpaceDE/>
                    <w:autoSpaceDN/>
                    <w:bidi w:val="0"/>
                    <w:adjustRightInd/>
                    <w:snapToGrid/>
                    <w:textAlignment w:val="center"/>
                    <w:rPr>
                      <w:rFonts w:hint="eastAsia" w:ascii="Times New Roman" w:hAnsi="Times New Roman" w:eastAsia="宋体" w:cs="宋体"/>
                      <w:color w:val="auto"/>
                      <w:kern w:val="2"/>
                      <w:sz w:val="21"/>
                      <w:szCs w:val="21"/>
                      <w:highlight w:val="none"/>
                      <w:lang w:val="en-US" w:eastAsia="zh-CN" w:bidi="ar-SA"/>
                    </w:rPr>
                  </w:pPr>
                  <w:r>
                    <w:rPr>
                      <w:rFonts w:hint="eastAsia"/>
                      <w:color w:val="auto"/>
                      <w:sz w:val="21"/>
                      <w:szCs w:val="21"/>
                      <w:highlight w:val="none"/>
                    </w:rPr>
                    <w:t>1次/年</w:t>
                  </w:r>
                </w:p>
              </w:tc>
              <w:tc>
                <w:tcPr>
                  <w:tcW w:w="1589" w:type="pct"/>
                  <w:shd w:val="clear" w:color="auto" w:fill="auto"/>
                  <w:noWrap w:val="0"/>
                  <w:vAlign w:val="center"/>
                </w:tcPr>
                <w:p w14:paraId="2B05C0A3">
                  <w:pPr>
                    <w:pStyle w:val="60"/>
                    <w:ind w:firstLine="0" w:firstLineChars="0"/>
                    <w:rPr>
                      <w:rFonts w:hint="eastAsia" w:ascii="Times New Roman" w:hAnsi="Times New Roman" w:eastAsia="宋体" w:cs="宋体"/>
                      <w:color w:val="auto"/>
                      <w:kern w:val="2"/>
                      <w:sz w:val="21"/>
                      <w:szCs w:val="21"/>
                      <w:highlight w:val="none"/>
                      <w:lang w:val="en-US" w:eastAsia="zh-CN" w:bidi="ar-SA"/>
                    </w:rPr>
                  </w:pPr>
                  <w:r>
                    <w:rPr>
                      <w:rFonts w:hint="eastAsia"/>
                      <w:color w:val="auto"/>
                      <w:highlight w:val="none"/>
                      <w:lang w:val="en-US" w:eastAsia="zh-CN"/>
                    </w:rPr>
                    <w:t>《工业炉窑大气污染物排放标准》（GB9078-1996）表3要求</w:t>
                  </w:r>
                </w:p>
              </w:tc>
            </w:tr>
            <w:tr w14:paraId="04A321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8" w:type="pct"/>
                  <w:vMerge w:val="continue"/>
                  <w:noWrap w:val="0"/>
                  <w:vAlign w:val="center"/>
                </w:tcPr>
                <w:p w14:paraId="24164BB8">
                  <w:pPr>
                    <w:pStyle w:val="60"/>
                    <w:rPr>
                      <w:rFonts w:hint="eastAsia"/>
                      <w:color w:val="auto"/>
                      <w:sz w:val="21"/>
                      <w:szCs w:val="21"/>
                      <w:highlight w:val="none"/>
                    </w:rPr>
                  </w:pPr>
                </w:p>
              </w:tc>
              <w:tc>
                <w:tcPr>
                  <w:tcW w:w="886" w:type="pct"/>
                  <w:shd w:val="clear" w:color="auto" w:fill="auto"/>
                  <w:noWrap w:val="0"/>
                  <w:vAlign w:val="center"/>
                </w:tcPr>
                <w:p w14:paraId="5FF6562F">
                  <w:pPr>
                    <w:pStyle w:val="60"/>
                    <w:ind w:firstLine="0" w:firstLineChars="0"/>
                    <w:rPr>
                      <w:rFonts w:hint="default" w:ascii="Times New Roman" w:hAnsi="Times New Roman" w:eastAsia="宋体" w:cs="宋体"/>
                      <w:color w:val="auto"/>
                      <w:kern w:val="2"/>
                      <w:sz w:val="21"/>
                      <w:szCs w:val="21"/>
                      <w:highlight w:val="none"/>
                      <w:lang w:val="en-US" w:eastAsia="zh-CN" w:bidi="ar-SA"/>
                    </w:rPr>
                  </w:pPr>
                  <w:r>
                    <w:rPr>
                      <w:color w:val="auto"/>
                      <w:sz w:val="21"/>
                      <w:szCs w:val="21"/>
                      <w:highlight w:val="none"/>
                    </w:rPr>
                    <w:t>厂界</w:t>
                  </w:r>
                  <w:r>
                    <w:rPr>
                      <w:rFonts w:hint="eastAsia"/>
                      <w:color w:val="auto"/>
                      <w:sz w:val="21"/>
                      <w:szCs w:val="21"/>
                      <w:highlight w:val="none"/>
                      <w:lang w:eastAsia="zh-CN"/>
                    </w:rPr>
                    <w:t>（</w:t>
                  </w:r>
                  <w:r>
                    <w:rPr>
                      <w:rFonts w:hint="eastAsia"/>
                      <w:color w:val="auto"/>
                      <w:sz w:val="21"/>
                      <w:szCs w:val="21"/>
                      <w:highlight w:val="none"/>
                      <w:lang w:val="en-US" w:eastAsia="zh-CN"/>
                    </w:rPr>
                    <w:t>上风向一个点、下风向三个点</w:t>
                  </w:r>
                  <w:r>
                    <w:rPr>
                      <w:rFonts w:hint="eastAsia"/>
                      <w:color w:val="auto"/>
                      <w:sz w:val="21"/>
                      <w:szCs w:val="21"/>
                      <w:highlight w:val="none"/>
                      <w:lang w:eastAsia="zh-CN"/>
                    </w:rPr>
                    <w:t>）</w:t>
                  </w:r>
                </w:p>
              </w:tc>
              <w:tc>
                <w:tcPr>
                  <w:tcW w:w="817" w:type="pct"/>
                  <w:shd w:val="clear" w:color="auto" w:fill="auto"/>
                  <w:noWrap w:val="0"/>
                  <w:vAlign w:val="center"/>
                </w:tcPr>
                <w:p w14:paraId="509F6D9D">
                  <w:pPr>
                    <w:pStyle w:val="60"/>
                    <w:ind w:firstLine="0" w:firstLineChars="0"/>
                    <w:rPr>
                      <w:rFonts w:hint="eastAsia" w:ascii="Times New Roman" w:hAnsi="Times New Roman" w:eastAsia="宋体" w:cs="宋体"/>
                      <w:color w:val="auto"/>
                      <w:kern w:val="2"/>
                      <w:sz w:val="21"/>
                      <w:szCs w:val="21"/>
                      <w:highlight w:val="none"/>
                      <w:lang w:val="en-US" w:eastAsia="zh-CN" w:bidi="ar-SA"/>
                    </w:rPr>
                  </w:pPr>
                  <w:r>
                    <w:rPr>
                      <w:color w:val="auto"/>
                      <w:sz w:val="21"/>
                      <w:szCs w:val="21"/>
                      <w:highlight w:val="none"/>
                    </w:rPr>
                    <w:t>颗粒物</w:t>
                  </w:r>
                </w:p>
              </w:tc>
              <w:tc>
                <w:tcPr>
                  <w:tcW w:w="788" w:type="pct"/>
                  <w:shd w:val="clear" w:color="auto" w:fill="auto"/>
                  <w:noWrap w:val="0"/>
                  <w:vAlign w:val="center"/>
                </w:tcPr>
                <w:p w14:paraId="28E860BF">
                  <w:pPr>
                    <w:pStyle w:val="60"/>
                    <w:ind w:firstLine="0" w:firstLineChars="0"/>
                    <w:rPr>
                      <w:rFonts w:hint="eastAsia" w:ascii="Times New Roman" w:hAnsi="Times New Roman" w:eastAsia="宋体" w:cs="宋体"/>
                      <w:color w:val="auto"/>
                      <w:kern w:val="2"/>
                      <w:sz w:val="21"/>
                      <w:szCs w:val="21"/>
                      <w:highlight w:val="none"/>
                      <w:lang w:val="en-US" w:eastAsia="zh-CN" w:bidi="ar-SA"/>
                    </w:rPr>
                  </w:pPr>
                  <w:r>
                    <w:rPr>
                      <w:color w:val="auto"/>
                      <w:sz w:val="21"/>
                      <w:szCs w:val="21"/>
                      <w:highlight w:val="none"/>
                    </w:rPr>
                    <w:t>1次/年</w:t>
                  </w:r>
                </w:p>
              </w:tc>
              <w:tc>
                <w:tcPr>
                  <w:tcW w:w="1589" w:type="pct"/>
                  <w:shd w:val="clear" w:color="auto" w:fill="auto"/>
                  <w:noWrap w:val="0"/>
                  <w:vAlign w:val="center"/>
                </w:tcPr>
                <w:p w14:paraId="1C09EF21">
                  <w:pPr>
                    <w:pStyle w:val="60"/>
                    <w:ind w:firstLine="0" w:firstLineChars="0"/>
                    <w:rPr>
                      <w:rFonts w:hint="eastAsia" w:ascii="Times New Roman" w:hAnsi="Times New Roman" w:eastAsia="宋体" w:cs="宋体"/>
                      <w:color w:val="auto"/>
                      <w:kern w:val="2"/>
                      <w:sz w:val="21"/>
                      <w:szCs w:val="21"/>
                      <w:highlight w:val="none"/>
                      <w:lang w:val="en-US" w:eastAsia="zh-CN" w:bidi="ar-SA"/>
                    </w:rPr>
                  </w:pPr>
                  <w:r>
                    <w:rPr>
                      <w:color w:val="auto"/>
                      <w:sz w:val="21"/>
                      <w:szCs w:val="21"/>
                      <w:highlight w:val="none"/>
                    </w:rPr>
                    <w:t>《大气污染物综合排放标准》（GB16297-1996）表2中无组织排放监控浓度限值要求</w:t>
                  </w:r>
                </w:p>
              </w:tc>
            </w:tr>
          </w:tbl>
          <w:p w14:paraId="00396A5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color w:val="auto"/>
                <w:szCs w:val="21"/>
                <w:highlight w:val="none"/>
              </w:rPr>
            </w:pPr>
            <w:r>
              <w:rPr>
                <w:rFonts w:hint="eastAsia"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rPr>
              <w:t>废水</w:t>
            </w:r>
          </w:p>
          <w:p w14:paraId="106E05F1">
            <w:pPr>
              <w:pStyle w:val="46"/>
              <w:bidi w:val="0"/>
              <w:rPr>
                <w:color w:val="auto"/>
                <w:highlight w:val="none"/>
              </w:rPr>
            </w:pPr>
            <w:r>
              <w:rPr>
                <w:highlight w:val="none"/>
              </w:rPr>
              <w:t>本项目</w:t>
            </w:r>
            <w:r>
              <w:rPr>
                <w:highlight w:val="none"/>
                <w:lang w:val="en-US" w:eastAsia="zh-CN"/>
              </w:rPr>
              <w:t>无生产用水，</w:t>
            </w:r>
            <w:r>
              <w:rPr>
                <w:rFonts w:hint="eastAsia"/>
                <w:highlight w:val="none"/>
                <w:lang w:val="en-US" w:eastAsia="zh-CN"/>
              </w:rPr>
              <w:t>生活用水外购桶装水。</w:t>
            </w:r>
            <w:r>
              <w:rPr>
                <w:color w:val="auto"/>
                <w:sz w:val="24"/>
                <w:highlight w:val="none"/>
              </w:rPr>
              <w:t>本项目生活污水产生量为</w:t>
            </w:r>
            <w:r>
              <w:rPr>
                <w:rFonts w:hint="eastAsia"/>
                <w:color w:val="auto"/>
                <w:sz w:val="24"/>
                <w:highlight w:val="none"/>
                <w:lang w:val="en-US" w:eastAsia="zh-CN"/>
              </w:rPr>
              <w:t>0.51</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/d，</w:t>
            </w:r>
            <w:r>
              <w:rPr>
                <w:rFonts w:hint="eastAsia"/>
                <w:color w:val="auto"/>
                <w:sz w:val="24"/>
                <w:highlight w:val="none"/>
                <w:lang w:val="en-US" w:eastAsia="zh-CN"/>
              </w:rPr>
              <w:t>30.72</w:t>
            </w:r>
            <w:r>
              <w:rPr>
                <w:rFonts w:hint="eastAsia"/>
                <w:color w:val="auto"/>
                <w:sz w:val="24"/>
                <w:highlight w:val="none"/>
                <w:lang w:eastAsia="zh-CN"/>
              </w:rPr>
              <w:t>m</w:t>
            </w:r>
            <w:r>
              <w:rPr>
                <w:rFonts w:hint="eastAsia"/>
                <w:color w:val="auto"/>
                <w:sz w:val="24"/>
                <w:highlight w:val="none"/>
                <w:vertAlign w:val="superscript"/>
                <w:lang w:eastAsia="zh-CN"/>
              </w:rPr>
              <w:t>3</w:t>
            </w:r>
            <w:r>
              <w:rPr>
                <w:color w:val="auto"/>
                <w:sz w:val="24"/>
                <w:highlight w:val="none"/>
              </w:rPr>
              <w:t>/a。</w:t>
            </w:r>
            <w:r>
              <w:rPr>
                <w:color w:val="auto"/>
                <w:highlight w:val="none"/>
              </w:rPr>
              <w:t>生活污水中污染物主要为COD</w:t>
            </w:r>
            <w:r>
              <w:rPr>
                <w:rFonts w:hint="eastAsia"/>
                <w:color w:val="auto"/>
                <w:highlight w:val="none"/>
                <w:lang w:val="en-US" w:eastAsia="zh-CN"/>
              </w:rPr>
              <w:t xml:space="preserve"> </w:t>
            </w:r>
            <w:r>
              <w:rPr>
                <w:color w:val="auto"/>
                <w:highlight w:val="none"/>
              </w:rPr>
              <w:t>300mg/L、BOD</w:t>
            </w:r>
            <w:r>
              <w:rPr>
                <w:color w:val="auto"/>
                <w:highlight w:val="none"/>
                <w:vertAlign w:val="subscript"/>
              </w:rPr>
              <w:t>5</w:t>
            </w:r>
            <w:r>
              <w:rPr>
                <w:rFonts w:hint="eastAsia"/>
                <w:color w:val="auto"/>
                <w:highlight w:val="none"/>
              </w:rPr>
              <w:t xml:space="preserve"> </w:t>
            </w:r>
            <w:r>
              <w:rPr>
                <w:color w:val="auto"/>
                <w:highlight w:val="none"/>
              </w:rPr>
              <w:t>200mg/L、SS 200mg/L、NH</w:t>
            </w:r>
            <w:r>
              <w:rPr>
                <w:color w:val="auto"/>
                <w:highlight w:val="none"/>
                <w:vertAlign w:val="subscript"/>
              </w:rPr>
              <w:t>3</w:t>
            </w:r>
            <w:r>
              <w:rPr>
                <w:color w:val="auto"/>
                <w:highlight w:val="none"/>
              </w:rPr>
              <w:t>-N 25mg/L。生活污水排入厂区自建防渗旱厕，定期清掏，外运堆肥</w:t>
            </w:r>
            <w:r>
              <w:rPr>
                <w:rFonts w:hint="eastAsia"/>
                <w:color w:val="auto"/>
                <w:highlight w:val="none"/>
                <w:lang w:eastAsia="zh-CN"/>
              </w:rPr>
              <w:t>。</w:t>
            </w:r>
            <w:r>
              <w:rPr>
                <w:color w:val="auto"/>
                <w:highlight w:val="none"/>
              </w:rPr>
              <w:t>本项目生活水污染物产生情况见下表4-</w:t>
            </w:r>
            <w:r>
              <w:rPr>
                <w:rFonts w:hint="eastAsia"/>
                <w:color w:val="auto"/>
                <w:highlight w:val="none"/>
                <w:lang w:val="en-US" w:eastAsia="zh-CN"/>
              </w:rPr>
              <w:t>12</w:t>
            </w:r>
            <w:r>
              <w:rPr>
                <w:color w:val="auto"/>
                <w:highlight w:val="none"/>
              </w:rPr>
              <w:t>。</w:t>
            </w:r>
          </w:p>
          <w:p w14:paraId="0C3D091C">
            <w:pPr>
              <w:pStyle w:val="55"/>
              <w:bidi w:val="0"/>
              <w:rPr>
                <w:color w:val="auto"/>
                <w:highlight w:val="none"/>
                <w:lang w:val="en-US" w:eastAsia="zh-CN"/>
              </w:rPr>
            </w:pPr>
            <w:r>
              <w:rPr>
                <w:color w:val="auto"/>
                <w:highlight w:val="none"/>
                <w:lang w:val="en-US" w:eastAsia="zh-CN"/>
              </w:rPr>
              <w:t>表4-</w:t>
            </w:r>
            <w:r>
              <w:rPr>
                <w:rFonts w:hint="eastAsia"/>
                <w:color w:val="auto"/>
                <w:highlight w:val="none"/>
                <w:lang w:val="en-US" w:eastAsia="zh-CN"/>
              </w:rPr>
              <w:t>12</w:t>
            </w:r>
            <w:r>
              <w:rPr>
                <w:color w:val="auto"/>
                <w:highlight w:val="none"/>
                <w:lang w:val="en-US" w:eastAsia="zh-CN"/>
              </w:rPr>
              <w:t xml:space="preserve">   生活污水污染物产生情况表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43"/>
              <w:gridCol w:w="833"/>
              <w:gridCol w:w="462"/>
              <w:gridCol w:w="589"/>
              <w:gridCol w:w="644"/>
              <w:gridCol w:w="752"/>
              <w:gridCol w:w="469"/>
              <w:gridCol w:w="503"/>
              <w:gridCol w:w="549"/>
              <w:gridCol w:w="543"/>
              <w:gridCol w:w="634"/>
              <w:gridCol w:w="640"/>
              <w:gridCol w:w="605"/>
            </w:tblGrid>
            <w:tr w14:paraId="78DAFB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288" w:type="pct"/>
                  <w:vMerge w:val="restart"/>
                  <w:tcBorders>
                    <w:tl2br w:val="nil"/>
                    <w:tr2bl w:val="nil"/>
                  </w:tcBorders>
                  <w:vAlign w:val="center"/>
                </w:tcPr>
                <w:p w14:paraId="09FD6431">
                  <w:pPr>
                    <w:pStyle w:val="56"/>
                    <w:bidi w:val="0"/>
                    <w:rPr>
                      <w:color w:val="auto"/>
                      <w:sz w:val="21"/>
                      <w:szCs w:val="21"/>
                      <w:highlight w:val="none"/>
                      <w:lang w:val="en-US" w:eastAsia="zh-CN"/>
                    </w:rPr>
                  </w:pPr>
                  <w:bookmarkStart w:id="18" w:name="_Hlk523068116"/>
                  <w:r>
                    <w:rPr>
                      <w:color w:val="auto"/>
                      <w:sz w:val="21"/>
                      <w:szCs w:val="21"/>
                      <w:highlight w:val="none"/>
                      <w:lang w:val="en-US" w:eastAsia="zh-CN"/>
                    </w:rPr>
                    <w:t>污染源</w:t>
                  </w:r>
                </w:p>
              </w:tc>
              <w:tc>
                <w:tcPr>
                  <w:tcW w:w="543" w:type="pct"/>
                  <w:vMerge w:val="restart"/>
                  <w:tcBorders>
                    <w:tl2br w:val="nil"/>
                    <w:tr2bl w:val="nil"/>
                  </w:tcBorders>
                  <w:vAlign w:val="center"/>
                </w:tcPr>
                <w:p w14:paraId="41C77F29">
                  <w:pPr>
                    <w:pStyle w:val="56"/>
                    <w:bidi w:val="0"/>
                    <w:rPr>
                      <w:color w:val="auto"/>
                      <w:sz w:val="21"/>
                      <w:szCs w:val="21"/>
                      <w:highlight w:val="none"/>
                      <w:lang w:val="en-US" w:eastAsia="zh-CN"/>
                    </w:rPr>
                  </w:pPr>
                  <w:r>
                    <w:rPr>
                      <w:color w:val="auto"/>
                      <w:sz w:val="21"/>
                      <w:szCs w:val="21"/>
                      <w:highlight w:val="none"/>
                      <w:lang w:val="en-US" w:eastAsia="zh-CN"/>
                    </w:rPr>
                    <w:t>污染物</w:t>
                  </w:r>
                </w:p>
              </w:tc>
              <w:tc>
                <w:tcPr>
                  <w:tcW w:w="1596" w:type="pct"/>
                  <w:gridSpan w:val="4"/>
                  <w:tcBorders>
                    <w:tl2br w:val="nil"/>
                    <w:tr2bl w:val="nil"/>
                  </w:tcBorders>
                  <w:vAlign w:val="center"/>
                </w:tcPr>
                <w:p w14:paraId="2991F1A7">
                  <w:pPr>
                    <w:pStyle w:val="56"/>
                    <w:bidi w:val="0"/>
                    <w:rPr>
                      <w:color w:val="auto"/>
                      <w:sz w:val="21"/>
                      <w:szCs w:val="21"/>
                      <w:highlight w:val="none"/>
                      <w:lang w:val="en-US" w:eastAsia="zh-CN"/>
                    </w:rPr>
                  </w:pPr>
                  <w:r>
                    <w:rPr>
                      <w:color w:val="auto"/>
                      <w:sz w:val="21"/>
                      <w:szCs w:val="21"/>
                      <w:highlight w:val="none"/>
                      <w:lang w:val="en-US" w:eastAsia="zh-CN"/>
                    </w:rPr>
                    <w:t>污染物产生</w:t>
                  </w:r>
                </w:p>
              </w:tc>
              <w:tc>
                <w:tcPr>
                  <w:tcW w:w="633" w:type="pct"/>
                  <w:gridSpan w:val="2"/>
                  <w:tcBorders>
                    <w:tl2br w:val="nil"/>
                    <w:tr2bl w:val="nil"/>
                  </w:tcBorders>
                  <w:vAlign w:val="center"/>
                </w:tcPr>
                <w:p w14:paraId="0FCF23DE">
                  <w:pPr>
                    <w:pStyle w:val="56"/>
                    <w:bidi w:val="0"/>
                    <w:rPr>
                      <w:color w:val="auto"/>
                      <w:sz w:val="21"/>
                      <w:szCs w:val="21"/>
                      <w:highlight w:val="none"/>
                      <w:lang w:val="en-US" w:eastAsia="zh-CN"/>
                    </w:rPr>
                  </w:pPr>
                  <w:r>
                    <w:rPr>
                      <w:color w:val="auto"/>
                      <w:sz w:val="21"/>
                      <w:szCs w:val="21"/>
                      <w:highlight w:val="none"/>
                      <w:lang w:val="en-US" w:eastAsia="zh-CN"/>
                    </w:rPr>
                    <w:t>治理措施</w:t>
                  </w:r>
                </w:p>
              </w:tc>
              <w:tc>
                <w:tcPr>
                  <w:tcW w:w="1543" w:type="pct"/>
                  <w:gridSpan w:val="4"/>
                  <w:tcBorders>
                    <w:tl2br w:val="nil"/>
                    <w:tr2bl w:val="nil"/>
                  </w:tcBorders>
                  <w:vAlign w:val="center"/>
                </w:tcPr>
                <w:p w14:paraId="18EDF8D4">
                  <w:pPr>
                    <w:pStyle w:val="56"/>
                    <w:bidi w:val="0"/>
                    <w:rPr>
                      <w:color w:val="auto"/>
                      <w:sz w:val="21"/>
                      <w:szCs w:val="21"/>
                      <w:highlight w:val="none"/>
                      <w:lang w:val="en-US" w:eastAsia="zh-CN"/>
                    </w:rPr>
                  </w:pPr>
                  <w:r>
                    <w:rPr>
                      <w:color w:val="auto"/>
                      <w:sz w:val="21"/>
                      <w:szCs w:val="21"/>
                      <w:highlight w:val="none"/>
                      <w:lang w:val="en-US" w:eastAsia="zh-CN"/>
                    </w:rPr>
                    <w:t>污染物排放</w:t>
                  </w:r>
                </w:p>
              </w:tc>
              <w:tc>
                <w:tcPr>
                  <w:tcW w:w="394" w:type="pct"/>
                  <w:vMerge w:val="restart"/>
                  <w:tcBorders>
                    <w:tl2br w:val="nil"/>
                    <w:tr2bl w:val="nil"/>
                  </w:tcBorders>
                  <w:vAlign w:val="center"/>
                </w:tcPr>
                <w:p w14:paraId="4ADA16EB">
                  <w:pPr>
                    <w:pStyle w:val="56"/>
                    <w:bidi w:val="0"/>
                    <w:rPr>
                      <w:color w:val="auto"/>
                      <w:sz w:val="21"/>
                      <w:szCs w:val="21"/>
                      <w:highlight w:val="none"/>
                      <w:lang w:val="en-US" w:eastAsia="zh-CN"/>
                    </w:rPr>
                  </w:pPr>
                  <w:r>
                    <w:rPr>
                      <w:color w:val="auto"/>
                      <w:sz w:val="21"/>
                      <w:szCs w:val="21"/>
                      <w:highlight w:val="none"/>
                      <w:lang w:val="en-US" w:eastAsia="zh-CN"/>
                    </w:rPr>
                    <w:t>排放时间/h</w:t>
                  </w:r>
                </w:p>
              </w:tc>
            </w:tr>
            <w:tr w14:paraId="5E8B2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288" w:type="pct"/>
                  <w:vMerge w:val="continue"/>
                  <w:tcBorders>
                    <w:tl2br w:val="nil"/>
                    <w:tr2bl w:val="nil"/>
                  </w:tcBorders>
                  <w:vAlign w:val="center"/>
                </w:tcPr>
                <w:p w14:paraId="3E764B72">
                  <w:pPr>
                    <w:pStyle w:val="56"/>
                    <w:bidi w:val="0"/>
                    <w:rPr>
                      <w:color w:val="auto"/>
                      <w:sz w:val="21"/>
                      <w:szCs w:val="21"/>
                      <w:highlight w:val="none"/>
                      <w:lang w:val="en-US" w:eastAsia="zh-CN"/>
                    </w:rPr>
                  </w:pPr>
                </w:p>
              </w:tc>
              <w:tc>
                <w:tcPr>
                  <w:tcW w:w="543" w:type="pct"/>
                  <w:vMerge w:val="continue"/>
                  <w:tcBorders>
                    <w:tl2br w:val="nil"/>
                    <w:tr2bl w:val="nil"/>
                  </w:tcBorders>
                  <w:vAlign w:val="center"/>
                </w:tcPr>
                <w:p w14:paraId="0AC3A184">
                  <w:pPr>
                    <w:pStyle w:val="56"/>
                    <w:bidi w:val="0"/>
                    <w:rPr>
                      <w:color w:val="auto"/>
                      <w:sz w:val="21"/>
                      <w:szCs w:val="21"/>
                      <w:highlight w:val="none"/>
                      <w:lang w:val="en-US" w:eastAsia="zh-CN"/>
                    </w:rPr>
                  </w:pPr>
                </w:p>
              </w:tc>
              <w:tc>
                <w:tcPr>
                  <w:tcW w:w="301" w:type="pct"/>
                  <w:tcBorders>
                    <w:tl2br w:val="nil"/>
                    <w:tr2bl w:val="nil"/>
                  </w:tcBorders>
                  <w:vAlign w:val="center"/>
                </w:tcPr>
                <w:p w14:paraId="37994392">
                  <w:pPr>
                    <w:pStyle w:val="56"/>
                    <w:bidi w:val="0"/>
                    <w:rPr>
                      <w:color w:val="auto"/>
                      <w:sz w:val="21"/>
                      <w:szCs w:val="21"/>
                      <w:highlight w:val="none"/>
                      <w:lang w:val="en-US" w:eastAsia="zh-CN"/>
                    </w:rPr>
                  </w:pPr>
                  <w:r>
                    <w:rPr>
                      <w:color w:val="auto"/>
                      <w:sz w:val="21"/>
                      <w:szCs w:val="21"/>
                      <w:highlight w:val="none"/>
                      <w:lang w:val="en-US" w:eastAsia="zh-CN"/>
                    </w:rPr>
                    <w:t>核算方法</w:t>
                  </w:r>
                </w:p>
              </w:tc>
              <w:tc>
                <w:tcPr>
                  <w:tcW w:w="384" w:type="pct"/>
                  <w:tcBorders>
                    <w:tl2br w:val="nil"/>
                    <w:tr2bl w:val="nil"/>
                  </w:tcBorders>
                  <w:vAlign w:val="center"/>
                </w:tcPr>
                <w:p w14:paraId="1DEF3689">
                  <w:pPr>
                    <w:pStyle w:val="56"/>
                    <w:bidi w:val="0"/>
                    <w:rPr>
                      <w:color w:val="auto"/>
                      <w:sz w:val="21"/>
                      <w:szCs w:val="21"/>
                      <w:highlight w:val="none"/>
                      <w:lang w:val="en-US" w:eastAsia="zh-CN"/>
                    </w:rPr>
                  </w:pPr>
                  <w:r>
                    <w:rPr>
                      <w:color w:val="auto"/>
                      <w:sz w:val="21"/>
                      <w:szCs w:val="21"/>
                      <w:highlight w:val="none"/>
                      <w:lang w:val="en-US" w:eastAsia="zh-CN"/>
                    </w:rPr>
                    <w:t>产生废水/</w:t>
                  </w: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r>
                    <w:rPr>
                      <w:color w:val="auto"/>
                      <w:sz w:val="21"/>
                      <w:szCs w:val="21"/>
                      <w:highlight w:val="none"/>
                      <w:lang w:val="en-US" w:eastAsia="zh-CN"/>
                    </w:rPr>
                    <w:t>/a</w:t>
                  </w:r>
                </w:p>
              </w:tc>
              <w:tc>
                <w:tcPr>
                  <w:tcW w:w="420" w:type="pct"/>
                  <w:tcBorders>
                    <w:tl2br w:val="nil"/>
                    <w:tr2bl w:val="nil"/>
                  </w:tcBorders>
                  <w:vAlign w:val="center"/>
                </w:tcPr>
                <w:p w14:paraId="64576715">
                  <w:pPr>
                    <w:pStyle w:val="56"/>
                    <w:bidi w:val="0"/>
                    <w:rPr>
                      <w:color w:val="auto"/>
                      <w:sz w:val="21"/>
                      <w:szCs w:val="21"/>
                      <w:highlight w:val="none"/>
                      <w:lang w:val="en-US" w:eastAsia="zh-CN"/>
                    </w:rPr>
                  </w:pPr>
                  <w:r>
                    <w:rPr>
                      <w:color w:val="auto"/>
                      <w:sz w:val="21"/>
                      <w:szCs w:val="21"/>
                      <w:highlight w:val="none"/>
                      <w:lang w:val="en-US" w:eastAsia="zh-CN"/>
                    </w:rPr>
                    <w:t>产生浓度/mg/L</w:t>
                  </w:r>
                </w:p>
              </w:tc>
              <w:tc>
                <w:tcPr>
                  <w:tcW w:w="490" w:type="pct"/>
                  <w:tcBorders>
                    <w:tl2br w:val="nil"/>
                    <w:tr2bl w:val="nil"/>
                  </w:tcBorders>
                  <w:vAlign w:val="center"/>
                </w:tcPr>
                <w:p w14:paraId="646D3511">
                  <w:pPr>
                    <w:pStyle w:val="56"/>
                    <w:bidi w:val="0"/>
                    <w:rPr>
                      <w:color w:val="auto"/>
                      <w:sz w:val="21"/>
                      <w:szCs w:val="21"/>
                      <w:highlight w:val="none"/>
                      <w:lang w:val="en-US" w:eastAsia="zh-CN"/>
                    </w:rPr>
                  </w:pPr>
                  <w:r>
                    <w:rPr>
                      <w:color w:val="auto"/>
                      <w:sz w:val="21"/>
                      <w:szCs w:val="21"/>
                      <w:highlight w:val="none"/>
                      <w:lang w:val="en-US" w:eastAsia="zh-CN"/>
                    </w:rPr>
                    <w:t>产生量/t/a</w:t>
                  </w:r>
                </w:p>
              </w:tc>
              <w:tc>
                <w:tcPr>
                  <w:tcW w:w="305" w:type="pct"/>
                  <w:tcBorders>
                    <w:tl2br w:val="nil"/>
                    <w:tr2bl w:val="nil"/>
                  </w:tcBorders>
                  <w:vAlign w:val="center"/>
                </w:tcPr>
                <w:p w14:paraId="5E16C5D1">
                  <w:pPr>
                    <w:pStyle w:val="56"/>
                    <w:bidi w:val="0"/>
                    <w:rPr>
                      <w:color w:val="auto"/>
                      <w:sz w:val="21"/>
                      <w:szCs w:val="21"/>
                      <w:highlight w:val="none"/>
                      <w:lang w:val="en-US" w:eastAsia="zh-CN"/>
                    </w:rPr>
                  </w:pPr>
                  <w:r>
                    <w:rPr>
                      <w:color w:val="auto"/>
                      <w:sz w:val="21"/>
                      <w:szCs w:val="21"/>
                      <w:highlight w:val="none"/>
                      <w:lang w:val="en-US" w:eastAsia="zh-CN"/>
                    </w:rPr>
                    <w:t>工艺</w:t>
                  </w:r>
                </w:p>
              </w:tc>
              <w:tc>
                <w:tcPr>
                  <w:tcW w:w="328" w:type="pct"/>
                  <w:tcBorders>
                    <w:tl2br w:val="nil"/>
                    <w:tr2bl w:val="nil"/>
                  </w:tcBorders>
                  <w:vAlign w:val="center"/>
                </w:tcPr>
                <w:p w14:paraId="6AA3FE8F">
                  <w:pPr>
                    <w:pStyle w:val="56"/>
                    <w:bidi w:val="0"/>
                    <w:rPr>
                      <w:color w:val="auto"/>
                      <w:sz w:val="21"/>
                      <w:szCs w:val="21"/>
                      <w:highlight w:val="none"/>
                      <w:lang w:val="en-US" w:eastAsia="zh-CN"/>
                    </w:rPr>
                  </w:pPr>
                  <w:r>
                    <w:rPr>
                      <w:color w:val="auto"/>
                      <w:sz w:val="21"/>
                      <w:szCs w:val="21"/>
                      <w:highlight w:val="none"/>
                      <w:lang w:val="en-US" w:eastAsia="zh-CN"/>
                    </w:rPr>
                    <w:t>效率%</w:t>
                  </w:r>
                </w:p>
              </w:tc>
              <w:tc>
                <w:tcPr>
                  <w:tcW w:w="358" w:type="pct"/>
                  <w:tcBorders>
                    <w:tl2br w:val="nil"/>
                    <w:tr2bl w:val="nil"/>
                  </w:tcBorders>
                  <w:vAlign w:val="center"/>
                </w:tcPr>
                <w:p w14:paraId="41154397">
                  <w:pPr>
                    <w:pStyle w:val="56"/>
                    <w:bidi w:val="0"/>
                    <w:rPr>
                      <w:color w:val="auto"/>
                      <w:sz w:val="21"/>
                      <w:szCs w:val="21"/>
                      <w:highlight w:val="none"/>
                      <w:lang w:val="en-US" w:eastAsia="zh-CN"/>
                    </w:rPr>
                  </w:pPr>
                  <w:r>
                    <w:rPr>
                      <w:color w:val="auto"/>
                      <w:sz w:val="21"/>
                      <w:szCs w:val="21"/>
                      <w:highlight w:val="none"/>
                      <w:lang w:val="en-US" w:eastAsia="zh-CN"/>
                    </w:rPr>
                    <w:t>核算方法</w:t>
                  </w:r>
                </w:p>
              </w:tc>
              <w:tc>
                <w:tcPr>
                  <w:tcW w:w="354" w:type="pct"/>
                  <w:tcBorders>
                    <w:tl2br w:val="nil"/>
                    <w:tr2bl w:val="nil"/>
                  </w:tcBorders>
                  <w:vAlign w:val="center"/>
                </w:tcPr>
                <w:p w14:paraId="417BAC71">
                  <w:pPr>
                    <w:pStyle w:val="56"/>
                    <w:bidi w:val="0"/>
                    <w:rPr>
                      <w:color w:val="auto"/>
                      <w:sz w:val="21"/>
                      <w:szCs w:val="21"/>
                      <w:highlight w:val="none"/>
                      <w:lang w:val="en-US" w:eastAsia="zh-CN"/>
                    </w:rPr>
                  </w:pPr>
                  <w:r>
                    <w:rPr>
                      <w:color w:val="auto"/>
                      <w:sz w:val="21"/>
                      <w:szCs w:val="21"/>
                      <w:highlight w:val="none"/>
                      <w:lang w:val="en-US" w:eastAsia="zh-CN"/>
                    </w:rPr>
                    <w:t>排放废水/t/a</w:t>
                  </w:r>
                </w:p>
              </w:tc>
              <w:tc>
                <w:tcPr>
                  <w:tcW w:w="413" w:type="pct"/>
                  <w:tcBorders>
                    <w:tl2br w:val="nil"/>
                    <w:tr2bl w:val="nil"/>
                  </w:tcBorders>
                  <w:vAlign w:val="center"/>
                </w:tcPr>
                <w:p w14:paraId="64792F92">
                  <w:pPr>
                    <w:pStyle w:val="56"/>
                    <w:bidi w:val="0"/>
                    <w:rPr>
                      <w:color w:val="auto"/>
                      <w:sz w:val="21"/>
                      <w:szCs w:val="21"/>
                      <w:highlight w:val="none"/>
                      <w:lang w:val="en-US" w:eastAsia="zh-CN"/>
                    </w:rPr>
                  </w:pPr>
                  <w:r>
                    <w:rPr>
                      <w:color w:val="auto"/>
                      <w:sz w:val="21"/>
                      <w:szCs w:val="21"/>
                      <w:highlight w:val="none"/>
                      <w:lang w:val="en-US" w:eastAsia="zh-CN"/>
                    </w:rPr>
                    <w:t>排放浓度/mg/L</w:t>
                  </w:r>
                </w:p>
              </w:tc>
              <w:tc>
                <w:tcPr>
                  <w:tcW w:w="417" w:type="pct"/>
                  <w:tcBorders>
                    <w:tl2br w:val="nil"/>
                    <w:tr2bl w:val="nil"/>
                  </w:tcBorders>
                  <w:vAlign w:val="center"/>
                </w:tcPr>
                <w:p w14:paraId="37248DFD">
                  <w:pPr>
                    <w:pStyle w:val="56"/>
                    <w:bidi w:val="0"/>
                    <w:rPr>
                      <w:color w:val="auto"/>
                      <w:sz w:val="21"/>
                      <w:szCs w:val="21"/>
                      <w:highlight w:val="none"/>
                      <w:lang w:val="en-US" w:eastAsia="zh-CN"/>
                    </w:rPr>
                  </w:pPr>
                  <w:r>
                    <w:rPr>
                      <w:color w:val="auto"/>
                      <w:sz w:val="21"/>
                      <w:szCs w:val="21"/>
                      <w:highlight w:val="none"/>
                      <w:lang w:val="en-US" w:eastAsia="zh-CN"/>
                    </w:rPr>
                    <w:t>排放量/t/a</w:t>
                  </w:r>
                </w:p>
              </w:tc>
              <w:tc>
                <w:tcPr>
                  <w:tcW w:w="394" w:type="pct"/>
                  <w:vMerge w:val="continue"/>
                  <w:tcBorders>
                    <w:tl2br w:val="nil"/>
                    <w:tr2bl w:val="nil"/>
                  </w:tcBorders>
                  <w:vAlign w:val="center"/>
                </w:tcPr>
                <w:p w14:paraId="1EC1FD52">
                  <w:pPr>
                    <w:pStyle w:val="56"/>
                    <w:bidi w:val="0"/>
                    <w:rPr>
                      <w:color w:val="auto"/>
                      <w:sz w:val="21"/>
                      <w:szCs w:val="21"/>
                      <w:highlight w:val="none"/>
                      <w:lang w:val="en-US" w:eastAsia="zh-CN"/>
                    </w:rPr>
                  </w:pPr>
                </w:p>
              </w:tc>
            </w:tr>
            <w:tr w14:paraId="17A7E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288" w:type="pct"/>
                  <w:vMerge w:val="restart"/>
                  <w:tcBorders>
                    <w:tl2br w:val="nil"/>
                    <w:tr2bl w:val="nil"/>
                  </w:tcBorders>
                  <w:vAlign w:val="center"/>
                </w:tcPr>
                <w:p w14:paraId="128C803F">
                  <w:pPr>
                    <w:pStyle w:val="56"/>
                    <w:bidi w:val="0"/>
                    <w:rPr>
                      <w:color w:val="auto"/>
                      <w:sz w:val="21"/>
                      <w:szCs w:val="21"/>
                      <w:highlight w:val="none"/>
                      <w:lang w:val="en-US" w:eastAsia="zh-CN"/>
                    </w:rPr>
                  </w:pPr>
                  <w:r>
                    <w:rPr>
                      <w:color w:val="auto"/>
                      <w:sz w:val="21"/>
                      <w:szCs w:val="21"/>
                      <w:highlight w:val="none"/>
                      <w:lang w:val="en-US" w:eastAsia="zh-CN"/>
                    </w:rPr>
                    <w:t>生活污水</w:t>
                  </w:r>
                </w:p>
              </w:tc>
              <w:tc>
                <w:tcPr>
                  <w:tcW w:w="543" w:type="pct"/>
                  <w:tcBorders>
                    <w:tl2br w:val="nil"/>
                    <w:tr2bl w:val="nil"/>
                  </w:tcBorders>
                  <w:vAlign w:val="center"/>
                </w:tcPr>
                <w:p w14:paraId="48D2A704">
                  <w:pPr>
                    <w:pStyle w:val="56"/>
                    <w:bidi w:val="0"/>
                    <w:rPr>
                      <w:color w:val="auto"/>
                      <w:sz w:val="21"/>
                      <w:szCs w:val="21"/>
                      <w:highlight w:val="none"/>
                      <w:lang w:val="en-US" w:eastAsia="zh-CN"/>
                    </w:rPr>
                  </w:pPr>
                  <w:r>
                    <w:rPr>
                      <w:color w:val="auto"/>
                      <w:sz w:val="21"/>
                      <w:szCs w:val="21"/>
                      <w:highlight w:val="none"/>
                      <w:lang w:val="en-US" w:eastAsia="zh-CN"/>
                    </w:rPr>
                    <w:t>COD</w:t>
                  </w:r>
                </w:p>
              </w:tc>
              <w:tc>
                <w:tcPr>
                  <w:tcW w:w="301" w:type="pct"/>
                  <w:vMerge w:val="restart"/>
                  <w:tcBorders>
                    <w:tl2br w:val="nil"/>
                    <w:tr2bl w:val="nil"/>
                  </w:tcBorders>
                  <w:vAlign w:val="center"/>
                </w:tcPr>
                <w:p w14:paraId="3B39614A">
                  <w:pPr>
                    <w:pStyle w:val="56"/>
                    <w:bidi w:val="0"/>
                    <w:rPr>
                      <w:color w:val="auto"/>
                      <w:sz w:val="21"/>
                      <w:szCs w:val="21"/>
                      <w:highlight w:val="none"/>
                      <w:lang w:val="en-US" w:eastAsia="zh-CN"/>
                    </w:rPr>
                  </w:pPr>
                  <w:r>
                    <w:rPr>
                      <w:rFonts w:hint="eastAsia"/>
                      <w:color w:val="auto"/>
                      <w:sz w:val="21"/>
                      <w:szCs w:val="21"/>
                      <w:highlight w:val="none"/>
                      <w:lang w:val="en-US" w:eastAsia="zh-CN"/>
                    </w:rPr>
                    <w:t>/</w:t>
                  </w:r>
                </w:p>
              </w:tc>
              <w:tc>
                <w:tcPr>
                  <w:tcW w:w="384" w:type="pct"/>
                  <w:vMerge w:val="restart"/>
                  <w:tcBorders>
                    <w:tl2br w:val="nil"/>
                    <w:tr2bl w:val="nil"/>
                  </w:tcBorders>
                  <w:vAlign w:val="center"/>
                </w:tcPr>
                <w:p w14:paraId="29E3D90C">
                  <w:pPr>
                    <w:pStyle w:val="56"/>
                    <w:bidi w:val="0"/>
                    <w:rPr>
                      <w:rFonts w:hint="default"/>
                      <w:color w:val="auto"/>
                      <w:sz w:val="21"/>
                      <w:szCs w:val="21"/>
                      <w:highlight w:val="none"/>
                      <w:lang w:val="en-US" w:eastAsia="zh-CN"/>
                    </w:rPr>
                  </w:pPr>
                  <w:r>
                    <w:rPr>
                      <w:rFonts w:hint="eastAsia"/>
                      <w:color w:val="auto"/>
                      <w:sz w:val="21"/>
                      <w:szCs w:val="21"/>
                      <w:highlight w:val="none"/>
                      <w:lang w:val="en-US" w:eastAsia="zh-CN"/>
                    </w:rPr>
                    <w:t>30.72</w:t>
                  </w:r>
                </w:p>
              </w:tc>
              <w:tc>
                <w:tcPr>
                  <w:tcW w:w="420" w:type="pct"/>
                  <w:tcBorders>
                    <w:tl2br w:val="nil"/>
                    <w:tr2bl w:val="nil"/>
                  </w:tcBorders>
                  <w:vAlign w:val="center"/>
                </w:tcPr>
                <w:p w14:paraId="7E0B29F9">
                  <w:pPr>
                    <w:pStyle w:val="56"/>
                    <w:bidi w:val="0"/>
                    <w:rPr>
                      <w:color w:val="auto"/>
                      <w:sz w:val="21"/>
                      <w:szCs w:val="21"/>
                      <w:highlight w:val="none"/>
                      <w:lang w:val="en-US" w:eastAsia="zh-CN"/>
                    </w:rPr>
                  </w:pPr>
                  <w:r>
                    <w:rPr>
                      <w:color w:val="auto"/>
                      <w:sz w:val="21"/>
                      <w:szCs w:val="21"/>
                      <w:highlight w:val="none"/>
                      <w:lang w:val="en-US" w:eastAsia="zh-CN"/>
                    </w:rPr>
                    <w:t>300</w:t>
                  </w:r>
                </w:p>
              </w:tc>
              <w:tc>
                <w:tcPr>
                  <w:tcW w:w="752" w:type="dxa"/>
                  <w:tcBorders>
                    <w:tl2br w:val="nil"/>
                    <w:tr2bl w:val="nil"/>
                  </w:tcBorders>
                  <w:vAlign w:val="center"/>
                </w:tcPr>
                <w:p w14:paraId="5463B923">
                  <w:pPr>
                    <w:pStyle w:val="48"/>
                    <w:bidi w:val="0"/>
                    <w:rPr>
                      <w:sz w:val="21"/>
                      <w:szCs w:val="21"/>
                    </w:rPr>
                  </w:pPr>
                  <w:r>
                    <w:rPr>
                      <w:rFonts w:hint="default"/>
                      <w:sz w:val="21"/>
                      <w:szCs w:val="21"/>
                      <w:lang w:val="en-US" w:eastAsia="zh-CN"/>
                    </w:rPr>
                    <w:t>0.0092</w:t>
                  </w:r>
                </w:p>
              </w:tc>
              <w:tc>
                <w:tcPr>
                  <w:tcW w:w="305" w:type="pct"/>
                  <w:vMerge w:val="restart"/>
                  <w:tcBorders>
                    <w:tl2br w:val="nil"/>
                    <w:tr2bl w:val="nil"/>
                  </w:tcBorders>
                  <w:vAlign w:val="center"/>
                </w:tcPr>
                <w:p w14:paraId="095ABB2F">
                  <w:pPr>
                    <w:pStyle w:val="56"/>
                    <w:bidi w:val="0"/>
                    <w:rPr>
                      <w:color w:val="auto"/>
                      <w:sz w:val="21"/>
                      <w:szCs w:val="21"/>
                      <w:highlight w:val="none"/>
                      <w:lang w:val="en-US" w:eastAsia="zh-CN"/>
                    </w:rPr>
                  </w:pPr>
                  <w:r>
                    <w:rPr>
                      <w:color w:val="auto"/>
                      <w:sz w:val="21"/>
                      <w:szCs w:val="21"/>
                      <w:highlight w:val="none"/>
                      <w:lang w:val="en-US" w:eastAsia="zh-CN"/>
                    </w:rPr>
                    <w:t>防渗旱厕</w:t>
                  </w:r>
                </w:p>
              </w:tc>
              <w:tc>
                <w:tcPr>
                  <w:tcW w:w="328" w:type="pct"/>
                  <w:vMerge w:val="restart"/>
                  <w:tcBorders>
                    <w:tl2br w:val="nil"/>
                    <w:tr2bl w:val="nil"/>
                  </w:tcBorders>
                  <w:vAlign w:val="center"/>
                </w:tcPr>
                <w:p w14:paraId="425547F8">
                  <w:pPr>
                    <w:pStyle w:val="56"/>
                    <w:bidi w:val="0"/>
                    <w:rPr>
                      <w:color w:val="auto"/>
                      <w:sz w:val="21"/>
                      <w:szCs w:val="21"/>
                      <w:highlight w:val="none"/>
                      <w:lang w:val="en-US" w:eastAsia="zh-CN"/>
                    </w:rPr>
                  </w:pPr>
                  <w:r>
                    <w:rPr>
                      <w:color w:val="auto"/>
                      <w:sz w:val="21"/>
                      <w:szCs w:val="21"/>
                      <w:highlight w:val="none"/>
                      <w:lang w:val="en-US" w:eastAsia="zh-CN"/>
                    </w:rPr>
                    <w:t>/</w:t>
                  </w:r>
                </w:p>
              </w:tc>
              <w:tc>
                <w:tcPr>
                  <w:tcW w:w="358" w:type="pct"/>
                  <w:vMerge w:val="restart"/>
                  <w:tcBorders>
                    <w:tl2br w:val="nil"/>
                    <w:tr2bl w:val="nil"/>
                  </w:tcBorders>
                  <w:vAlign w:val="center"/>
                </w:tcPr>
                <w:p w14:paraId="733ED0FF">
                  <w:pPr>
                    <w:pStyle w:val="56"/>
                    <w:bidi w:val="0"/>
                    <w:rPr>
                      <w:color w:val="auto"/>
                      <w:sz w:val="21"/>
                      <w:szCs w:val="21"/>
                      <w:highlight w:val="none"/>
                    </w:rPr>
                  </w:pPr>
                  <w:r>
                    <w:rPr>
                      <w:color w:val="auto"/>
                      <w:sz w:val="21"/>
                      <w:szCs w:val="21"/>
                      <w:highlight w:val="none"/>
                    </w:rPr>
                    <w:t>类比法</w:t>
                  </w:r>
                </w:p>
              </w:tc>
              <w:tc>
                <w:tcPr>
                  <w:tcW w:w="354" w:type="pct"/>
                  <w:vMerge w:val="restart"/>
                  <w:tcBorders>
                    <w:tl2br w:val="nil"/>
                    <w:tr2bl w:val="nil"/>
                  </w:tcBorders>
                  <w:vAlign w:val="center"/>
                </w:tcPr>
                <w:p w14:paraId="7594089D">
                  <w:pPr>
                    <w:pStyle w:val="56"/>
                    <w:bidi w:val="0"/>
                    <w:rPr>
                      <w:color w:val="auto"/>
                      <w:sz w:val="21"/>
                      <w:szCs w:val="21"/>
                      <w:highlight w:val="none"/>
                      <w:lang w:val="en-US" w:eastAsia="zh-CN"/>
                    </w:rPr>
                  </w:pPr>
                  <w:r>
                    <w:rPr>
                      <w:color w:val="auto"/>
                      <w:sz w:val="21"/>
                      <w:szCs w:val="21"/>
                      <w:highlight w:val="none"/>
                      <w:lang w:val="en-US" w:eastAsia="zh-CN"/>
                    </w:rPr>
                    <w:t>0</w:t>
                  </w:r>
                </w:p>
              </w:tc>
              <w:tc>
                <w:tcPr>
                  <w:tcW w:w="413" w:type="pct"/>
                  <w:tcBorders>
                    <w:tl2br w:val="nil"/>
                    <w:tr2bl w:val="nil"/>
                  </w:tcBorders>
                  <w:vAlign w:val="center"/>
                </w:tcPr>
                <w:p w14:paraId="3001B720">
                  <w:pPr>
                    <w:pStyle w:val="56"/>
                    <w:bidi w:val="0"/>
                    <w:rPr>
                      <w:color w:val="auto"/>
                      <w:sz w:val="21"/>
                      <w:szCs w:val="21"/>
                      <w:highlight w:val="none"/>
                      <w:lang w:val="en-US" w:eastAsia="zh-CN"/>
                    </w:rPr>
                  </w:pPr>
                  <w:r>
                    <w:rPr>
                      <w:color w:val="auto"/>
                      <w:sz w:val="21"/>
                      <w:szCs w:val="21"/>
                      <w:highlight w:val="none"/>
                      <w:lang w:val="en-US" w:eastAsia="zh-CN"/>
                    </w:rPr>
                    <w:t>0</w:t>
                  </w:r>
                </w:p>
              </w:tc>
              <w:tc>
                <w:tcPr>
                  <w:tcW w:w="417" w:type="pct"/>
                  <w:tcBorders>
                    <w:tl2br w:val="nil"/>
                    <w:tr2bl w:val="nil"/>
                  </w:tcBorders>
                  <w:vAlign w:val="center"/>
                </w:tcPr>
                <w:p w14:paraId="48D2F3CF">
                  <w:pPr>
                    <w:pStyle w:val="56"/>
                    <w:bidi w:val="0"/>
                    <w:rPr>
                      <w:color w:val="auto"/>
                      <w:sz w:val="21"/>
                      <w:szCs w:val="21"/>
                      <w:highlight w:val="none"/>
                      <w:lang w:val="en-US" w:eastAsia="zh-CN"/>
                    </w:rPr>
                  </w:pPr>
                  <w:r>
                    <w:rPr>
                      <w:color w:val="auto"/>
                      <w:sz w:val="21"/>
                      <w:szCs w:val="21"/>
                      <w:highlight w:val="none"/>
                      <w:lang w:val="en-US" w:eastAsia="zh-CN"/>
                    </w:rPr>
                    <w:t>0</w:t>
                  </w:r>
                </w:p>
              </w:tc>
              <w:tc>
                <w:tcPr>
                  <w:tcW w:w="394" w:type="pct"/>
                  <w:vMerge w:val="restart"/>
                  <w:tcBorders>
                    <w:tl2br w:val="nil"/>
                    <w:tr2bl w:val="nil"/>
                  </w:tcBorders>
                  <w:vAlign w:val="center"/>
                </w:tcPr>
                <w:p w14:paraId="44EF38DB">
                  <w:pPr>
                    <w:pStyle w:val="56"/>
                    <w:bidi w:val="0"/>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0D77A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288" w:type="pct"/>
                  <w:vMerge w:val="continue"/>
                  <w:tcBorders>
                    <w:tl2br w:val="nil"/>
                    <w:tr2bl w:val="nil"/>
                  </w:tcBorders>
                  <w:vAlign w:val="center"/>
                </w:tcPr>
                <w:p w14:paraId="313375E2">
                  <w:pPr>
                    <w:pStyle w:val="56"/>
                    <w:bidi w:val="0"/>
                    <w:rPr>
                      <w:color w:val="auto"/>
                      <w:sz w:val="21"/>
                      <w:szCs w:val="21"/>
                      <w:highlight w:val="none"/>
                      <w:lang w:val="en-US" w:eastAsia="zh-CN"/>
                    </w:rPr>
                  </w:pPr>
                </w:p>
              </w:tc>
              <w:tc>
                <w:tcPr>
                  <w:tcW w:w="543" w:type="pct"/>
                  <w:tcBorders>
                    <w:tl2br w:val="nil"/>
                    <w:tr2bl w:val="nil"/>
                  </w:tcBorders>
                  <w:vAlign w:val="center"/>
                </w:tcPr>
                <w:p w14:paraId="0333F613">
                  <w:pPr>
                    <w:pStyle w:val="56"/>
                    <w:bidi w:val="0"/>
                    <w:rPr>
                      <w:color w:val="auto"/>
                      <w:sz w:val="21"/>
                      <w:szCs w:val="21"/>
                      <w:highlight w:val="none"/>
                      <w:lang w:val="en-US" w:eastAsia="zh-CN"/>
                    </w:rPr>
                  </w:pPr>
                  <w:r>
                    <w:rPr>
                      <w:color w:val="auto"/>
                      <w:sz w:val="21"/>
                      <w:szCs w:val="21"/>
                      <w:highlight w:val="none"/>
                      <w:lang w:val="en-US" w:eastAsia="zh-CN"/>
                    </w:rPr>
                    <w:t>NH</w:t>
                  </w:r>
                  <w:r>
                    <w:rPr>
                      <w:color w:val="auto"/>
                      <w:sz w:val="21"/>
                      <w:szCs w:val="21"/>
                      <w:highlight w:val="none"/>
                      <w:vertAlign w:val="subscript"/>
                      <w:lang w:val="en-US" w:eastAsia="zh-CN"/>
                    </w:rPr>
                    <w:t>3</w:t>
                  </w:r>
                  <w:r>
                    <w:rPr>
                      <w:color w:val="auto"/>
                      <w:sz w:val="21"/>
                      <w:szCs w:val="21"/>
                      <w:highlight w:val="none"/>
                      <w:lang w:val="en-US" w:eastAsia="zh-CN"/>
                    </w:rPr>
                    <w:t>-N</w:t>
                  </w:r>
                </w:p>
              </w:tc>
              <w:tc>
                <w:tcPr>
                  <w:tcW w:w="301" w:type="pct"/>
                  <w:vMerge w:val="continue"/>
                  <w:tcBorders>
                    <w:tl2br w:val="nil"/>
                    <w:tr2bl w:val="nil"/>
                  </w:tcBorders>
                  <w:vAlign w:val="center"/>
                </w:tcPr>
                <w:p w14:paraId="5FE8974B">
                  <w:pPr>
                    <w:pStyle w:val="56"/>
                    <w:bidi w:val="0"/>
                    <w:rPr>
                      <w:color w:val="auto"/>
                      <w:sz w:val="21"/>
                      <w:szCs w:val="21"/>
                      <w:highlight w:val="none"/>
                      <w:lang w:val="en-US" w:eastAsia="zh-CN"/>
                    </w:rPr>
                  </w:pPr>
                </w:p>
              </w:tc>
              <w:tc>
                <w:tcPr>
                  <w:tcW w:w="384" w:type="pct"/>
                  <w:vMerge w:val="continue"/>
                  <w:tcBorders>
                    <w:tl2br w:val="nil"/>
                    <w:tr2bl w:val="nil"/>
                  </w:tcBorders>
                  <w:vAlign w:val="center"/>
                </w:tcPr>
                <w:p w14:paraId="7AB6B9C9">
                  <w:pPr>
                    <w:pStyle w:val="56"/>
                    <w:bidi w:val="0"/>
                    <w:rPr>
                      <w:color w:val="auto"/>
                      <w:sz w:val="21"/>
                      <w:szCs w:val="21"/>
                      <w:highlight w:val="none"/>
                      <w:lang w:val="en-US" w:eastAsia="zh-CN"/>
                    </w:rPr>
                  </w:pPr>
                </w:p>
              </w:tc>
              <w:tc>
                <w:tcPr>
                  <w:tcW w:w="420" w:type="pct"/>
                  <w:tcBorders>
                    <w:tl2br w:val="nil"/>
                    <w:tr2bl w:val="nil"/>
                  </w:tcBorders>
                  <w:vAlign w:val="center"/>
                </w:tcPr>
                <w:p w14:paraId="3C4E8625">
                  <w:pPr>
                    <w:pStyle w:val="56"/>
                    <w:bidi w:val="0"/>
                    <w:rPr>
                      <w:color w:val="auto"/>
                      <w:sz w:val="21"/>
                      <w:szCs w:val="21"/>
                      <w:highlight w:val="none"/>
                      <w:lang w:val="en-US" w:eastAsia="zh-CN"/>
                    </w:rPr>
                  </w:pPr>
                  <w:r>
                    <w:rPr>
                      <w:color w:val="auto"/>
                      <w:sz w:val="21"/>
                      <w:szCs w:val="21"/>
                      <w:highlight w:val="none"/>
                      <w:lang w:val="en-US" w:eastAsia="zh-CN"/>
                    </w:rPr>
                    <w:t>25</w:t>
                  </w:r>
                </w:p>
              </w:tc>
              <w:tc>
                <w:tcPr>
                  <w:tcW w:w="752" w:type="dxa"/>
                  <w:tcBorders>
                    <w:tl2br w:val="nil"/>
                    <w:tr2bl w:val="nil"/>
                  </w:tcBorders>
                  <w:vAlign w:val="center"/>
                </w:tcPr>
                <w:p w14:paraId="560C9FF9">
                  <w:pPr>
                    <w:pStyle w:val="48"/>
                    <w:bidi w:val="0"/>
                    <w:rPr>
                      <w:sz w:val="21"/>
                      <w:szCs w:val="21"/>
                    </w:rPr>
                  </w:pPr>
                  <w:r>
                    <w:rPr>
                      <w:rFonts w:hint="default"/>
                      <w:sz w:val="21"/>
                      <w:szCs w:val="21"/>
                      <w:lang w:val="en-US" w:eastAsia="zh-CN"/>
                    </w:rPr>
                    <w:t>0.0008</w:t>
                  </w:r>
                </w:p>
              </w:tc>
              <w:tc>
                <w:tcPr>
                  <w:tcW w:w="305" w:type="pct"/>
                  <w:vMerge w:val="continue"/>
                  <w:tcBorders>
                    <w:tl2br w:val="nil"/>
                    <w:tr2bl w:val="nil"/>
                  </w:tcBorders>
                  <w:vAlign w:val="center"/>
                </w:tcPr>
                <w:p w14:paraId="7790B541">
                  <w:pPr>
                    <w:pStyle w:val="56"/>
                    <w:bidi w:val="0"/>
                    <w:rPr>
                      <w:color w:val="auto"/>
                      <w:sz w:val="21"/>
                      <w:szCs w:val="21"/>
                      <w:highlight w:val="none"/>
                      <w:lang w:val="en-US" w:eastAsia="zh-CN"/>
                    </w:rPr>
                  </w:pPr>
                </w:p>
              </w:tc>
              <w:tc>
                <w:tcPr>
                  <w:tcW w:w="328" w:type="pct"/>
                  <w:vMerge w:val="continue"/>
                  <w:tcBorders>
                    <w:tl2br w:val="nil"/>
                    <w:tr2bl w:val="nil"/>
                  </w:tcBorders>
                  <w:vAlign w:val="center"/>
                </w:tcPr>
                <w:p w14:paraId="729890D9">
                  <w:pPr>
                    <w:pStyle w:val="56"/>
                    <w:bidi w:val="0"/>
                    <w:rPr>
                      <w:color w:val="auto"/>
                      <w:sz w:val="21"/>
                      <w:szCs w:val="21"/>
                      <w:highlight w:val="none"/>
                      <w:lang w:val="en-US" w:eastAsia="zh-CN"/>
                    </w:rPr>
                  </w:pPr>
                </w:p>
              </w:tc>
              <w:tc>
                <w:tcPr>
                  <w:tcW w:w="358" w:type="pct"/>
                  <w:vMerge w:val="continue"/>
                  <w:tcBorders>
                    <w:tl2br w:val="nil"/>
                    <w:tr2bl w:val="nil"/>
                  </w:tcBorders>
                  <w:vAlign w:val="center"/>
                </w:tcPr>
                <w:p w14:paraId="355A126F">
                  <w:pPr>
                    <w:pStyle w:val="56"/>
                    <w:bidi w:val="0"/>
                    <w:rPr>
                      <w:color w:val="auto"/>
                      <w:sz w:val="21"/>
                      <w:szCs w:val="21"/>
                      <w:highlight w:val="none"/>
                    </w:rPr>
                  </w:pPr>
                </w:p>
              </w:tc>
              <w:tc>
                <w:tcPr>
                  <w:tcW w:w="354" w:type="pct"/>
                  <w:vMerge w:val="continue"/>
                  <w:tcBorders>
                    <w:tl2br w:val="nil"/>
                    <w:tr2bl w:val="nil"/>
                  </w:tcBorders>
                  <w:vAlign w:val="center"/>
                </w:tcPr>
                <w:p w14:paraId="15516D23">
                  <w:pPr>
                    <w:pStyle w:val="56"/>
                    <w:bidi w:val="0"/>
                    <w:rPr>
                      <w:color w:val="auto"/>
                      <w:sz w:val="21"/>
                      <w:szCs w:val="21"/>
                      <w:highlight w:val="none"/>
                      <w:lang w:val="en-US" w:eastAsia="zh-CN"/>
                    </w:rPr>
                  </w:pPr>
                </w:p>
              </w:tc>
              <w:tc>
                <w:tcPr>
                  <w:tcW w:w="413" w:type="pct"/>
                  <w:tcBorders>
                    <w:tl2br w:val="nil"/>
                    <w:tr2bl w:val="nil"/>
                  </w:tcBorders>
                  <w:vAlign w:val="center"/>
                </w:tcPr>
                <w:p w14:paraId="691CEACA">
                  <w:pPr>
                    <w:pStyle w:val="56"/>
                    <w:bidi w:val="0"/>
                    <w:rPr>
                      <w:color w:val="auto"/>
                      <w:sz w:val="21"/>
                      <w:szCs w:val="21"/>
                      <w:highlight w:val="none"/>
                      <w:lang w:val="en-US" w:eastAsia="zh-CN"/>
                    </w:rPr>
                  </w:pPr>
                  <w:r>
                    <w:rPr>
                      <w:color w:val="auto"/>
                      <w:sz w:val="21"/>
                      <w:szCs w:val="21"/>
                      <w:highlight w:val="none"/>
                      <w:lang w:val="en-US" w:eastAsia="zh-CN"/>
                    </w:rPr>
                    <w:t>0</w:t>
                  </w:r>
                </w:p>
              </w:tc>
              <w:tc>
                <w:tcPr>
                  <w:tcW w:w="417" w:type="pct"/>
                  <w:tcBorders>
                    <w:tl2br w:val="nil"/>
                    <w:tr2bl w:val="nil"/>
                  </w:tcBorders>
                  <w:vAlign w:val="center"/>
                </w:tcPr>
                <w:p w14:paraId="01C8DBB7">
                  <w:pPr>
                    <w:pStyle w:val="56"/>
                    <w:bidi w:val="0"/>
                    <w:rPr>
                      <w:color w:val="auto"/>
                      <w:sz w:val="21"/>
                      <w:szCs w:val="21"/>
                      <w:highlight w:val="none"/>
                      <w:lang w:val="en-US" w:eastAsia="zh-CN"/>
                    </w:rPr>
                  </w:pPr>
                  <w:r>
                    <w:rPr>
                      <w:color w:val="auto"/>
                      <w:sz w:val="21"/>
                      <w:szCs w:val="21"/>
                      <w:highlight w:val="none"/>
                      <w:lang w:val="en-US" w:eastAsia="zh-CN"/>
                    </w:rPr>
                    <w:t>0</w:t>
                  </w:r>
                </w:p>
              </w:tc>
              <w:tc>
                <w:tcPr>
                  <w:tcW w:w="394" w:type="pct"/>
                  <w:vMerge w:val="continue"/>
                  <w:tcBorders>
                    <w:tl2br w:val="nil"/>
                    <w:tr2bl w:val="nil"/>
                  </w:tcBorders>
                  <w:vAlign w:val="center"/>
                </w:tcPr>
                <w:p w14:paraId="47DA4254">
                  <w:pPr>
                    <w:pStyle w:val="56"/>
                    <w:bidi w:val="0"/>
                    <w:rPr>
                      <w:color w:val="auto"/>
                      <w:sz w:val="21"/>
                      <w:szCs w:val="21"/>
                      <w:highlight w:val="none"/>
                      <w:lang w:val="en-US" w:eastAsia="zh-CN"/>
                    </w:rPr>
                  </w:pPr>
                </w:p>
              </w:tc>
            </w:tr>
            <w:tr w14:paraId="37C3C6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40" w:hRule="atLeast"/>
                <w:jc w:val="center"/>
              </w:trPr>
              <w:tc>
                <w:tcPr>
                  <w:tcW w:w="288" w:type="pct"/>
                  <w:vMerge w:val="continue"/>
                  <w:tcBorders>
                    <w:tl2br w:val="nil"/>
                    <w:tr2bl w:val="nil"/>
                  </w:tcBorders>
                  <w:vAlign w:val="center"/>
                </w:tcPr>
                <w:p w14:paraId="1AB056C2">
                  <w:pPr>
                    <w:pStyle w:val="56"/>
                    <w:bidi w:val="0"/>
                    <w:rPr>
                      <w:color w:val="auto"/>
                      <w:sz w:val="21"/>
                      <w:szCs w:val="21"/>
                      <w:highlight w:val="none"/>
                      <w:lang w:val="en-US" w:eastAsia="zh-CN"/>
                    </w:rPr>
                  </w:pPr>
                </w:p>
              </w:tc>
              <w:tc>
                <w:tcPr>
                  <w:tcW w:w="543" w:type="pct"/>
                  <w:tcBorders>
                    <w:tl2br w:val="nil"/>
                    <w:tr2bl w:val="nil"/>
                  </w:tcBorders>
                  <w:vAlign w:val="center"/>
                </w:tcPr>
                <w:p w14:paraId="06A9E194">
                  <w:pPr>
                    <w:pStyle w:val="56"/>
                    <w:bidi w:val="0"/>
                    <w:rPr>
                      <w:color w:val="auto"/>
                      <w:sz w:val="21"/>
                      <w:szCs w:val="21"/>
                      <w:highlight w:val="none"/>
                      <w:lang w:val="en-US" w:eastAsia="zh-CN"/>
                    </w:rPr>
                  </w:pPr>
                  <w:r>
                    <w:rPr>
                      <w:color w:val="auto"/>
                      <w:sz w:val="21"/>
                      <w:szCs w:val="21"/>
                      <w:highlight w:val="none"/>
                      <w:lang w:val="en-US" w:eastAsia="zh-CN"/>
                    </w:rPr>
                    <w:t>BOD</w:t>
                  </w:r>
                  <w:r>
                    <w:rPr>
                      <w:color w:val="auto"/>
                      <w:sz w:val="21"/>
                      <w:szCs w:val="21"/>
                      <w:highlight w:val="none"/>
                      <w:vertAlign w:val="subscript"/>
                      <w:lang w:val="en-US" w:eastAsia="zh-CN"/>
                    </w:rPr>
                    <w:t>5</w:t>
                  </w:r>
                </w:p>
              </w:tc>
              <w:tc>
                <w:tcPr>
                  <w:tcW w:w="301" w:type="pct"/>
                  <w:vMerge w:val="continue"/>
                  <w:tcBorders>
                    <w:tl2br w:val="nil"/>
                    <w:tr2bl w:val="nil"/>
                  </w:tcBorders>
                  <w:vAlign w:val="center"/>
                </w:tcPr>
                <w:p w14:paraId="67A480F1">
                  <w:pPr>
                    <w:pStyle w:val="56"/>
                    <w:bidi w:val="0"/>
                    <w:rPr>
                      <w:color w:val="auto"/>
                      <w:sz w:val="21"/>
                      <w:szCs w:val="21"/>
                      <w:highlight w:val="none"/>
                      <w:lang w:val="en-US" w:eastAsia="zh-CN"/>
                    </w:rPr>
                  </w:pPr>
                </w:p>
              </w:tc>
              <w:tc>
                <w:tcPr>
                  <w:tcW w:w="384" w:type="pct"/>
                  <w:vMerge w:val="continue"/>
                  <w:tcBorders>
                    <w:tl2br w:val="nil"/>
                    <w:tr2bl w:val="nil"/>
                  </w:tcBorders>
                  <w:vAlign w:val="center"/>
                </w:tcPr>
                <w:p w14:paraId="3AC7A20E">
                  <w:pPr>
                    <w:pStyle w:val="56"/>
                    <w:bidi w:val="0"/>
                    <w:rPr>
                      <w:color w:val="auto"/>
                      <w:sz w:val="21"/>
                      <w:szCs w:val="21"/>
                      <w:highlight w:val="none"/>
                      <w:lang w:val="en-US" w:eastAsia="zh-CN"/>
                    </w:rPr>
                  </w:pPr>
                </w:p>
              </w:tc>
              <w:tc>
                <w:tcPr>
                  <w:tcW w:w="420" w:type="pct"/>
                  <w:tcBorders>
                    <w:tl2br w:val="nil"/>
                    <w:tr2bl w:val="nil"/>
                  </w:tcBorders>
                  <w:vAlign w:val="center"/>
                </w:tcPr>
                <w:p w14:paraId="700EE2EB">
                  <w:pPr>
                    <w:pStyle w:val="56"/>
                    <w:bidi w:val="0"/>
                    <w:rPr>
                      <w:color w:val="auto"/>
                      <w:sz w:val="21"/>
                      <w:szCs w:val="21"/>
                      <w:highlight w:val="none"/>
                      <w:lang w:val="en-US" w:eastAsia="zh-CN"/>
                    </w:rPr>
                  </w:pPr>
                  <w:r>
                    <w:rPr>
                      <w:color w:val="auto"/>
                      <w:sz w:val="21"/>
                      <w:szCs w:val="21"/>
                      <w:highlight w:val="none"/>
                      <w:lang w:val="en-US" w:eastAsia="zh-CN"/>
                    </w:rPr>
                    <w:t>200</w:t>
                  </w:r>
                </w:p>
              </w:tc>
              <w:tc>
                <w:tcPr>
                  <w:tcW w:w="752" w:type="dxa"/>
                  <w:tcBorders>
                    <w:tl2br w:val="nil"/>
                    <w:tr2bl w:val="nil"/>
                  </w:tcBorders>
                  <w:vAlign w:val="center"/>
                </w:tcPr>
                <w:p w14:paraId="74223AC1">
                  <w:pPr>
                    <w:pStyle w:val="48"/>
                    <w:bidi w:val="0"/>
                    <w:rPr>
                      <w:sz w:val="21"/>
                      <w:szCs w:val="21"/>
                    </w:rPr>
                  </w:pPr>
                  <w:r>
                    <w:rPr>
                      <w:rFonts w:hint="default"/>
                      <w:sz w:val="21"/>
                      <w:szCs w:val="21"/>
                      <w:lang w:val="en-US" w:eastAsia="zh-CN"/>
                    </w:rPr>
                    <w:t>0.0061</w:t>
                  </w:r>
                </w:p>
              </w:tc>
              <w:tc>
                <w:tcPr>
                  <w:tcW w:w="305" w:type="pct"/>
                  <w:vMerge w:val="continue"/>
                  <w:tcBorders>
                    <w:tl2br w:val="nil"/>
                    <w:tr2bl w:val="nil"/>
                  </w:tcBorders>
                  <w:vAlign w:val="center"/>
                </w:tcPr>
                <w:p w14:paraId="2D7D263A">
                  <w:pPr>
                    <w:pStyle w:val="56"/>
                    <w:bidi w:val="0"/>
                    <w:rPr>
                      <w:color w:val="auto"/>
                      <w:sz w:val="21"/>
                      <w:szCs w:val="21"/>
                      <w:highlight w:val="none"/>
                      <w:lang w:val="en-US" w:eastAsia="zh-CN"/>
                    </w:rPr>
                  </w:pPr>
                </w:p>
              </w:tc>
              <w:tc>
                <w:tcPr>
                  <w:tcW w:w="328" w:type="pct"/>
                  <w:vMerge w:val="continue"/>
                  <w:tcBorders>
                    <w:tl2br w:val="nil"/>
                    <w:tr2bl w:val="nil"/>
                  </w:tcBorders>
                  <w:vAlign w:val="center"/>
                </w:tcPr>
                <w:p w14:paraId="24A4EB27">
                  <w:pPr>
                    <w:pStyle w:val="56"/>
                    <w:bidi w:val="0"/>
                    <w:rPr>
                      <w:color w:val="auto"/>
                      <w:sz w:val="21"/>
                      <w:szCs w:val="21"/>
                      <w:highlight w:val="none"/>
                      <w:lang w:val="en-US" w:eastAsia="zh-CN"/>
                    </w:rPr>
                  </w:pPr>
                </w:p>
              </w:tc>
              <w:tc>
                <w:tcPr>
                  <w:tcW w:w="358" w:type="pct"/>
                  <w:vMerge w:val="continue"/>
                  <w:tcBorders>
                    <w:tl2br w:val="nil"/>
                    <w:tr2bl w:val="nil"/>
                  </w:tcBorders>
                  <w:vAlign w:val="center"/>
                </w:tcPr>
                <w:p w14:paraId="0AFAA2C4">
                  <w:pPr>
                    <w:pStyle w:val="56"/>
                    <w:bidi w:val="0"/>
                    <w:rPr>
                      <w:color w:val="auto"/>
                      <w:sz w:val="21"/>
                      <w:szCs w:val="21"/>
                      <w:highlight w:val="none"/>
                    </w:rPr>
                  </w:pPr>
                </w:p>
              </w:tc>
              <w:tc>
                <w:tcPr>
                  <w:tcW w:w="354" w:type="pct"/>
                  <w:vMerge w:val="continue"/>
                  <w:tcBorders>
                    <w:tl2br w:val="nil"/>
                    <w:tr2bl w:val="nil"/>
                  </w:tcBorders>
                  <w:vAlign w:val="center"/>
                </w:tcPr>
                <w:p w14:paraId="47C92872">
                  <w:pPr>
                    <w:pStyle w:val="56"/>
                    <w:bidi w:val="0"/>
                    <w:rPr>
                      <w:color w:val="auto"/>
                      <w:sz w:val="21"/>
                      <w:szCs w:val="21"/>
                      <w:highlight w:val="none"/>
                      <w:lang w:val="en-US" w:eastAsia="zh-CN"/>
                    </w:rPr>
                  </w:pPr>
                </w:p>
              </w:tc>
              <w:tc>
                <w:tcPr>
                  <w:tcW w:w="413" w:type="pct"/>
                  <w:tcBorders>
                    <w:tl2br w:val="nil"/>
                    <w:tr2bl w:val="nil"/>
                  </w:tcBorders>
                  <w:vAlign w:val="center"/>
                </w:tcPr>
                <w:p w14:paraId="4732398A">
                  <w:pPr>
                    <w:pStyle w:val="56"/>
                    <w:bidi w:val="0"/>
                    <w:rPr>
                      <w:color w:val="auto"/>
                      <w:sz w:val="21"/>
                      <w:szCs w:val="21"/>
                      <w:highlight w:val="none"/>
                      <w:lang w:val="en-US" w:eastAsia="zh-CN"/>
                    </w:rPr>
                  </w:pPr>
                  <w:r>
                    <w:rPr>
                      <w:color w:val="auto"/>
                      <w:sz w:val="21"/>
                      <w:szCs w:val="21"/>
                      <w:highlight w:val="none"/>
                      <w:lang w:val="en-US" w:eastAsia="zh-CN"/>
                    </w:rPr>
                    <w:t>0</w:t>
                  </w:r>
                </w:p>
              </w:tc>
              <w:tc>
                <w:tcPr>
                  <w:tcW w:w="417" w:type="pct"/>
                  <w:tcBorders>
                    <w:tl2br w:val="nil"/>
                    <w:tr2bl w:val="nil"/>
                  </w:tcBorders>
                  <w:vAlign w:val="center"/>
                </w:tcPr>
                <w:p w14:paraId="7F89131C">
                  <w:pPr>
                    <w:pStyle w:val="56"/>
                    <w:bidi w:val="0"/>
                    <w:rPr>
                      <w:color w:val="auto"/>
                      <w:sz w:val="21"/>
                      <w:szCs w:val="21"/>
                      <w:highlight w:val="none"/>
                      <w:lang w:val="en-US" w:eastAsia="zh-CN"/>
                    </w:rPr>
                  </w:pPr>
                  <w:r>
                    <w:rPr>
                      <w:color w:val="auto"/>
                      <w:sz w:val="21"/>
                      <w:szCs w:val="21"/>
                      <w:highlight w:val="none"/>
                      <w:lang w:val="en-US" w:eastAsia="zh-CN"/>
                    </w:rPr>
                    <w:t>0</w:t>
                  </w:r>
                </w:p>
              </w:tc>
              <w:tc>
                <w:tcPr>
                  <w:tcW w:w="394" w:type="pct"/>
                  <w:vMerge w:val="continue"/>
                  <w:tcBorders>
                    <w:tl2br w:val="nil"/>
                    <w:tr2bl w:val="nil"/>
                  </w:tcBorders>
                  <w:vAlign w:val="center"/>
                </w:tcPr>
                <w:p w14:paraId="67378796">
                  <w:pPr>
                    <w:pStyle w:val="56"/>
                    <w:bidi w:val="0"/>
                    <w:rPr>
                      <w:color w:val="auto"/>
                      <w:sz w:val="21"/>
                      <w:szCs w:val="21"/>
                      <w:highlight w:val="none"/>
                      <w:lang w:val="en-US" w:eastAsia="zh-CN"/>
                    </w:rPr>
                  </w:pPr>
                </w:p>
              </w:tc>
            </w:tr>
            <w:tr w14:paraId="114E2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288" w:type="pct"/>
                  <w:vMerge w:val="continue"/>
                  <w:tcBorders>
                    <w:tl2br w:val="nil"/>
                    <w:tr2bl w:val="nil"/>
                  </w:tcBorders>
                  <w:vAlign w:val="center"/>
                </w:tcPr>
                <w:p w14:paraId="7507292C">
                  <w:pPr>
                    <w:pStyle w:val="56"/>
                    <w:bidi w:val="0"/>
                    <w:rPr>
                      <w:color w:val="auto"/>
                      <w:sz w:val="21"/>
                      <w:szCs w:val="21"/>
                      <w:highlight w:val="none"/>
                      <w:lang w:val="en-US" w:eastAsia="zh-CN"/>
                    </w:rPr>
                  </w:pPr>
                </w:p>
              </w:tc>
              <w:tc>
                <w:tcPr>
                  <w:tcW w:w="543" w:type="pct"/>
                  <w:tcBorders>
                    <w:tl2br w:val="nil"/>
                    <w:tr2bl w:val="nil"/>
                  </w:tcBorders>
                  <w:vAlign w:val="center"/>
                </w:tcPr>
                <w:p w14:paraId="22CA25CA">
                  <w:pPr>
                    <w:pStyle w:val="56"/>
                    <w:bidi w:val="0"/>
                    <w:rPr>
                      <w:color w:val="auto"/>
                      <w:sz w:val="21"/>
                      <w:szCs w:val="21"/>
                      <w:highlight w:val="none"/>
                      <w:lang w:val="en-US" w:eastAsia="zh-CN"/>
                    </w:rPr>
                  </w:pPr>
                  <w:r>
                    <w:rPr>
                      <w:color w:val="auto"/>
                      <w:sz w:val="21"/>
                      <w:szCs w:val="21"/>
                      <w:highlight w:val="none"/>
                      <w:lang w:val="en-US" w:eastAsia="zh-CN"/>
                    </w:rPr>
                    <w:t>SS</w:t>
                  </w:r>
                </w:p>
              </w:tc>
              <w:tc>
                <w:tcPr>
                  <w:tcW w:w="301" w:type="pct"/>
                  <w:vMerge w:val="continue"/>
                  <w:tcBorders>
                    <w:tl2br w:val="nil"/>
                    <w:tr2bl w:val="nil"/>
                  </w:tcBorders>
                  <w:vAlign w:val="center"/>
                </w:tcPr>
                <w:p w14:paraId="19BFDC54">
                  <w:pPr>
                    <w:pStyle w:val="56"/>
                    <w:bidi w:val="0"/>
                    <w:rPr>
                      <w:color w:val="auto"/>
                      <w:sz w:val="21"/>
                      <w:szCs w:val="21"/>
                      <w:highlight w:val="none"/>
                      <w:lang w:val="en-US" w:eastAsia="zh-CN"/>
                    </w:rPr>
                  </w:pPr>
                </w:p>
              </w:tc>
              <w:tc>
                <w:tcPr>
                  <w:tcW w:w="384" w:type="pct"/>
                  <w:vMerge w:val="continue"/>
                  <w:tcBorders>
                    <w:tl2br w:val="nil"/>
                    <w:tr2bl w:val="nil"/>
                  </w:tcBorders>
                  <w:vAlign w:val="center"/>
                </w:tcPr>
                <w:p w14:paraId="0FE9AA60">
                  <w:pPr>
                    <w:pStyle w:val="56"/>
                    <w:bidi w:val="0"/>
                    <w:rPr>
                      <w:color w:val="auto"/>
                      <w:sz w:val="21"/>
                      <w:szCs w:val="21"/>
                      <w:highlight w:val="none"/>
                      <w:lang w:val="en-US" w:eastAsia="zh-CN"/>
                    </w:rPr>
                  </w:pPr>
                </w:p>
              </w:tc>
              <w:tc>
                <w:tcPr>
                  <w:tcW w:w="420" w:type="pct"/>
                  <w:tcBorders>
                    <w:tl2br w:val="nil"/>
                    <w:tr2bl w:val="nil"/>
                  </w:tcBorders>
                  <w:vAlign w:val="center"/>
                </w:tcPr>
                <w:p w14:paraId="70BFC4E8">
                  <w:pPr>
                    <w:pStyle w:val="56"/>
                    <w:bidi w:val="0"/>
                    <w:rPr>
                      <w:color w:val="auto"/>
                      <w:sz w:val="21"/>
                      <w:szCs w:val="21"/>
                      <w:highlight w:val="none"/>
                      <w:lang w:val="en-US" w:eastAsia="zh-CN"/>
                    </w:rPr>
                  </w:pPr>
                  <w:r>
                    <w:rPr>
                      <w:color w:val="auto"/>
                      <w:sz w:val="21"/>
                      <w:szCs w:val="21"/>
                      <w:highlight w:val="none"/>
                      <w:lang w:val="en-US" w:eastAsia="zh-CN"/>
                    </w:rPr>
                    <w:t>200</w:t>
                  </w:r>
                </w:p>
              </w:tc>
              <w:tc>
                <w:tcPr>
                  <w:tcW w:w="752" w:type="dxa"/>
                  <w:tcBorders>
                    <w:tl2br w:val="nil"/>
                    <w:tr2bl w:val="nil"/>
                  </w:tcBorders>
                  <w:vAlign w:val="center"/>
                </w:tcPr>
                <w:p w14:paraId="5367A7A2">
                  <w:pPr>
                    <w:pStyle w:val="48"/>
                    <w:bidi w:val="0"/>
                    <w:rPr>
                      <w:sz w:val="21"/>
                      <w:szCs w:val="21"/>
                    </w:rPr>
                  </w:pPr>
                  <w:r>
                    <w:rPr>
                      <w:rFonts w:hint="default"/>
                      <w:sz w:val="21"/>
                      <w:szCs w:val="21"/>
                      <w:lang w:val="en-US" w:eastAsia="zh-CN"/>
                    </w:rPr>
                    <w:t>0.0061</w:t>
                  </w:r>
                </w:p>
              </w:tc>
              <w:tc>
                <w:tcPr>
                  <w:tcW w:w="305" w:type="pct"/>
                  <w:vMerge w:val="continue"/>
                  <w:tcBorders>
                    <w:tl2br w:val="nil"/>
                    <w:tr2bl w:val="nil"/>
                  </w:tcBorders>
                  <w:vAlign w:val="center"/>
                </w:tcPr>
                <w:p w14:paraId="17BF3CCE">
                  <w:pPr>
                    <w:pStyle w:val="56"/>
                    <w:bidi w:val="0"/>
                    <w:rPr>
                      <w:color w:val="auto"/>
                      <w:sz w:val="21"/>
                      <w:szCs w:val="21"/>
                      <w:highlight w:val="none"/>
                      <w:lang w:val="en-US" w:eastAsia="zh-CN"/>
                    </w:rPr>
                  </w:pPr>
                </w:p>
              </w:tc>
              <w:tc>
                <w:tcPr>
                  <w:tcW w:w="328" w:type="pct"/>
                  <w:vMerge w:val="continue"/>
                  <w:tcBorders>
                    <w:tl2br w:val="nil"/>
                    <w:tr2bl w:val="nil"/>
                  </w:tcBorders>
                  <w:vAlign w:val="center"/>
                </w:tcPr>
                <w:p w14:paraId="458A2FAC">
                  <w:pPr>
                    <w:pStyle w:val="56"/>
                    <w:bidi w:val="0"/>
                    <w:rPr>
                      <w:color w:val="auto"/>
                      <w:sz w:val="21"/>
                      <w:szCs w:val="21"/>
                      <w:highlight w:val="none"/>
                      <w:lang w:val="en-US" w:eastAsia="zh-CN"/>
                    </w:rPr>
                  </w:pPr>
                </w:p>
              </w:tc>
              <w:tc>
                <w:tcPr>
                  <w:tcW w:w="358" w:type="pct"/>
                  <w:vMerge w:val="continue"/>
                  <w:tcBorders>
                    <w:tl2br w:val="nil"/>
                    <w:tr2bl w:val="nil"/>
                  </w:tcBorders>
                  <w:vAlign w:val="center"/>
                </w:tcPr>
                <w:p w14:paraId="714E7353">
                  <w:pPr>
                    <w:pStyle w:val="56"/>
                    <w:bidi w:val="0"/>
                    <w:rPr>
                      <w:color w:val="auto"/>
                      <w:sz w:val="21"/>
                      <w:szCs w:val="21"/>
                      <w:highlight w:val="none"/>
                    </w:rPr>
                  </w:pPr>
                </w:p>
              </w:tc>
              <w:tc>
                <w:tcPr>
                  <w:tcW w:w="354" w:type="pct"/>
                  <w:vMerge w:val="continue"/>
                  <w:tcBorders>
                    <w:tl2br w:val="nil"/>
                    <w:tr2bl w:val="nil"/>
                  </w:tcBorders>
                  <w:vAlign w:val="center"/>
                </w:tcPr>
                <w:p w14:paraId="6FDF0D03">
                  <w:pPr>
                    <w:pStyle w:val="56"/>
                    <w:bidi w:val="0"/>
                    <w:rPr>
                      <w:color w:val="auto"/>
                      <w:sz w:val="21"/>
                      <w:szCs w:val="21"/>
                      <w:highlight w:val="none"/>
                      <w:lang w:val="en-US" w:eastAsia="zh-CN"/>
                    </w:rPr>
                  </w:pPr>
                </w:p>
              </w:tc>
              <w:tc>
                <w:tcPr>
                  <w:tcW w:w="413" w:type="pct"/>
                  <w:tcBorders>
                    <w:tl2br w:val="nil"/>
                    <w:tr2bl w:val="nil"/>
                  </w:tcBorders>
                  <w:vAlign w:val="center"/>
                </w:tcPr>
                <w:p w14:paraId="2137B2CF">
                  <w:pPr>
                    <w:pStyle w:val="56"/>
                    <w:bidi w:val="0"/>
                    <w:rPr>
                      <w:color w:val="auto"/>
                      <w:sz w:val="21"/>
                      <w:szCs w:val="21"/>
                      <w:highlight w:val="none"/>
                      <w:lang w:val="en-US" w:eastAsia="zh-CN"/>
                    </w:rPr>
                  </w:pPr>
                  <w:r>
                    <w:rPr>
                      <w:color w:val="auto"/>
                      <w:sz w:val="21"/>
                      <w:szCs w:val="21"/>
                      <w:highlight w:val="none"/>
                      <w:lang w:val="en-US" w:eastAsia="zh-CN"/>
                    </w:rPr>
                    <w:t>0</w:t>
                  </w:r>
                </w:p>
              </w:tc>
              <w:tc>
                <w:tcPr>
                  <w:tcW w:w="417" w:type="pct"/>
                  <w:tcBorders>
                    <w:tl2br w:val="nil"/>
                    <w:tr2bl w:val="nil"/>
                  </w:tcBorders>
                  <w:vAlign w:val="center"/>
                </w:tcPr>
                <w:p w14:paraId="5352E4E6">
                  <w:pPr>
                    <w:pStyle w:val="56"/>
                    <w:bidi w:val="0"/>
                    <w:rPr>
                      <w:color w:val="auto"/>
                      <w:sz w:val="21"/>
                      <w:szCs w:val="21"/>
                      <w:highlight w:val="none"/>
                      <w:lang w:val="en-US" w:eastAsia="zh-CN"/>
                    </w:rPr>
                  </w:pPr>
                  <w:r>
                    <w:rPr>
                      <w:color w:val="auto"/>
                      <w:sz w:val="21"/>
                      <w:szCs w:val="21"/>
                      <w:highlight w:val="none"/>
                      <w:lang w:val="en-US" w:eastAsia="zh-CN"/>
                    </w:rPr>
                    <w:t>0</w:t>
                  </w:r>
                </w:p>
              </w:tc>
              <w:tc>
                <w:tcPr>
                  <w:tcW w:w="394" w:type="pct"/>
                  <w:vMerge w:val="continue"/>
                  <w:tcBorders>
                    <w:tl2br w:val="nil"/>
                    <w:tr2bl w:val="nil"/>
                  </w:tcBorders>
                  <w:vAlign w:val="center"/>
                </w:tcPr>
                <w:p w14:paraId="6BAE2B63">
                  <w:pPr>
                    <w:pStyle w:val="56"/>
                    <w:bidi w:val="0"/>
                    <w:rPr>
                      <w:color w:val="auto"/>
                      <w:sz w:val="21"/>
                      <w:szCs w:val="21"/>
                      <w:highlight w:val="none"/>
                      <w:lang w:val="en-US" w:eastAsia="zh-CN"/>
                    </w:rPr>
                  </w:pPr>
                </w:p>
              </w:tc>
            </w:tr>
            <w:bookmarkEnd w:id="18"/>
          </w:tbl>
          <w:p w14:paraId="0086CF5C">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color w:val="auto"/>
                <w:highlight w:val="none"/>
              </w:rPr>
            </w:pPr>
            <w:r>
              <w:rPr>
                <w:color w:val="auto"/>
                <w:highlight w:val="none"/>
              </w:rPr>
              <w:t>污染防治措施及环境影响分析：</w:t>
            </w:r>
          </w:p>
          <w:p w14:paraId="6E69C7C4">
            <w:pPr>
              <w:pStyle w:val="46"/>
              <w:bidi w:val="0"/>
              <w:rPr>
                <w:color w:val="auto"/>
                <w:highlight w:val="none"/>
                <w:lang w:val="zh-CN" w:eastAsia="zh-CN"/>
              </w:rPr>
            </w:pPr>
            <w:r>
              <w:rPr>
                <w:color w:val="auto"/>
                <w:highlight w:val="none"/>
                <w:lang w:val="zh-CN" w:eastAsia="zh-CN"/>
              </w:rPr>
              <w:t>本项目生活污水产生量较少，生活污水排入防渗旱厕不会对周边地表水环境产生影响。</w:t>
            </w:r>
          </w:p>
          <w:p w14:paraId="634F6C65">
            <w:pPr>
              <w:pStyle w:val="46"/>
              <w:bidi w:val="0"/>
              <w:rPr>
                <w:rFonts w:hint="default"/>
                <w:b/>
                <w:bCs/>
                <w:color w:val="auto"/>
                <w:highlight w:val="none"/>
              </w:rPr>
            </w:pPr>
            <w:r>
              <w:rPr>
                <w:rFonts w:hint="eastAsia"/>
                <w:b/>
                <w:bCs/>
                <w:color w:val="auto"/>
                <w:highlight w:val="none"/>
                <w:lang w:val="en-US" w:eastAsia="zh-CN"/>
              </w:rPr>
              <w:t>3.</w:t>
            </w:r>
            <w:r>
              <w:rPr>
                <w:rFonts w:hint="default"/>
                <w:b/>
                <w:bCs/>
                <w:color w:val="auto"/>
                <w:highlight w:val="none"/>
              </w:rPr>
              <w:t>噪声</w:t>
            </w:r>
          </w:p>
          <w:p w14:paraId="55DAB555">
            <w:pPr>
              <w:pStyle w:val="46"/>
              <w:bidi w:val="0"/>
              <w:rPr>
                <w:rFonts w:hint="default"/>
                <w:color w:val="auto"/>
                <w:highlight w:val="none"/>
              </w:rPr>
            </w:pPr>
            <w:r>
              <w:rPr>
                <w:rFonts w:hint="default"/>
                <w:color w:val="auto"/>
                <w:highlight w:val="none"/>
                <w:lang w:val="en-US" w:eastAsia="zh-CN"/>
              </w:rPr>
              <w:t>本项目产生的噪声主要来源于</w:t>
            </w:r>
            <w:r>
              <w:rPr>
                <w:rFonts w:hint="eastAsia"/>
                <w:color w:val="auto"/>
                <w:highlight w:val="none"/>
                <w:lang w:val="en-US" w:eastAsia="zh-CN"/>
              </w:rPr>
              <w:t>生产</w:t>
            </w:r>
            <w:r>
              <w:rPr>
                <w:rFonts w:hint="default"/>
                <w:color w:val="auto"/>
                <w:highlight w:val="none"/>
                <w:lang w:val="en-US" w:eastAsia="zh-CN"/>
              </w:rPr>
              <w:t>设备噪声，</w:t>
            </w:r>
            <w:r>
              <w:rPr>
                <w:rFonts w:hint="default"/>
                <w:color w:val="auto"/>
                <w:highlight w:val="none"/>
              </w:rPr>
              <w:t>其源强约为</w:t>
            </w:r>
            <w:r>
              <w:rPr>
                <w:rFonts w:hint="default"/>
                <w:color w:val="auto"/>
                <w:highlight w:val="none"/>
                <w:lang w:val="en-US" w:eastAsia="zh-CN"/>
              </w:rPr>
              <w:t>8</w:t>
            </w:r>
            <w:r>
              <w:rPr>
                <w:rFonts w:hint="eastAsia"/>
                <w:color w:val="auto"/>
                <w:highlight w:val="none"/>
                <w:lang w:val="en-US" w:eastAsia="zh-CN"/>
              </w:rPr>
              <w:t>0</w:t>
            </w:r>
            <w:r>
              <w:rPr>
                <w:rFonts w:hint="default"/>
                <w:color w:val="auto"/>
                <w:highlight w:val="none"/>
              </w:rPr>
              <w:t>dB(A</w:t>
            </w:r>
            <w:r>
              <w:rPr>
                <w:rFonts w:hint="eastAsia"/>
                <w:color w:val="auto"/>
                <w:highlight w:val="none"/>
                <w:lang w:eastAsia="zh-CN"/>
              </w:rPr>
              <w:t>）</w:t>
            </w:r>
            <w:r>
              <w:rPr>
                <w:rFonts w:hint="default"/>
                <w:color w:val="auto"/>
                <w:highlight w:val="none"/>
              </w:rPr>
              <w:t>，噪声排放强度详见表4-</w:t>
            </w:r>
            <w:r>
              <w:rPr>
                <w:rFonts w:hint="eastAsia"/>
                <w:color w:val="auto"/>
                <w:highlight w:val="none"/>
                <w:lang w:val="en-US" w:eastAsia="zh-CN"/>
              </w:rPr>
              <w:t>13-1、4-13-2</w:t>
            </w:r>
            <w:r>
              <w:rPr>
                <w:rFonts w:hint="default"/>
                <w:color w:val="auto"/>
                <w:highlight w:val="none"/>
              </w:rPr>
              <w:t>。</w:t>
            </w:r>
          </w:p>
          <w:p w14:paraId="57F078E8">
            <w:pPr>
              <w:pStyle w:val="5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eastAsia" w:cs="Times New Roman"/>
                <w:color w:val="auto"/>
                <w:highlight w:val="none"/>
                <w:lang w:val="en-US" w:eastAsia="zh-CN"/>
              </w:rPr>
              <w:t>13-1</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本项目声源一览表</w:t>
            </w:r>
            <w:r>
              <w:rPr>
                <w:rFonts w:hint="default" w:ascii="Times New Roman" w:hAnsi="Times New Roman" w:cs="Times New Roman"/>
                <w:color w:val="auto"/>
                <w:highlight w:val="none"/>
                <w:lang w:val="en-US"/>
              </w:rPr>
              <w:t>（室内声源）</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5"/>
              <w:gridCol w:w="408"/>
              <w:gridCol w:w="630"/>
              <w:gridCol w:w="501"/>
              <w:gridCol w:w="611"/>
              <w:gridCol w:w="474"/>
              <w:gridCol w:w="474"/>
              <w:gridCol w:w="475"/>
              <w:gridCol w:w="450"/>
              <w:gridCol w:w="596"/>
              <w:gridCol w:w="612"/>
              <w:gridCol w:w="781"/>
              <w:gridCol w:w="781"/>
              <w:gridCol w:w="471"/>
            </w:tblGrid>
            <w:tr w14:paraId="54016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4" w:type="pct"/>
                  <w:vMerge w:val="restart"/>
                  <w:vAlign w:val="center"/>
                </w:tcPr>
                <w:p w14:paraId="438F6124">
                  <w:pPr>
                    <w:pStyle w:val="60"/>
                    <w:bidi w:val="0"/>
                    <w:rPr>
                      <w:color w:val="auto"/>
                      <w:sz w:val="18"/>
                      <w:szCs w:val="18"/>
                      <w:highlight w:val="none"/>
                    </w:rPr>
                  </w:pPr>
                  <w:r>
                    <w:rPr>
                      <w:color w:val="auto"/>
                      <w:sz w:val="18"/>
                      <w:szCs w:val="18"/>
                      <w:highlight w:val="none"/>
                    </w:rPr>
                    <w:t>序号</w:t>
                  </w:r>
                </w:p>
              </w:tc>
              <w:tc>
                <w:tcPr>
                  <w:tcW w:w="266" w:type="pct"/>
                  <w:vMerge w:val="restart"/>
                  <w:vAlign w:val="center"/>
                </w:tcPr>
                <w:p w14:paraId="441FFB50">
                  <w:pPr>
                    <w:pStyle w:val="60"/>
                    <w:bidi w:val="0"/>
                    <w:rPr>
                      <w:color w:val="auto"/>
                      <w:sz w:val="18"/>
                      <w:szCs w:val="18"/>
                      <w:highlight w:val="none"/>
                    </w:rPr>
                  </w:pPr>
                  <w:r>
                    <w:rPr>
                      <w:rFonts w:hint="eastAsia"/>
                      <w:color w:val="auto"/>
                      <w:sz w:val="18"/>
                      <w:szCs w:val="18"/>
                      <w:highlight w:val="none"/>
                    </w:rPr>
                    <w:t>建筑物名称</w:t>
                  </w:r>
                </w:p>
              </w:tc>
              <w:tc>
                <w:tcPr>
                  <w:tcW w:w="410" w:type="pct"/>
                  <w:vMerge w:val="restart"/>
                  <w:vAlign w:val="center"/>
                </w:tcPr>
                <w:p w14:paraId="6439421B">
                  <w:pPr>
                    <w:pStyle w:val="60"/>
                    <w:bidi w:val="0"/>
                    <w:rPr>
                      <w:color w:val="auto"/>
                      <w:sz w:val="18"/>
                      <w:szCs w:val="18"/>
                      <w:highlight w:val="none"/>
                    </w:rPr>
                  </w:pPr>
                  <w:r>
                    <w:rPr>
                      <w:rFonts w:hint="eastAsia"/>
                      <w:color w:val="auto"/>
                      <w:sz w:val="18"/>
                      <w:szCs w:val="18"/>
                      <w:highlight w:val="none"/>
                    </w:rPr>
                    <w:t>声源名称</w:t>
                  </w:r>
                </w:p>
              </w:tc>
              <w:tc>
                <w:tcPr>
                  <w:tcW w:w="326" w:type="pct"/>
                  <w:vMerge w:val="restart"/>
                  <w:vAlign w:val="center"/>
                </w:tcPr>
                <w:p w14:paraId="62C530AF">
                  <w:pPr>
                    <w:pStyle w:val="60"/>
                    <w:bidi w:val="0"/>
                    <w:rPr>
                      <w:color w:val="auto"/>
                      <w:sz w:val="18"/>
                      <w:szCs w:val="18"/>
                      <w:highlight w:val="none"/>
                    </w:rPr>
                  </w:pPr>
                  <w:r>
                    <w:rPr>
                      <w:rFonts w:hint="eastAsia"/>
                      <w:color w:val="auto"/>
                      <w:sz w:val="18"/>
                      <w:szCs w:val="18"/>
                      <w:highlight w:val="none"/>
                    </w:rPr>
                    <w:t>声压级/ dB(A)</w:t>
                  </w:r>
                </w:p>
              </w:tc>
              <w:tc>
                <w:tcPr>
                  <w:tcW w:w="398" w:type="pct"/>
                  <w:vMerge w:val="restart"/>
                  <w:vAlign w:val="center"/>
                </w:tcPr>
                <w:p w14:paraId="09135755">
                  <w:pPr>
                    <w:pStyle w:val="60"/>
                    <w:bidi w:val="0"/>
                    <w:rPr>
                      <w:color w:val="auto"/>
                      <w:sz w:val="18"/>
                      <w:szCs w:val="18"/>
                      <w:highlight w:val="none"/>
                    </w:rPr>
                  </w:pPr>
                  <w:r>
                    <w:rPr>
                      <w:rFonts w:hint="eastAsia"/>
                      <w:color w:val="auto"/>
                      <w:sz w:val="18"/>
                      <w:szCs w:val="18"/>
                      <w:highlight w:val="none"/>
                    </w:rPr>
                    <w:t>声源控制措施</w:t>
                  </w:r>
                </w:p>
              </w:tc>
              <w:tc>
                <w:tcPr>
                  <w:tcW w:w="927" w:type="pct"/>
                  <w:gridSpan w:val="3"/>
                  <w:vAlign w:val="center"/>
                </w:tcPr>
                <w:p w14:paraId="45FF51F0">
                  <w:pPr>
                    <w:pStyle w:val="60"/>
                    <w:bidi w:val="0"/>
                    <w:rPr>
                      <w:color w:val="auto"/>
                      <w:sz w:val="18"/>
                      <w:szCs w:val="18"/>
                      <w:highlight w:val="none"/>
                    </w:rPr>
                  </w:pPr>
                  <w:r>
                    <w:rPr>
                      <w:rFonts w:hint="eastAsia"/>
                      <w:color w:val="auto"/>
                      <w:sz w:val="18"/>
                      <w:szCs w:val="18"/>
                      <w:highlight w:val="none"/>
                    </w:rPr>
                    <w:t>空间相对位置/m</w:t>
                  </w:r>
                </w:p>
              </w:tc>
              <w:tc>
                <w:tcPr>
                  <w:tcW w:w="293" w:type="pct"/>
                  <w:vMerge w:val="restart"/>
                  <w:vAlign w:val="center"/>
                </w:tcPr>
                <w:p w14:paraId="1E3AC220">
                  <w:pPr>
                    <w:pStyle w:val="60"/>
                    <w:bidi w:val="0"/>
                    <w:rPr>
                      <w:color w:val="auto"/>
                      <w:sz w:val="18"/>
                      <w:szCs w:val="18"/>
                      <w:highlight w:val="none"/>
                    </w:rPr>
                  </w:pPr>
                  <w:r>
                    <w:rPr>
                      <w:rFonts w:hint="eastAsia"/>
                      <w:color w:val="auto"/>
                      <w:sz w:val="18"/>
                      <w:szCs w:val="18"/>
                      <w:highlight w:val="none"/>
                    </w:rPr>
                    <w:t>距室内边界距离</w:t>
                  </w:r>
                </w:p>
              </w:tc>
              <w:tc>
                <w:tcPr>
                  <w:tcW w:w="388" w:type="pct"/>
                  <w:vMerge w:val="restart"/>
                  <w:vAlign w:val="center"/>
                </w:tcPr>
                <w:p w14:paraId="3FC7F408">
                  <w:pPr>
                    <w:pStyle w:val="60"/>
                    <w:bidi w:val="0"/>
                    <w:rPr>
                      <w:color w:val="auto"/>
                      <w:sz w:val="18"/>
                      <w:szCs w:val="18"/>
                      <w:highlight w:val="none"/>
                    </w:rPr>
                  </w:pPr>
                  <w:r>
                    <w:rPr>
                      <w:rFonts w:hint="eastAsia"/>
                      <w:color w:val="auto"/>
                      <w:sz w:val="18"/>
                      <w:szCs w:val="18"/>
                      <w:highlight w:val="none"/>
                    </w:rPr>
                    <w:t>室内边界声级/dB(A)</w:t>
                  </w:r>
                </w:p>
              </w:tc>
              <w:tc>
                <w:tcPr>
                  <w:tcW w:w="399" w:type="pct"/>
                  <w:vMerge w:val="restart"/>
                  <w:vAlign w:val="center"/>
                </w:tcPr>
                <w:p w14:paraId="495C8DA3">
                  <w:pPr>
                    <w:pStyle w:val="60"/>
                    <w:bidi w:val="0"/>
                    <w:rPr>
                      <w:color w:val="auto"/>
                      <w:sz w:val="18"/>
                      <w:szCs w:val="18"/>
                      <w:highlight w:val="none"/>
                    </w:rPr>
                  </w:pPr>
                  <w:r>
                    <w:rPr>
                      <w:rFonts w:hint="eastAsia"/>
                      <w:color w:val="auto"/>
                      <w:sz w:val="18"/>
                      <w:szCs w:val="18"/>
                      <w:highlight w:val="none"/>
                    </w:rPr>
                    <w:t>运行时段</w:t>
                  </w:r>
                </w:p>
              </w:tc>
              <w:tc>
                <w:tcPr>
                  <w:tcW w:w="509" w:type="pct"/>
                  <w:vMerge w:val="restart"/>
                  <w:vAlign w:val="center"/>
                </w:tcPr>
                <w:p w14:paraId="208937CF">
                  <w:pPr>
                    <w:pStyle w:val="60"/>
                    <w:bidi w:val="0"/>
                    <w:rPr>
                      <w:color w:val="auto"/>
                      <w:sz w:val="18"/>
                      <w:szCs w:val="18"/>
                      <w:highlight w:val="none"/>
                    </w:rPr>
                  </w:pPr>
                  <w:r>
                    <w:rPr>
                      <w:rFonts w:hint="eastAsia"/>
                      <w:color w:val="auto"/>
                      <w:sz w:val="18"/>
                      <w:szCs w:val="18"/>
                      <w:highlight w:val="none"/>
                    </w:rPr>
                    <w:t>建筑物插入损失/dB(A)</w:t>
                  </w:r>
                </w:p>
              </w:tc>
              <w:tc>
                <w:tcPr>
                  <w:tcW w:w="816" w:type="pct"/>
                  <w:gridSpan w:val="2"/>
                  <w:vAlign w:val="center"/>
                </w:tcPr>
                <w:p w14:paraId="06360058">
                  <w:pPr>
                    <w:pStyle w:val="60"/>
                    <w:bidi w:val="0"/>
                    <w:rPr>
                      <w:color w:val="auto"/>
                      <w:sz w:val="18"/>
                      <w:szCs w:val="18"/>
                      <w:highlight w:val="none"/>
                    </w:rPr>
                  </w:pPr>
                  <w:r>
                    <w:rPr>
                      <w:rFonts w:hint="eastAsia"/>
                      <w:color w:val="auto"/>
                      <w:sz w:val="18"/>
                      <w:szCs w:val="18"/>
                      <w:highlight w:val="none"/>
                    </w:rPr>
                    <w:t>建筑物外噪声</w:t>
                  </w:r>
                </w:p>
              </w:tc>
            </w:tr>
            <w:tr w14:paraId="0A3A0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4" w:type="pct"/>
                  <w:vMerge w:val="continue"/>
                  <w:vAlign w:val="center"/>
                </w:tcPr>
                <w:p w14:paraId="3E240872">
                  <w:pPr>
                    <w:pStyle w:val="60"/>
                    <w:bidi w:val="0"/>
                    <w:rPr>
                      <w:color w:val="auto"/>
                      <w:sz w:val="18"/>
                      <w:szCs w:val="18"/>
                      <w:highlight w:val="none"/>
                    </w:rPr>
                  </w:pPr>
                </w:p>
              </w:tc>
              <w:tc>
                <w:tcPr>
                  <w:tcW w:w="266" w:type="pct"/>
                  <w:vMerge w:val="continue"/>
                  <w:vAlign w:val="center"/>
                </w:tcPr>
                <w:p w14:paraId="489AE597">
                  <w:pPr>
                    <w:pStyle w:val="60"/>
                    <w:bidi w:val="0"/>
                    <w:rPr>
                      <w:color w:val="auto"/>
                      <w:sz w:val="18"/>
                      <w:szCs w:val="18"/>
                      <w:highlight w:val="none"/>
                    </w:rPr>
                  </w:pPr>
                </w:p>
              </w:tc>
              <w:tc>
                <w:tcPr>
                  <w:tcW w:w="410" w:type="pct"/>
                  <w:vMerge w:val="continue"/>
                  <w:vAlign w:val="center"/>
                </w:tcPr>
                <w:p w14:paraId="3CB2B0EC">
                  <w:pPr>
                    <w:pStyle w:val="60"/>
                    <w:bidi w:val="0"/>
                    <w:rPr>
                      <w:color w:val="auto"/>
                      <w:sz w:val="18"/>
                      <w:szCs w:val="18"/>
                      <w:highlight w:val="none"/>
                    </w:rPr>
                  </w:pPr>
                </w:p>
              </w:tc>
              <w:tc>
                <w:tcPr>
                  <w:tcW w:w="326" w:type="pct"/>
                  <w:vMerge w:val="continue"/>
                  <w:vAlign w:val="center"/>
                </w:tcPr>
                <w:p w14:paraId="327F5776">
                  <w:pPr>
                    <w:pStyle w:val="60"/>
                    <w:bidi w:val="0"/>
                    <w:rPr>
                      <w:color w:val="auto"/>
                      <w:sz w:val="18"/>
                      <w:szCs w:val="18"/>
                      <w:highlight w:val="none"/>
                    </w:rPr>
                  </w:pPr>
                </w:p>
              </w:tc>
              <w:tc>
                <w:tcPr>
                  <w:tcW w:w="398" w:type="pct"/>
                  <w:vMerge w:val="continue"/>
                  <w:vAlign w:val="center"/>
                </w:tcPr>
                <w:p w14:paraId="66B936A1">
                  <w:pPr>
                    <w:pStyle w:val="60"/>
                    <w:bidi w:val="0"/>
                    <w:rPr>
                      <w:color w:val="auto"/>
                      <w:sz w:val="18"/>
                      <w:szCs w:val="18"/>
                      <w:highlight w:val="none"/>
                    </w:rPr>
                  </w:pPr>
                </w:p>
              </w:tc>
              <w:tc>
                <w:tcPr>
                  <w:tcW w:w="309" w:type="pct"/>
                  <w:vAlign w:val="center"/>
                </w:tcPr>
                <w:p w14:paraId="687FE301">
                  <w:pPr>
                    <w:pStyle w:val="60"/>
                    <w:bidi w:val="0"/>
                    <w:rPr>
                      <w:color w:val="auto"/>
                      <w:sz w:val="18"/>
                      <w:szCs w:val="18"/>
                      <w:highlight w:val="none"/>
                    </w:rPr>
                  </w:pPr>
                  <w:r>
                    <w:rPr>
                      <w:rFonts w:hint="eastAsia"/>
                      <w:color w:val="auto"/>
                      <w:sz w:val="18"/>
                      <w:szCs w:val="18"/>
                      <w:highlight w:val="none"/>
                    </w:rPr>
                    <w:t>X</w:t>
                  </w:r>
                </w:p>
              </w:tc>
              <w:tc>
                <w:tcPr>
                  <w:tcW w:w="309" w:type="pct"/>
                  <w:vAlign w:val="center"/>
                </w:tcPr>
                <w:p w14:paraId="6B5F593A">
                  <w:pPr>
                    <w:pStyle w:val="60"/>
                    <w:bidi w:val="0"/>
                    <w:rPr>
                      <w:color w:val="auto"/>
                      <w:sz w:val="18"/>
                      <w:szCs w:val="18"/>
                      <w:highlight w:val="none"/>
                    </w:rPr>
                  </w:pPr>
                  <w:r>
                    <w:rPr>
                      <w:rFonts w:hint="eastAsia"/>
                      <w:color w:val="auto"/>
                      <w:sz w:val="18"/>
                      <w:szCs w:val="18"/>
                      <w:highlight w:val="none"/>
                    </w:rPr>
                    <w:t>Y</w:t>
                  </w:r>
                </w:p>
              </w:tc>
              <w:tc>
                <w:tcPr>
                  <w:tcW w:w="309" w:type="pct"/>
                  <w:vAlign w:val="center"/>
                </w:tcPr>
                <w:p w14:paraId="3381486C">
                  <w:pPr>
                    <w:pStyle w:val="60"/>
                    <w:bidi w:val="0"/>
                    <w:rPr>
                      <w:color w:val="auto"/>
                      <w:sz w:val="18"/>
                      <w:szCs w:val="18"/>
                      <w:highlight w:val="none"/>
                    </w:rPr>
                  </w:pPr>
                  <w:r>
                    <w:rPr>
                      <w:rFonts w:hint="eastAsia"/>
                      <w:color w:val="auto"/>
                      <w:sz w:val="18"/>
                      <w:szCs w:val="18"/>
                      <w:highlight w:val="none"/>
                    </w:rPr>
                    <w:t>Z</w:t>
                  </w:r>
                </w:p>
              </w:tc>
              <w:tc>
                <w:tcPr>
                  <w:tcW w:w="293" w:type="pct"/>
                  <w:vMerge w:val="continue"/>
                  <w:vAlign w:val="center"/>
                </w:tcPr>
                <w:p w14:paraId="489578C0">
                  <w:pPr>
                    <w:pStyle w:val="60"/>
                    <w:bidi w:val="0"/>
                    <w:rPr>
                      <w:color w:val="auto"/>
                      <w:sz w:val="18"/>
                      <w:szCs w:val="18"/>
                      <w:highlight w:val="none"/>
                    </w:rPr>
                  </w:pPr>
                </w:p>
              </w:tc>
              <w:tc>
                <w:tcPr>
                  <w:tcW w:w="388" w:type="pct"/>
                  <w:vMerge w:val="continue"/>
                  <w:vAlign w:val="center"/>
                </w:tcPr>
                <w:p w14:paraId="5D6E99C9">
                  <w:pPr>
                    <w:pStyle w:val="60"/>
                    <w:bidi w:val="0"/>
                    <w:rPr>
                      <w:color w:val="auto"/>
                      <w:sz w:val="18"/>
                      <w:szCs w:val="18"/>
                      <w:highlight w:val="none"/>
                    </w:rPr>
                  </w:pPr>
                </w:p>
              </w:tc>
              <w:tc>
                <w:tcPr>
                  <w:tcW w:w="399" w:type="pct"/>
                  <w:vMerge w:val="continue"/>
                  <w:vAlign w:val="center"/>
                </w:tcPr>
                <w:p w14:paraId="71D9C1F2">
                  <w:pPr>
                    <w:pStyle w:val="60"/>
                    <w:bidi w:val="0"/>
                    <w:rPr>
                      <w:color w:val="auto"/>
                      <w:sz w:val="18"/>
                      <w:szCs w:val="18"/>
                      <w:highlight w:val="none"/>
                    </w:rPr>
                  </w:pPr>
                </w:p>
              </w:tc>
              <w:tc>
                <w:tcPr>
                  <w:tcW w:w="509" w:type="pct"/>
                  <w:vMerge w:val="continue"/>
                  <w:vAlign w:val="center"/>
                </w:tcPr>
                <w:p w14:paraId="1A63A71E">
                  <w:pPr>
                    <w:pStyle w:val="60"/>
                    <w:bidi w:val="0"/>
                    <w:rPr>
                      <w:color w:val="auto"/>
                      <w:sz w:val="18"/>
                      <w:szCs w:val="18"/>
                      <w:highlight w:val="none"/>
                    </w:rPr>
                  </w:pPr>
                </w:p>
              </w:tc>
              <w:tc>
                <w:tcPr>
                  <w:tcW w:w="509" w:type="pct"/>
                  <w:vAlign w:val="center"/>
                </w:tcPr>
                <w:p w14:paraId="4A18AD66">
                  <w:pPr>
                    <w:pStyle w:val="60"/>
                    <w:bidi w:val="0"/>
                    <w:rPr>
                      <w:color w:val="auto"/>
                      <w:sz w:val="18"/>
                      <w:szCs w:val="18"/>
                      <w:highlight w:val="none"/>
                    </w:rPr>
                  </w:pPr>
                  <w:r>
                    <w:rPr>
                      <w:rFonts w:hint="eastAsia"/>
                      <w:color w:val="auto"/>
                      <w:sz w:val="18"/>
                      <w:szCs w:val="18"/>
                      <w:highlight w:val="none"/>
                    </w:rPr>
                    <w:t>声压级/dB(A)</w:t>
                  </w:r>
                </w:p>
              </w:tc>
              <w:tc>
                <w:tcPr>
                  <w:tcW w:w="307" w:type="pct"/>
                  <w:vAlign w:val="center"/>
                </w:tcPr>
                <w:p w14:paraId="1139E76F">
                  <w:pPr>
                    <w:pStyle w:val="60"/>
                    <w:bidi w:val="0"/>
                    <w:rPr>
                      <w:color w:val="auto"/>
                      <w:sz w:val="18"/>
                      <w:szCs w:val="18"/>
                      <w:highlight w:val="none"/>
                    </w:rPr>
                  </w:pPr>
                  <w:r>
                    <w:rPr>
                      <w:rFonts w:hint="eastAsia"/>
                      <w:color w:val="auto"/>
                      <w:sz w:val="18"/>
                      <w:szCs w:val="18"/>
                      <w:highlight w:val="none"/>
                    </w:rPr>
                    <w:t>建筑物外距离</w:t>
                  </w:r>
                </w:p>
              </w:tc>
            </w:tr>
            <w:tr w14:paraId="01BC9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4" w:type="pct"/>
                  <w:vAlign w:val="center"/>
                </w:tcPr>
                <w:p w14:paraId="3BADFEFD">
                  <w:pPr>
                    <w:pStyle w:val="60"/>
                    <w:bidi w:val="0"/>
                    <w:rPr>
                      <w:rFonts w:hint="eastAsia" w:eastAsia="宋体"/>
                      <w:color w:val="auto"/>
                      <w:sz w:val="18"/>
                      <w:szCs w:val="18"/>
                      <w:highlight w:val="none"/>
                      <w:lang w:val="en-US" w:eastAsia="zh-CN"/>
                    </w:rPr>
                  </w:pPr>
                  <w:r>
                    <w:rPr>
                      <w:rFonts w:hint="eastAsia"/>
                      <w:color w:val="auto"/>
                      <w:sz w:val="18"/>
                      <w:szCs w:val="18"/>
                      <w:highlight w:val="none"/>
                      <w:lang w:val="en-US" w:eastAsia="zh-CN"/>
                    </w:rPr>
                    <w:t>1</w:t>
                  </w:r>
                </w:p>
              </w:tc>
              <w:tc>
                <w:tcPr>
                  <w:tcW w:w="266" w:type="pct"/>
                  <w:vMerge w:val="restart"/>
                  <w:vAlign w:val="center"/>
                </w:tcPr>
                <w:p w14:paraId="3E3DE213">
                  <w:pPr>
                    <w:pStyle w:val="60"/>
                    <w:bidi w:val="0"/>
                    <w:rPr>
                      <w:rFonts w:hint="eastAsia" w:eastAsia="宋体"/>
                      <w:color w:val="auto"/>
                      <w:sz w:val="18"/>
                      <w:szCs w:val="18"/>
                      <w:highlight w:val="none"/>
                      <w:lang w:val="en-US" w:eastAsia="zh-CN"/>
                    </w:rPr>
                  </w:pPr>
                  <w:r>
                    <w:rPr>
                      <w:rFonts w:hint="eastAsia"/>
                      <w:color w:val="auto"/>
                      <w:sz w:val="18"/>
                      <w:szCs w:val="18"/>
                      <w:highlight w:val="none"/>
                      <w:lang w:val="en-US" w:eastAsia="zh-CN"/>
                    </w:rPr>
                    <w:t>热风炉房</w:t>
                  </w:r>
                </w:p>
              </w:tc>
              <w:tc>
                <w:tcPr>
                  <w:tcW w:w="410" w:type="pct"/>
                  <w:vAlign w:val="center"/>
                </w:tcPr>
                <w:p w14:paraId="0547465B">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热风炉</w:t>
                  </w:r>
                </w:p>
              </w:tc>
              <w:tc>
                <w:tcPr>
                  <w:tcW w:w="501" w:type="dxa"/>
                  <w:vAlign w:val="center"/>
                </w:tcPr>
                <w:p w14:paraId="75DE641D">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80</w:t>
                  </w:r>
                </w:p>
              </w:tc>
              <w:tc>
                <w:tcPr>
                  <w:tcW w:w="611" w:type="dxa"/>
                  <w:vMerge w:val="restart"/>
                  <w:vAlign w:val="center"/>
                </w:tcPr>
                <w:p w14:paraId="22014EB7">
                  <w:pPr>
                    <w:pStyle w:val="60"/>
                    <w:bidi w:val="0"/>
                    <w:ind w:firstLine="0" w:firstLineChars="0"/>
                    <w:rPr>
                      <w:color w:val="auto"/>
                      <w:sz w:val="18"/>
                      <w:szCs w:val="18"/>
                      <w:highlight w:val="none"/>
                    </w:rPr>
                  </w:pPr>
                  <w:r>
                    <w:rPr>
                      <w:rFonts w:hint="eastAsia"/>
                      <w:color w:val="auto"/>
                      <w:sz w:val="18"/>
                      <w:szCs w:val="18"/>
                      <w:highlight w:val="none"/>
                    </w:rPr>
                    <w:t>低噪声设备、</w:t>
                  </w:r>
                  <w:r>
                    <w:rPr>
                      <w:color w:val="auto"/>
                      <w:sz w:val="18"/>
                      <w:szCs w:val="18"/>
                      <w:highlight w:val="none"/>
                    </w:rPr>
                    <w:t>隔声、减振</w:t>
                  </w:r>
                </w:p>
              </w:tc>
              <w:tc>
                <w:tcPr>
                  <w:tcW w:w="474" w:type="dxa"/>
                  <w:vAlign w:val="center"/>
                </w:tcPr>
                <w:p w14:paraId="2B9A404F">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-44</w:t>
                  </w:r>
                </w:p>
              </w:tc>
              <w:tc>
                <w:tcPr>
                  <w:tcW w:w="474" w:type="dxa"/>
                  <w:vAlign w:val="center"/>
                </w:tcPr>
                <w:p w14:paraId="06C0B737">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-121</w:t>
                  </w:r>
                </w:p>
              </w:tc>
              <w:tc>
                <w:tcPr>
                  <w:tcW w:w="475" w:type="dxa"/>
                  <w:vAlign w:val="center"/>
                </w:tcPr>
                <w:p w14:paraId="4F9EFB93">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1.5</w:t>
                  </w:r>
                </w:p>
              </w:tc>
              <w:tc>
                <w:tcPr>
                  <w:tcW w:w="450" w:type="dxa"/>
                  <w:vAlign w:val="center"/>
                </w:tcPr>
                <w:p w14:paraId="1284346C">
                  <w:pPr>
                    <w:pStyle w:val="60"/>
                    <w:bidi w:val="0"/>
                    <w:ind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4</w:t>
                  </w:r>
                </w:p>
              </w:tc>
              <w:tc>
                <w:tcPr>
                  <w:tcW w:w="596" w:type="dxa"/>
                  <w:vAlign w:val="center"/>
                </w:tcPr>
                <w:p w14:paraId="27342D5C">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68</w:t>
                  </w:r>
                </w:p>
              </w:tc>
              <w:tc>
                <w:tcPr>
                  <w:tcW w:w="612" w:type="dxa"/>
                  <w:vMerge w:val="restart"/>
                  <w:vAlign w:val="center"/>
                </w:tcPr>
                <w:p w14:paraId="6AD560BA">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1440h</w:t>
                  </w:r>
                </w:p>
              </w:tc>
              <w:tc>
                <w:tcPr>
                  <w:tcW w:w="781" w:type="dxa"/>
                  <w:vAlign w:val="center"/>
                </w:tcPr>
                <w:p w14:paraId="5D273C40">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25</w:t>
                  </w:r>
                </w:p>
              </w:tc>
              <w:tc>
                <w:tcPr>
                  <w:tcW w:w="781" w:type="dxa"/>
                  <w:vAlign w:val="center"/>
                </w:tcPr>
                <w:p w14:paraId="79DFD418">
                  <w:pPr>
                    <w:pStyle w:val="48"/>
                    <w:bidi w:val="0"/>
                    <w:ind w:firstLine="0" w:firstLineChars="0"/>
                    <w:rPr>
                      <w:rFonts w:hint="eastAsia"/>
                      <w:color w:val="auto"/>
                      <w:sz w:val="18"/>
                      <w:szCs w:val="18"/>
                      <w:highlight w:val="none"/>
                      <w:lang w:val="en-US" w:eastAsia="zh-CN"/>
                    </w:rPr>
                  </w:pPr>
                  <w:r>
                    <w:rPr>
                      <w:rFonts w:hint="eastAsia"/>
                      <w:highlight w:val="none"/>
                      <w:lang w:val="en-US" w:eastAsia="zh-CN"/>
                    </w:rPr>
                    <w:t>43</w:t>
                  </w:r>
                </w:p>
              </w:tc>
              <w:tc>
                <w:tcPr>
                  <w:tcW w:w="471" w:type="dxa"/>
                  <w:vAlign w:val="center"/>
                </w:tcPr>
                <w:p w14:paraId="16EBE8AB">
                  <w:pPr>
                    <w:pStyle w:val="60"/>
                    <w:bidi w:val="0"/>
                    <w:ind w:firstLine="0" w:firstLineChars="0"/>
                    <w:rPr>
                      <w:rFonts w:hint="eastAsia"/>
                      <w:color w:val="auto"/>
                      <w:sz w:val="18"/>
                      <w:szCs w:val="18"/>
                      <w:highlight w:val="none"/>
                    </w:rPr>
                  </w:pPr>
                  <w:r>
                    <w:rPr>
                      <w:rFonts w:hint="eastAsia"/>
                      <w:color w:val="auto"/>
                      <w:sz w:val="18"/>
                      <w:szCs w:val="18"/>
                      <w:highlight w:val="none"/>
                    </w:rPr>
                    <w:t>1m</w:t>
                  </w:r>
                </w:p>
              </w:tc>
            </w:tr>
            <w:tr w14:paraId="4761E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4" w:type="pct"/>
                  <w:vAlign w:val="center"/>
                </w:tcPr>
                <w:p w14:paraId="68D0E325">
                  <w:pPr>
                    <w:pStyle w:val="60"/>
                    <w:bidi w:val="0"/>
                    <w:rPr>
                      <w:rFonts w:hint="eastAsia" w:eastAsia="宋体"/>
                      <w:color w:val="auto"/>
                      <w:sz w:val="18"/>
                      <w:szCs w:val="18"/>
                      <w:highlight w:val="none"/>
                      <w:lang w:val="en-US" w:eastAsia="zh-CN"/>
                    </w:rPr>
                  </w:pPr>
                  <w:r>
                    <w:rPr>
                      <w:rFonts w:hint="eastAsia"/>
                      <w:color w:val="auto"/>
                      <w:sz w:val="18"/>
                      <w:szCs w:val="18"/>
                      <w:highlight w:val="none"/>
                      <w:lang w:val="en-US" w:eastAsia="zh-CN"/>
                    </w:rPr>
                    <w:t>2</w:t>
                  </w:r>
                </w:p>
              </w:tc>
              <w:tc>
                <w:tcPr>
                  <w:tcW w:w="266" w:type="pct"/>
                  <w:vMerge w:val="continue"/>
                  <w:vAlign w:val="center"/>
                </w:tcPr>
                <w:p w14:paraId="6301979E">
                  <w:pPr>
                    <w:pStyle w:val="60"/>
                    <w:bidi w:val="0"/>
                    <w:rPr>
                      <w:color w:val="auto"/>
                      <w:sz w:val="18"/>
                      <w:szCs w:val="18"/>
                      <w:highlight w:val="none"/>
                    </w:rPr>
                  </w:pPr>
                </w:p>
              </w:tc>
              <w:tc>
                <w:tcPr>
                  <w:tcW w:w="410" w:type="pct"/>
                  <w:vAlign w:val="center"/>
                </w:tcPr>
                <w:p w14:paraId="3986AAE1">
                  <w:pPr>
                    <w:pStyle w:val="60"/>
                    <w:bidi w:val="0"/>
                    <w:rPr>
                      <w:color w:val="auto"/>
                      <w:sz w:val="18"/>
                      <w:szCs w:val="18"/>
                      <w:highlight w:val="none"/>
                    </w:rPr>
                  </w:pPr>
                  <w:r>
                    <w:rPr>
                      <w:color w:val="auto"/>
                      <w:sz w:val="18"/>
                      <w:szCs w:val="18"/>
                      <w:highlight w:val="none"/>
                      <w:lang w:val="en-US" w:eastAsia="zh-CN"/>
                    </w:rPr>
                    <w:t>引风机</w:t>
                  </w:r>
                </w:p>
              </w:tc>
              <w:tc>
                <w:tcPr>
                  <w:tcW w:w="501" w:type="dxa"/>
                  <w:vAlign w:val="center"/>
                </w:tcPr>
                <w:p w14:paraId="6B99385E">
                  <w:pPr>
                    <w:pStyle w:val="60"/>
                    <w:bidi w:val="0"/>
                    <w:ind w:firstLine="0" w:firstLineChars="0"/>
                    <w:rPr>
                      <w:color w:val="auto"/>
                      <w:sz w:val="18"/>
                      <w:szCs w:val="18"/>
                      <w:highlight w:val="none"/>
                    </w:rPr>
                  </w:pPr>
                  <w:r>
                    <w:rPr>
                      <w:rFonts w:hint="eastAsia"/>
                      <w:color w:val="auto"/>
                      <w:sz w:val="18"/>
                      <w:szCs w:val="18"/>
                      <w:highlight w:val="none"/>
                      <w:lang w:val="en-US" w:eastAsia="zh-CN"/>
                    </w:rPr>
                    <w:t>85</w:t>
                  </w:r>
                </w:p>
              </w:tc>
              <w:tc>
                <w:tcPr>
                  <w:tcW w:w="611" w:type="dxa"/>
                  <w:vMerge w:val="continue"/>
                  <w:vAlign w:val="center"/>
                </w:tcPr>
                <w:p w14:paraId="7A22B192">
                  <w:pPr>
                    <w:pStyle w:val="60"/>
                    <w:bidi w:val="0"/>
                    <w:ind w:firstLine="0" w:firstLineChars="0"/>
                    <w:rPr>
                      <w:color w:val="auto"/>
                      <w:sz w:val="18"/>
                      <w:szCs w:val="18"/>
                      <w:highlight w:val="none"/>
                    </w:rPr>
                  </w:pPr>
                </w:p>
              </w:tc>
              <w:tc>
                <w:tcPr>
                  <w:tcW w:w="474" w:type="dxa"/>
                  <w:vAlign w:val="center"/>
                </w:tcPr>
                <w:p w14:paraId="0C8E6438">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-48</w:t>
                  </w:r>
                </w:p>
              </w:tc>
              <w:tc>
                <w:tcPr>
                  <w:tcW w:w="474" w:type="dxa"/>
                  <w:vAlign w:val="center"/>
                </w:tcPr>
                <w:p w14:paraId="59627D6B">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-122</w:t>
                  </w:r>
                </w:p>
              </w:tc>
              <w:tc>
                <w:tcPr>
                  <w:tcW w:w="475" w:type="dxa"/>
                  <w:vAlign w:val="center"/>
                </w:tcPr>
                <w:p w14:paraId="3F4E52B4">
                  <w:pPr>
                    <w:pStyle w:val="60"/>
                    <w:bidi w:val="0"/>
                    <w:ind w:firstLine="0" w:firstLineChars="0"/>
                    <w:rPr>
                      <w:rFonts w:hint="eastAsia" w:eastAsia="宋体"/>
                      <w:color w:val="auto"/>
                      <w:sz w:val="18"/>
                      <w:szCs w:val="18"/>
                      <w:highlight w:val="none"/>
                      <w:lang w:val="en-US" w:eastAsia="zh-CN"/>
                    </w:rPr>
                  </w:pPr>
                  <w:r>
                    <w:rPr>
                      <w:rFonts w:hint="eastAsia"/>
                      <w:color w:val="auto"/>
                      <w:sz w:val="18"/>
                      <w:szCs w:val="18"/>
                      <w:highlight w:val="none"/>
                      <w:lang w:val="en-US" w:eastAsia="zh-CN"/>
                    </w:rPr>
                    <w:t>1</w:t>
                  </w:r>
                </w:p>
              </w:tc>
              <w:tc>
                <w:tcPr>
                  <w:tcW w:w="450" w:type="dxa"/>
                  <w:vAlign w:val="center"/>
                </w:tcPr>
                <w:p w14:paraId="059B00E1">
                  <w:pPr>
                    <w:pStyle w:val="60"/>
                    <w:bidi w:val="0"/>
                    <w:ind w:firstLine="0" w:firstLineChars="0"/>
                    <w:rPr>
                      <w:rFonts w:hint="eastAsia"/>
                      <w:color w:val="auto"/>
                      <w:sz w:val="18"/>
                      <w:szCs w:val="18"/>
                      <w:highlight w:val="none"/>
                      <w:lang w:eastAsia="zh-CN"/>
                    </w:rPr>
                  </w:pPr>
                  <w:r>
                    <w:rPr>
                      <w:rFonts w:hint="eastAsia"/>
                      <w:color w:val="auto"/>
                      <w:sz w:val="18"/>
                      <w:szCs w:val="18"/>
                      <w:highlight w:val="none"/>
                      <w:lang w:val="en-US" w:eastAsia="zh-CN"/>
                    </w:rPr>
                    <w:t>5</w:t>
                  </w:r>
                </w:p>
              </w:tc>
              <w:tc>
                <w:tcPr>
                  <w:tcW w:w="596" w:type="dxa"/>
                  <w:vAlign w:val="center"/>
                </w:tcPr>
                <w:p w14:paraId="5B1615F7">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71</w:t>
                  </w:r>
                </w:p>
              </w:tc>
              <w:tc>
                <w:tcPr>
                  <w:tcW w:w="612" w:type="dxa"/>
                  <w:vMerge w:val="continue"/>
                  <w:vAlign w:val="center"/>
                </w:tcPr>
                <w:p w14:paraId="1F388B03">
                  <w:pPr>
                    <w:pStyle w:val="60"/>
                    <w:bidi w:val="0"/>
                    <w:ind w:firstLine="0" w:firstLineChars="0"/>
                    <w:rPr>
                      <w:rFonts w:hint="default"/>
                      <w:color w:val="auto"/>
                      <w:sz w:val="18"/>
                      <w:szCs w:val="18"/>
                      <w:highlight w:val="none"/>
                      <w:lang w:val="en-US" w:eastAsia="zh-CN"/>
                    </w:rPr>
                  </w:pPr>
                </w:p>
              </w:tc>
              <w:tc>
                <w:tcPr>
                  <w:tcW w:w="781" w:type="dxa"/>
                  <w:vAlign w:val="center"/>
                </w:tcPr>
                <w:p w14:paraId="02ADBFCB">
                  <w:pPr>
                    <w:pStyle w:val="60"/>
                    <w:bidi w:val="0"/>
                    <w:ind w:firstLine="0" w:firstLineChars="0"/>
                    <w:rPr>
                      <w:color w:val="auto"/>
                      <w:sz w:val="18"/>
                      <w:szCs w:val="18"/>
                      <w:highlight w:val="none"/>
                    </w:rPr>
                  </w:pPr>
                  <w:r>
                    <w:rPr>
                      <w:rFonts w:hint="eastAsia"/>
                      <w:color w:val="auto"/>
                      <w:sz w:val="18"/>
                      <w:szCs w:val="18"/>
                      <w:highlight w:val="none"/>
                      <w:lang w:val="en-US" w:eastAsia="zh-CN"/>
                    </w:rPr>
                    <w:t>25</w:t>
                  </w:r>
                </w:p>
              </w:tc>
              <w:tc>
                <w:tcPr>
                  <w:tcW w:w="781" w:type="dxa"/>
                  <w:vAlign w:val="center"/>
                </w:tcPr>
                <w:p w14:paraId="29019DD0">
                  <w:pPr>
                    <w:pStyle w:val="48"/>
                    <w:bidi w:val="0"/>
                    <w:ind w:firstLine="0" w:firstLineChars="0"/>
                    <w:rPr>
                      <w:rFonts w:hint="eastAsia"/>
                      <w:color w:val="auto"/>
                      <w:sz w:val="18"/>
                      <w:szCs w:val="18"/>
                      <w:highlight w:val="none"/>
                      <w:lang w:val="en-US" w:eastAsia="zh-CN"/>
                    </w:rPr>
                  </w:pPr>
                  <w:r>
                    <w:rPr>
                      <w:rFonts w:hint="eastAsia"/>
                      <w:highlight w:val="none"/>
                      <w:lang w:val="en-US" w:eastAsia="zh-CN"/>
                    </w:rPr>
                    <w:t>46</w:t>
                  </w:r>
                </w:p>
              </w:tc>
              <w:tc>
                <w:tcPr>
                  <w:tcW w:w="471" w:type="dxa"/>
                  <w:vAlign w:val="center"/>
                </w:tcPr>
                <w:p w14:paraId="2A494D14">
                  <w:pPr>
                    <w:pStyle w:val="60"/>
                    <w:bidi w:val="0"/>
                    <w:ind w:firstLine="0" w:firstLineChars="0"/>
                    <w:rPr>
                      <w:color w:val="auto"/>
                      <w:sz w:val="18"/>
                      <w:szCs w:val="18"/>
                      <w:highlight w:val="none"/>
                    </w:rPr>
                  </w:pPr>
                  <w:r>
                    <w:rPr>
                      <w:rFonts w:hint="eastAsia"/>
                      <w:color w:val="auto"/>
                      <w:sz w:val="18"/>
                      <w:szCs w:val="18"/>
                      <w:highlight w:val="none"/>
                    </w:rPr>
                    <w:t>1m</w:t>
                  </w:r>
                </w:p>
              </w:tc>
            </w:tr>
            <w:tr w14:paraId="154771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4" w:type="pct"/>
                  <w:vAlign w:val="center"/>
                </w:tcPr>
                <w:p w14:paraId="18589E1A">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3</w:t>
                  </w:r>
                </w:p>
              </w:tc>
              <w:tc>
                <w:tcPr>
                  <w:tcW w:w="266" w:type="pct"/>
                  <w:vMerge w:val="continue"/>
                  <w:vAlign w:val="center"/>
                </w:tcPr>
                <w:p w14:paraId="34FC627D">
                  <w:pPr>
                    <w:pStyle w:val="60"/>
                    <w:bidi w:val="0"/>
                    <w:rPr>
                      <w:rFonts w:hint="eastAsia"/>
                      <w:color w:val="auto"/>
                      <w:sz w:val="18"/>
                      <w:szCs w:val="18"/>
                      <w:highlight w:val="none"/>
                    </w:rPr>
                  </w:pPr>
                </w:p>
              </w:tc>
              <w:tc>
                <w:tcPr>
                  <w:tcW w:w="410" w:type="pct"/>
                  <w:vAlign w:val="center"/>
                </w:tcPr>
                <w:p w14:paraId="40357D7C">
                  <w:pPr>
                    <w:pStyle w:val="60"/>
                    <w:bidi w:val="0"/>
                    <w:rPr>
                      <w:rFonts w:hint="default"/>
                      <w:color w:val="auto"/>
                      <w:sz w:val="18"/>
                      <w:szCs w:val="18"/>
                      <w:highlight w:val="none"/>
                      <w:lang w:val="en-US" w:eastAsia="zh-CN"/>
                    </w:rPr>
                  </w:pPr>
                  <w:r>
                    <w:rPr>
                      <w:color w:val="auto"/>
                      <w:sz w:val="18"/>
                      <w:szCs w:val="18"/>
                      <w:highlight w:val="none"/>
                      <w:lang w:val="en-US" w:eastAsia="zh-CN"/>
                    </w:rPr>
                    <w:t>鼓风机</w:t>
                  </w:r>
                </w:p>
              </w:tc>
              <w:tc>
                <w:tcPr>
                  <w:tcW w:w="501" w:type="dxa"/>
                  <w:vAlign w:val="center"/>
                </w:tcPr>
                <w:p w14:paraId="70110854">
                  <w:pPr>
                    <w:pStyle w:val="60"/>
                    <w:bidi w:val="0"/>
                    <w:ind w:firstLine="0" w:firstLineChars="0"/>
                    <w:rPr>
                      <w:rFonts w:hint="eastAsia"/>
                      <w:color w:val="auto"/>
                      <w:sz w:val="18"/>
                      <w:szCs w:val="18"/>
                      <w:highlight w:val="none"/>
                    </w:rPr>
                  </w:pPr>
                  <w:r>
                    <w:rPr>
                      <w:rFonts w:hint="eastAsia"/>
                      <w:color w:val="auto"/>
                      <w:sz w:val="18"/>
                      <w:szCs w:val="18"/>
                      <w:highlight w:val="none"/>
                      <w:lang w:val="en-US" w:eastAsia="zh-CN"/>
                    </w:rPr>
                    <w:t>85</w:t>
                  </w:r>
                </w:p>
              </w:tc>
              <w:tc>
                <w:tcPr>
                  <w:tcW w:w="611" w:type="dxa"/>
                  <w:vMerge w:val="continue"/>
                  <w:vAlign w:val="center"/>
                </w:tcPr>
                <w:p w14:paraId="22059B05">
                  <w:pPr>
                    <w:pStyle w:val="60"/>
                    <w:bidi w:val="0"/>
                    <w:ind w:firstLine="0" w:firstLineChars="0"/>
                    <w:rPr>
                      <w:rFonts w:hint="eastAsia"/>
                      <w:color w:val="auto"/>
                      <w:sz w:val="18"/>
                      <w:szCs w:val="18"/>
                      <w:highlight w:val="none"/>
                    </w:rPr>
                  </w:pPr>
                </w:p>
              </w:tc>
              <w:tc>
                <w:tcPr>
                  <w:tcW w:w="474" w:type="dxa"/>
                  <w:vAlign w:val="center"/>
                </w:tcPr>
                <w:p w14:paraId="1BBEDB91">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-37</w:t>
                  </w:r>
                </w:p>
              </w:tc>
              <w:tc>
                <w:tcPr>
                  <w:tcW w:w="474" w:type="dxa"/>
                  <w:vAlign w:val="center"/>
                </w:tcPr>
                <w:p w14:paraId="4C8713BB">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-122</w:t>
                  </w:r>
                </w:p>
              </w:tc>
              <w:tc>
                <w:tcPr>
                  <w:tcW w:w="475" w:type="dxa"/>
                  <w:vAlign w:val="center"/>
                </w:tcPr>
                <w:p w14:paraId="311AACB9">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w:t>
                  </w:r>
                </w:p>
              </w:tc>
              <w:tc>
                <w:tcPr>
                  <w:tcW w:w="450" w:type="dxa"/>
                  <w:vAlign w:val="center"/>
                </w:tcPr>
                <w:p w14:paraId="23BE44A0">
                  <w:pPr>
                    <w:pStyle w:val="60"/>
                    <w:bidi w:val="0"/>
                    <w:ind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2</w:t>
                  </w:r>
                </w:p>
              </w:tc>
              <w:tc>
                <w:tcPr>
                  <w:tcW w:w="596" w:type="dxa"/>
                  <w:vAlign w:val="center"/>
                </w:tcPr>
                <w:p w14:paraId="0F950719">
                  <w:pPr>
                    <w:pStyle w:val="60"/>
                    <w:bidi w:val="0"/>
                    <w:ind w:firstLine="0" w:firstLineChars="0"/>
                    <w:rPr>
                      <w:rFonts w:hint="eastAsia"/>
                      <w:color w:val="auto"/>
                      <w:sz w:val="18"/>
                      <w:szCs w:val="18"/>
                      <w:highlight w:val="none"/>
                      <w:lang w:val="en-US" w:eastAsia="zh-CN"/>
                    </w:rPr>
                  </w:pPr>
                  <w:r>
                    <w:rPr>
                      <w:rFonts w:hint="eastAsia"/>
                      <w:color w:val="auto"/>
                      <w:sz w:val="18"/>
                      <w:szCs w:val="18"/>
                      <w:highlight w:val="none"/>
                      <w:lang w:val="en-US" w:eastAsia="zh-CN"/>
                    </w:rPr>
                    <w:t>79</w:t>
                  </w:r>
                </w:p>
              </w:tc>
              <w:tc>
                <w:tcPr>
                  <w:tcW w:w="612" w:type="dxa"/>
                  <w:vMerge w:val="continue"/>
                  <w:vAlign w:val="center"/>
                </w:tcPr>
                <w:p w14:paraId="5B7C9D92">
                  <w:pPr>
                    <w:pStyle w:val="60"/>
                    <w:bidi w:val="0"/>
                    <w:ind w:firstLine="0" w:firstLineChars="0"/>
                    <w:rPr>
                      <w:rFonts w:hint="eastAsia"/>
                      <w:color w:val="auto"/>
                      <w:sz w:val="18"/>
                      <w:szCs w:val="18"/>
                      <w:highlight w:val="none"/>
                      <w:lang w:val="en-US" w:eastAsia="zh-CN"/>
                    </w:rPr>
                  </w:pPr>
                </w:p>
              </w:tc>
              <w:tc>
                <w:tcPr>
                  <w:tcW w:w="781" w:type="dxa"/>
                  <w:vAlign w:val="center"/>
                </w:tcPr>
                <w:p w14:paraId="0541A1F7">
                  <w:pPr>
                    <w:pStyle w:val="60"/>
                    <w:bidi w:val="0"/>
                    <w:ind w:firstLine="0" w:firstLineChars="0"/>
                    <w:rPr>
                      <w:rFonts w:hint="eastAsia"/>
                      <w:color w:val="auto"/>
                      <w:sz w:val="18"/>
                      <w:szCs w:val="18"/>
                      <w:highlight w:val="none"/>
                    </w:rPr>
                  </w:pPr>
                  <w:r>
                    <w:rPr>
                      <w:rFonts w:hint="eastAsia"/>
                      <w:color w:val="auto"/>
                      <w:sz w:val="18"/>
                      <w:szCs w:val="18"/>
                      <w:highlight w:val="none"/>
                      <w:lang w:val="en-US" w:eastAsia="zh-CN"/>
                    </w:rPr>
                    <w:t>25</w:t>
                  </w:r>
                </w:p>
              </w:tc>
              <w:tc>
                <w:tcPr>
                  <w:tcW w:w="781" w:type="dxa"/>
                  <w:vAlign w:val="center"/>
                </w:tcPr>
                <w:p w14:paraId="147C5934">
                  <w:pPr>
                    <w:pStyle w:val="48"/>
                    <w:bidi w:val="0"/>
                    <w:ind w:firstLine="0" w:firstLineChars="0"/>
                    <w:rPr>
                      <w:rFonts w:hint="eastAsia"/>
                      <w:color w:val="auto"/>
                      <w:sz w:val="18"/>
                      <w:szCs w:val="18"/>
                      <w:highlight w:val="none"/>
                      <w:lang w:val="en-US" w:eastAsia="zh-CN"/>
                    </w:rPr>
                  </w:pPr>
                  <w:r>
                    <w:rPr>
                      <w:rFonts w:hint="eastAsia"/>
                      <w:highlight w:val="none"/>
                      <w:lang w:val="en-US" w:eastAsia="zh-CN"/>
                    </w:rPr>
                    <w:t>54</w:t>
                  </w:r>
                </w:p>
              </w:tc>
              <w:tc>
                <w:tcPr>
                  <w:tcW w:w="471" w:type="dxa"/>
                  <w:vAlign w:val="center"/>
                </w:tcPr>
                <w:p w14:paraId="5BBA44D0">
                  <w:pPr>
                    <w:pStyle w:val="60"/>
                    <w:bidi w:val="0"/>
                    <w:ind w:firstLine="0" w:firstLineChars="0"/>
                    <w:rPr>
                      <w:rFonts w:hint="eastAsia"/>
                      <w:color w:val="auto"/>
                      <w:sz w:val="18"/>
                      <w:szCs w:val="18"/>
                      <w:highlight w:val="none"/>
                    </w:rPr>
                  </w:pPr>
                  <w:r>
                    <w:rPr>
                      <w:rFonts w:hint="eastAsia"/>
                      <w:color w:val="auto"/>
                      <w:sz w:val="18"/>
                      <w:szCs w:val="18"/>
                      <w:highlight w:val="none"/>
                    </w:rPr>
                    <w:t>1m</w:t>
                  </w:r>
                </w:p>
              </w:tc>
            </w:tr>
          </w:tbl>
          <w:p w14:paraId="4B73333C">
            <w:pPr>
              <w:pStyle w:val="60"/>
              <w:bidi w:val="0"/>
              <w:jc w:val="both"/>
              <w:rPr>
                <w:rFonts w:hint="eastAsia" w:cs="Times New Roman"/>
                <w:color w:val="auto"/>
                <w:sz w:val="18"/>
                <w:szCs w:val="18"/>
                <w:highlight w:val="none"/>
                <w:lang w:eastAsia="zh-CN"/>
              </w:rPr>
            </w:pPr>
            <w:r>
              <w:rPr>
                <w:rFonts w:hint="default" w:ascii="Times New Roman" w:hAnsi="Times New Roman" w:cs="Times New Roman"/>
                <w:color w:val="auto"/>
                <w:sz w:val="18"/>
                <w:szCs w:val="18"/>
                <w:highlight w:val="none"/>
              </w:rPr>
              <w:t>注：</w:t>
            </w:r>
            <w:r>
              <w:rPr>
                <w:rFonts w:hint="default" w:ascii="Times New Roman" w:hAnsi="Times New Roman" w:cs="Times New Roman"/>
                <w:color w:val="auto"/>
                <w:sz w:val="18"/>
                <w:szCs w:val="18"/>
                <w:highlight w:val="none"/>
                <w:lang w:val="en-US" w:eastAsia="zh-CN"/>
              </w:rPr>
              <w:t>厂区</w:t>
            </w:r>
            <w:r>
              <w:rPr>
                <w:rFonts w:hint="default" w:ascii="Times New Roman" w:hAnsi="Times New Roman" w:cs="Times New Roman"/>
                <w:color w:val="auto"/>
                <w:sz w:val="18"/>
                <w:szCs w:val="18"/>
                <w:highlight w:val="none"/>
              </w:rPr>
              <w:t>中心点坐标为（0，0，0）</w:t>
            </w:r>
            <w:r>
              <w:rPr>
                <w:rFonts w:hint="eastAsia" w:cs="Times New Roman"/>
                <w:color w:val="auto"/>
                <w:sz w:val="18"/>
                <w:szCs w:val="18"/>
                <w:highlight w:val="none"/>
                <w:lang w:eastAsia="zh-CN"/>
              </w:rPr>
              <w:t>；</w:t>
            </w:r>
          </w:p>
          <w:p w14:paraId="0D9265BA">
            <w:pPr>
              <w:pStyle w:val="50"/>
              <w:keepNext w:val="0"/>
              <w:keepLines w:val="0"/>
              <w:pageBreakBefore w:val="0"/>
              <w:widowControl w:val="0"/>
              <w:kinsoku/>
              <w:wordWrap w:val="0"/>
              <w:overflowPunct/>
              <w:topLinePunct w:val="0"/>
              <w:autoSpaceDE/>
              <w:autoSpaceDN/>
              <w:bidi w:val="0"/>
              <w:adjustRightInd/>
              <w:snapToGrid/>
              <w:spacing w:before="157" w:beforeLines="50"/>
              <w:textAlignment w:val="auto"/>
              <w:rPr>
                <w:color w:val="auto"/>
                <w:highlight w:val="none"/>
                <w:lang w:val="en-US"/>
              </w:rPr>
            </w:pPr>
            <w:r>
              <w:rPr>
                <w:color w:val="auto"/>
                <w:highlight w:val="none"/>
                <w:lang w:val="en-US"/>
              </w:rPr>
              <w:t>表4-</w:t>
            </w:r>
            <w:r>
              <w:rPr>
                <w:rFonts w:hint="eastAsia"/>
                <w:color w:val="auto"/>
                <w:highlight w:val="none"/>
                <w:lang w:val="en-US" w:eastAsia="zh-CN"/>
              </w:rPr>
              <w:t>13-</w:t>
            </w:r>
            <w:r>
              <w:rPr>
                <w:color w:val="auto"/>
                <w:highlight w:val="none"/>
                <w:lang w:val="en-US"/>
              </w:rPr>
              <w:t>2</w:t>
            </w:r>
            <w:r>
              <w:rPr>
                <w:rFonts w:hint="eastAsia"/>
                <w:color w:val="auto"/>
                <w:highlight w:val="none"/>
                <w:lang w:val="en-US" w:eastAsia="zh-CN"/>
              </w:rPr>
              <w:t xml:space="preserve"> </w:t>
            </w:r>
            <w:r>
              <w:rPr>
                <w:color w:val="auto"/>
                <w:highlight w:val="none"/>
                <w:lang w:val="en-US"/>
              </w:rPr>
              <w:t xml:space="preserve">  </w:t>
            </w:r>
            <w:r>
              <w:rPr>
                <w:rFonts w:hint="default" w:ascii="Times New Roman" w:hAnsi="Times New Roman" w:cs="Times New Roman"/>
                <w:color w:val="auto"/>
                <w:highlight w:val="none"/>
              </w:rPr>
              <w:t>本项目声源一览表</w:t>
            </w:r>
            <w:r>
              <w:rPr>
                <w:color w:val="auto"/>
                <w:highlight w:val="none"/>
                <w:lang w:val="en-US"/>
              </w:rPr>
              <w:t>（室外声源）</w:t>
            </w:r>
          </w:p>
          <w:tbl>
            <w:tblPr>
              <w:tblStyle w:val="38"/>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020"/>
              <w:gridCol w:w="523"/>
              <w:gridCol w:w="708"/>
              <w:gridCol w:w="736"/>
              <w:gridCol w:w="696"/>
              <w:gridCol w:w="1230"/>
              <w:gridCol w:w="1393"/>
              <w:gridCol w:w="852"/>
            </w:tblGrid>
            <w:tr w14:paraId="3A0D9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vMerge w:val="restart"/>
                  <w:tcBorders>
                    <w:tl2br w:val="nil"/>
                    <w:tr2bl w:val="nil"/>
                  </w:tcBorders>
                  <w:vAlign w:val="center"/>
                </w:tcPr>
                <w:p w14:paraId="44553CC7">
                  <w:pPr>
                    <w:pStyle w:val="60"/>
                    <w:bidi w:val="0"/>
                    <w:rPr>
                      <w:color w:val="auto"/>
                      <w:sz w:val="18"/>
                      <w:szCs w:val="18"/>
                      <w:highlight w:val="none"/>
                    </w:rPr>
                  </w:pPr>
                  <w:r>
                    <w:rPr>
                      <w:color w:val="auto"/>
                      <w:sz w:val="18"/>
                      <w:szCs w:val="18"/>
                      <w:highlight w:val="none"/>
                    </w:rPr>
                    <w:t>序号</w:t>
                  </w:r>
                </w:p>
              </w:tc>
              <w:tc>
                <w:tcPr>
                  <w:tcW w:w="665" w:type="pct"/>
                  <w:vMerge w:val="restart"/>
                  <w:tcBorders>
                    <w:tl2br w:val="nil"/>
                    <w:tr2bl w:val="nil"/>
                  </w:tcBorders>
                  <w:vAlign w:val="center"/>
                </w:tcPr>
                <w:p w14:paraId="15097E94">
                  <w:pPr>
                    <w:pStyle w:val="60"/>
                    <w:bidi w:val="0"/>
                    <w:rPr>
                      <w:color w:val="auto"/>
                      <w:sz w:val="18"/>
                      <w:szCs w:val="18"/>
                      <w:highlight w:val="none"/>
                    </w:rPr>
                  </w:pPr>
                  <w:r>
                    <w:rPr>
                      <w:color w:val="auto"/>
                      <w:sz w:val="18"/>
                      <w:szCs w:val="18"/>
                      <w:highlight w:val="none"/>
                    </w:rPr>
                    <w:t>声源名称</w:t>
                  </w:r>
                </w:p>
              </w:tc>
              <w:tc>
                <w:tcPr>
                  <w:tcW w:w="341" w:type="pct"/>
                  <w:vMerge w:val="restart"/>
                  <w:tcBorders>
                    <w:tl2br w:val="nil"/>
                    <w:tr2bl w:val="nil"/>
                  </w:tcBorders>
                  <w:vAlign w:val="center"/>
                </w:tcPr>
                <w:p w14:paraId="2849B6E7">
                  <w:pPr>
                    <w:pStyle w:val="60"/>
                    <w:bidi w:val="0"/>
                    <w:rPr>
                      <w:color w:val="auto"/>
                      <w:sz w:val="18"/>
                      <w:szCs w:val="18"/>
                      <w:highlight w:val="none"/>
                    </w:rPr>
                  </w:pPr>
                  <w:r>
                    <w:rPr>
                      <w:color w:val="auto"/>
                      <w:sz w:val="18"/>
                      <w:szCs w:val="18"/>
                      <w:highlight w:val="none"/>
                    </w:rPr>
                    <w:t>型号</w:t>
                  </w:r>
                </w:p>
              </w:tc>
              <w:tc>
                <w:tcPr>
                  <w:tcW w:w="1395" w:type="pct"/>
                  <w:gridSpan w:val="3"/>
                  <w:tcBorders>
                    <w:tl2br w:val="nil"/>
                    <w:tr2bl w:val="nil"/>
                  </w:tcBorders>
                  <w:vAlign w:val="center"/>
                </w:tcPr>
                <w:p w14:paraId="2EFA8C2B">
                  <w:pPr>
                    <w:pStyle w:val="60"/>
                    <w:bidi w:val="0"/>
                    <w:rPr>
                      <w:color w:val="auto"/>
                      <w:sz w:val="18"/>
                      <w:szCs w:val="18"/>
                      <w:highlight w:val="none"/>
                    </w:rPr>
                  </w:pPr>
                  <w:r>
                    <w:rPr>
                      <w:color w:val="auto"/>
                      <w:sz w:val="18"/>
                      <w:szCs w:val="18"/>
                      <w:highlight w:val="none"/>
                    </w:rPr>
                    <w:t>空间相对位置/m</w:t>
                  </w:r>
                </w:p>
              </w:tc>
              <w:tc>
                <w:tcPr>
                  <w:tcW w:w="802" w:type="pct"/>
                  <w:vMerge w:val="restart"/>
                  <w:tcBorders>
                    <w:tl2br w:val="nil"/>
                    <w:tr2bl w:val="nil"/>
                  </w:tcBorders>
                  <w:vAlign w:val="center"/>
                </w:tcPr>
                <w:p w14:paraId="5CE015B3">
                  <w:pPr>
                    <w:pStyle w:val="60"/>
                    <w:bidi w:val="0"/>
                    <w:rPr>
                      <w:color w:val="auto"/>
                      <w:sz w:val="18"/>
                      <w:szCs w:val="18"/>
                      <w:highlight w:val="none"/>
                    </w:rPr>
                  </w:pPr>
                  <w:r>
                    <w:rPr>
                      <w:color w:val="auto"/>
                      <w:sz w:val="18"/>
                      <w:szCs w:val="18"/>
                      <w:highlight w:val="none"/>
                    </w:rPr>
                    <w:t>声源源强声功率级/dB（A）</w:t>
                  </w:r>
                </w:p>
              </w:tc>
              <w:tc>
                <w:tcPr>
                  <w:tcW w:w="908" w:type="pct"/>
                  <w:vMerge w:val="restart"/>
                  <w:tcBorders>
                    <w:tl2br w:val="nil"/>
                    <w:tr2bl w:val="nil"/>
                  </w:tcBorders>
                  <w:vAlign w:val="center"/>
                </w:tcPr>
                <w:p w14:paraId="1BAD6A31">
                  <w:pPr>
                    <w:pStyle w:val="60"/>
                    <w:bidi w:val="0"/>
                    <w:rPr>
                      <w:color w:val="auto"/>
                      <w:sz w:val="18"/>
                      <w:szCs w:val="18"/>
                      <w:highlight w:val="none"/>
                    </w:rPr>
                  </w:pPr>
                  <w:r>
                    <w:rPr>
                      <w:color w:val="auto"/>
                      <w:sz w:val="18"/>
                      <w:szCs w:val="18"/>
                      <w:highlight w:val="none"/>
                    </w:rPr>
                    <w:t>声源控制措施</w:t>
                  </w:r>
                </w:p>
              </w:tc>
              <w:tc>
                <w:tcPr>
                  <w:tcW w:w="555" w:type="pct"/>
                  <w:vMerge w:val="restart"/>
                  <w:tcBorders>
                    <w:tl2br w:val="nil"/>
                    <w:tr2bl w:val="nil"/>
                  </w:tcBorders>
                  <w:vAlign w:val="center"/>
                </w:tcPr>
                <w:p w14:paraId="66CF9E6F">
                  <w:pPr>
                    <w:pStyle w:val="60"/>
                    <w:bidi w:val="0"/>
                    <w:rPr>
                      <w:color w:val="auto"/>
                      <w:sz w:val="18"/>
                      <w:szCs w:val="18"/>
                      <w:highlight w:val="none"/>
                    </w:rPr>
                  </w:pPr>
                  <w:r>
                    <w:rPr>
                      <w:color w:val="auto"/>
                      <w:sz w:val="18"/>
                      <w:szCs w:val="18"/>
                      <w:highlight w:val="none"/>
                    </w:rPr>
                    <w:t>运行</w:t>
                  </w:r>
                </w:p>
                <w:p w14:paraId="45FDF0D9">
                  <w:pPr>
                    <w:pStyle w:val="60"/>
                    <w:bidi w:val="0"/>
                    <w:rPr>
                      <w:color w:val="auto"/>
                      <w:sz w:val="18"/>
                      <w:szCs w:val="18"/>
                      <w:highlight w:val="none"/>
                    </w:rPr>
                  </w:pPr>
                  <w:r>
                    <w:rPr>
                      <w:color w:val="auto"/>
                      <w:sz w:val="18"/>
                      <w:szCs w:val="18"/>
                      <w:highlight w:val="none"/>
                    </w:rPr>
                    <w:t>时段</w:t>
                  </w:r>
                </w:p>
              </w:tc>
            </w:tr>
            <w:tr w14:paraId="394D0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vMerge w:val="continue"/>
                  <w:tcBorders>
                    <w:tl2br w:val="nil"/>
                    <w:tr2bl w:val="nil"/>
                  </w:tcBorders>
                  <w:vAlign w:val="center"/>
                </w:tcPr>
                <w:p w14:paraId="3763346C">
                  <w:pPr>
                    <w:pStyle w:val="60"/>
                    <w:bidi w:val="0"/>
                    <w:rPr>
                      <w:color w:val="auto"/>
                      <w:sz w:val="18"/>
                      <w:szCs w:val="18"/>
                      <w:highlight w:val="none"/>
                    </w:rPr>
                  </w:pPr>
                </w:p>
              </w:tc>
              <w:tc>
                <w:tcPr>
                  <w:tcW w:w="665" w:type="pct"/>
                  <w:vMerge w:val="continue"/>
                  <w:tcBorders>
                    <w:tl2br w:val="nil"/>
                    <w:tr2bl w:val="nil"/>
                  </w:tcBorders>
                  <w:vAlign w:val="center"/>
                </w:tcPr>
                <w:p w14:paraId="73DEDE29">
                  <w:pPr>
                    <w:pStyle w:val="60"/>
                    <w:bidi w:val="0"/>
                    <w:rPr>
                      <w:color w:val="auto"/>
                      <w:sz w:val="18"/>
                      <w:szCs w:val="18"/>
                      <w:highlight w:val="none"/>
                    </w:rPr>
                  </w:pPr>
                </w:p>
              </w:tc>
              <w:tc>
                <w:tcPr>
                  <w:tcW w:w="341" w:type="pct"/>
                  <w:vMerge w:val="continue"/>
                  <w:tcBorders>
                    <w:tl2br w:val="nil"/>
                    <w:tr2bl w:val="nil"/>
                  </w:tcBorders>
                  <w:vAlign w:val="center"/>
                </w:tcPr>
                <w:p w14:paraId="47FDBD4F">
                  <w:pPr>
                    <w:pStyle w:val="60"/>
                    <w:bidi w:val="0"/>
                    <w:rPr>
                      <w:color w:val="auto"/>
                      <w:sz w:val="18"/>
                      <w:szCs w:val="18"/>
                      <w:highlight w:val="none"/>
                    </w:rPr>
                  </w:pPr>
                </w:p>
              </w:tc>
              <w:tc>
                <w:tcPr>
                  <w:tcW w:w="461" w:type="pct"/>
                  <w:tcBorders>
                    <w:tl2br w:val="nil"/>
                    <w:tr2bl w:val="nil"/>
                  </w:tcBorders>
                  <w:vAlign w:val="center"/>
                </w:tcPr>
                <w:p w14:paraId="6C54679F">
                  <w:pPr>
                    <w:pStyle w:val="60"/>
                    <w:bidi w:val="0"/>
                    <w:rPr>
                      <w:color w:val="auto"/>
                      <w:sz w:val="18"/>
                      <w:szCs w:val="18"/>
                      <w:highlight w:val="none"/>
                    </w:rPr>
                  </w:pPr>
                  <w:r>
                    <w:rPr>
                      <w:color w:val="auto"/>
                      <w:sz w:val="18"/>
                      <w:szCs w:val="18"/>
                      <w:highlight w:val="none"/>
                    </w:rPr>
                    <w:t>X</w:t>
                  </w:r>
                </w:p>
              </w:tc>
              <w:tc>
                <w:tcPr>
                  <w:tcW w:w="479" w:type="pct"/>
                  <w:tcBorders>
                    <w:tl2br w:val="nil"/>
                    <w:tr2bl w:val="nil"/>
                  </w:tcBorders>
                  <w:vAlign w:val="center"/>
                </w:tcPr>
                <w:p w14:paraId="7D183C7D">
                  <w:pPr>
                    <w:pStyle w:val="60"/>
                    <w:bidi w:val="0"/>
                    <w:rPr>
                      <w:color w:val="auto"/>
                      <w:sz w:val="18"/>
                      <w:szCs w:val="18"/>
                      <w:highlight w:val="none"/>
                    </w:rPr>
                  </w:pPr>
                  <w:r>
                    <w:rPr>
                      <w:color w:val="auto"/>
                      <w:sz w:val="18"/>
                      <w:szCs w:val="18"/>
                      <w:highlight w:val="none"/>
                    </w:rPr>
                    <w:t>Y</w:t>
                  </w:r>
                </w:p>
              </w:tc>
              <w:tc>
                <w:tcPr>
                  <w:tcW w:w="453" w:type="pct"/>
                  <w:tcBorders>
                    <w:tl2br w:val="nil"/>
                    <w:tr2bl w:val="nil"/>
                  </w:tcBorders>
                  <w:vAlign w:val="center"/>
                </w:tcPr>
                <w:p w14:paraId="25D57FD2">
                  <w:pPr>
                    <w:pStyle w:val="60"/>
                    <w:bidi w:val="0"/>
                    <w:rPr>
                      <w:color w:val="auto"/>
                      <w:sz w:val="18"/>
                      <w:szCs w:val="18"/>
                      <w:highlight w:val="none"/>
                    </w:rPr>
                  </w:pPr>
                  <w:r>
                    <w:rPr>
                      <w:color w:val="auto"/>
                      <w:sz w:val="18"/>
                      <w:szCs w:val="18"/>
                      <w:highlight w:val="none"/>
                    </w:rPr>
                    <w:t>Z</w:t>
                  </w:r>
                </w:p>
              </w:tc>
              <w:tc>
                <w:tcPr>
                  <w:tcW w:w="802" w:type="pct"/>
                  <w:vMerge w:val="continue"/>
                  <w:tcBorders>
                    <w:tl2br w:val="nil"/>
                    <w:tr2bl w:val="nil"/>
                  </w:tcBorders>
                  <w:vAlign w:val="center"/>
                </w:tcPr>
                <w:p w14:paraId="0A95713C">
                  <w:pPr>
                    <w:pStyle w:val="60"/>
                    <w:bidi w:val="0"/>
                    <w:rPr>
                      <w:color w:val="auto"/>
                      <w:sz w:val="18"/>
                      <w:szCs w:val="18"/>
                      <w:highlight w:val="none"/>
                    </w:rPr>
                  </w:pPr>
                </w:p>
              </w:tc>
              <w:tc>
                <w:tcPr>
                  <w:tcW w:w="908" w:type="pct"/>
                  <w:vMerge w:val="continue"/>
                  <w:tcBorders>
                    <w:tl2br w:val="nil"/>
                    <w:tr2bl w:val="nil"/>
                  </w:tcBorders>
                  <w:vAlign w:val="center"/>
                </w:tcPr>
                <w:p w14:paraId="2225CB63">
                  <w:pPr>
                    <w:pStyle w:val="60"/>
                    <w:bidi w:val="0"/>
                    <w:rPr>
                      <w:color w:val="auto"/>
                      <w:sz w:val="18"/>
                      <w:szCs w:val="18"/>
                      <w:highlight w:val="none"/>
                    </w:rPr>
                  </w:pPr>
                </w:p>
              </w:tc>
              <w:tc>
                <w:tcPr>
                  <w:tcW w:w="555" w:type="pct"/>
                  <w:vMerge w:val="continue"/>
                  <w:tcBorders>
                    <w:tl2br w:val="nil"/>
                    <w:tr2bl w:val="nil"/>
                  </w:tcBorders>
                  <w:vAlign w:val="center"/>
                </w:tcPr>
                <w:p w14:paraId="1EF85E79">
                  <w:pPr>
                    <w:pStyle w:val="60"/>
                    <w:bidi w:val="0"/>
                    <w:rPr>
                      <w:color w:val="auto"/>
                      <w:sz w:val="18"/>
                      <w:szCs w:val="18"/>
                      <w:highlight w:val="none"/>
                    </w:rPr>
                  </w:pPr>
                </w:p>
              </w:tc>
            </w:tr>
            <w:tr w14:paraId="5AB13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5971B027">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w:t>
                  </w:r>
                </w:p>
              </w:tc>
              <w:tc>
                <w:tcPr>
                  <w:tcW w:w="665" w:type="pct"/>
                  <w:tcBorders>
                    <w:tl2br w:val="nil"/>
                    <w:tr2bl w:val="nil"/>
                  </w:tcBorders>
                  <w:vAlign w:val="center"/>
                </w:tcPr>
                <w:p w14:paraId="63D2A365">
                  <w:pPr>
                    <w:pStyle w:val="60"/>
                    <w:bidi w:val="0"/>
                    <w:rPr>
                      <w:color w:val="auto"/>
                      <w:sz w:val="18"/>
                      <w:szCs w:val="18"/>
                      <w:highlight w:val="none"/>
                    </w:rPr>
                  </w:pPr>
                  <w:r>
                    <w:rPr>
                      <w:rFonts w:hint="eastAsia"/>
                      <w:color w:val="auto"/>
                      <w:sz w:val="18"/>
                      <w:szCs w:val="18"/>
                      <w:highlight w:val="none"/>
                    </w:rPr>
                    <w:t>烘干塔</w:t>
                  </w:r>
                </w:p>
              </w:tc>
              <w:tc>
                <w:tcPr>
                  <w:tcW w:w="341" w:type="pct"/>
                  <w:tcBorders>
                    <w:tl2br w:val="nil"/>
                    <w:tr2bl w:val="nil"/>
                  </w:tcBorders>
                  <w:vAlign w:val="center"/>
                </w:tcPr>
                <w:p w14:paraId="37FD10D0">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703702D4">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-40</w:t>
                  </w:r>
                </w:p>
              </w:tc>
              <w:tc>
                <w:tcPr>
                  <w:tcW w:w="479" w:type="pct"/>
                  <w:tcBorders>
                    <w:tl2br w:val="nil"/>
                    <w:tr2bl w:val="nil"/>
                  </w:tcBorders>
                  <w:vAlign w:val="center"/>
                </w:tcPr>
                <w:p w14:paraId="6594F272">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-102</w:t>
                  </w:r>
                </w:p>
              </w:tc>
              <w:tc>
                <w:tcPr>
                  <w:tcW w:w="453" w:type="pct"/>
                  <w:tcBorders>
                    <w:tl2br w:val="nil"/>
                    <w:tr2bl w:val="nil"/>
                  </w:tcBorders>
                  <w:vAlign w:val="center"/>
                </w:tcPr>
                <w:p w14:paraId="11687100">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18</w:t>
                  </w:r>
                </w:p>
              </w:tc>
              <w:tc>
                <w:tcPr>
                  <w:tcW w:w="802" w:type="pct"/>
                  <w:tcBorders>
                    <w:tl2br w:val="nil"/>
                    <w:tr2bl w:val="nil"/>
                  </w:tcBorders>
                  <w:vAlign w:val="center"/>
                </w:tcPr>
                <w:p w14:paraId="0EBCAB3E">
                  <w:pPr>
                    <w:pStyle w:val="60"/>
                    <w:bidi w:val="0"/>
                    <w:rPr>
                      <w:color w:val="auto"/>
                      <w:sz w:val="18"/>
                      <w:szCs w:val="18"/>
                      <w:highlight w:val="none"/>
                    </w:rPr>
                  </w:pPr>
                  <w:r>
                    <w:rPr>
                      <w:color w:val="auto"/>
                      <w:sz w:val="18"/>
                      <w:szCs w:val="18"/>
                      <w:highlight w:val="none"/>
                    </w:rPr>
                    <w:t>80</w:t>
                  </w:r>
                </w:p>
              </w:tc>
              <w:tc>
                <w:tcPr>
                  <w:tcW w:w="908" w:type="pct"/>
                  <w:vMerge w:val="restart"/>
                  <w:tcBorders>
                    <w:tl2br w:val="nil"/>
                    <w:tr2bl w:val="nil"/>
                  </w:tcBorders>
                  <w:vAlign w:val="center"/>
                </w:tcPr>
                <w:p w14:paraId="620E2854">
                  <w:pPr>
                    <w:pStyle w:val="60"/>
                    <w:bidi w:val="0"/>
                    <w:rPr>
                      <w:color w:val="auto"/>
                      <w:sz w:val="18"/>
                      <w:szCs w:val="18"/>
                      <w:highlight w:val="none"/>
                    </w:rPr>
                  </w:pPr>
                  <w:r>
                    <w:rPr>
                      <w:color w:val="auto"/>
                      <w:sz w:val="18"/>
                      <w:szCs w:val="18"/>
                      <w:highlight w:val="none"/>
                    </w:rPr>
                    <w:t>选用低噪声设备，加装减震、隔声设施</w:t>
                  </w:r>
                </w:p>
              </w:tc>
              <w:tc>
                <w:tcPr>
                  <w:tcW w:w="555" w:type="pct"/>
                  <w:vMerge w:val="restart"/>
                  <w:tcBorders>
                    <w:tl2br w:val="nil"/>
                    <w:tr2bl w:val="nil"/>
                  </w:tcBorders>
                  <w:vAlign w:val="center"/>
                </w:tcPr>
                <w:p w14:paraId="2719FDE8">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1440h</w:t>
                  </w:r>
                </w:p>
              </w:tc>
            </w:tr>
            <w:tr w14:paraId="1C693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3DF7EF5F">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2</w:t>
                  </w:r>
                </w:p>
              </w:tc>
              <w:tc>
                <w:tcPr>
                  <w:tcW w:w="665" w:type="pct"/>
                  <w:tcBorders>
                    <w:tl2br w:val="nil"/>
                    <w:tr2bl w:val="nil"/>
                  </w:tcBorders>
                  <w:vAlign w:val="center"/>
                </w:tcPr>
                <w:p w14:paraId="33CD1586">
                  <w:pPr>
                    <w:pStyle w:val="48"/>
                    <w:bidi w:val="0"/>
                    <w:rPr>
                      <w:sz w:val="18"/>
                      <w:szCs w:val="18"/>
                      <w:highlight w:val="none"/>
                    </w:rPr>
                  </w:pPr>
                  <w:r>
                    <w:rPr>
                      <w:rFonts w:hint="eastAsia"/>
                      <w:sz w:val="18"/>
                      <w:szCs w:val="18"/>
                      <w:highlight w:val="none"/>
                      <w:lang w:val="en-US" w:eastAsia="zh-CN"/>
                    </w:rPr>
                    <w:t>提升机</w:t>
                  </w:r>
                </w:p>
              </w:tc>
              <w:tc>
                <w:tcPr>
                  <w:tcW w:w="341" w:type="pct"/>
                  <w:tcBorders>
                    <w:tl2br w:val="nil"/>
                    <w:tr2bl w:val="nil"/>
                  </w:tcBorders>
                  <w:vAlign w:val="center"/>
                </w:tcPr>
                <w:p w14:paraId="632ED1C3">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2BF9B423">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-48</w:t>
                  </w:r>
                </w:p>
              </w:tc>
              <w:tc>
                <w:tcPr>
                  <w:tcW w:w="479" w:type="pct"/>
                  <w:tcBorders>
                    <w:tl2br w:val="nil"/>
                    <w:tr2bl w:val="nil"/>
                  </w:tcBorders>
                  <w:vAlign w:val="center"/>
                </w:tcPr>
                <w:p w14:paraId="7C8186F3">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-101</w:t>
                  </w:r>
                </w:p>
              </w:tc>
              <w:tc>
                <w:tcPr>
                  <w:tcW w:w="453" w:type="pct"/>
                  <w:tcBorders>
                    <w:tl2br w:val="nil"/>
                    <w:tr2bl w:val="nil"/>
                  </w:tcBorders>
                  <w:vAlign w:val="center"/>
                </w:tcPr>
                <w:p w14:paraId="67B5A6E8">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18</w:t>
                  </w:r>
                </w:p>
              </w:tc>
              <w:tc>
                <w:tcPr>
                  <w:tcW w:w="802" w:type="pct"/>
                  <w:tcBorders>
                    <w:tl2br w:val="nil"/>
                    <w:tr2bl w:val="nil"/>
                  </w:tcBorders>
                  <w:vAlign w:val="center"/>
                </w:tcPr>
                <w:p w14:paraId="6B6441F7">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48A1B5C7">
                  <w:pPr>
                    <w:pStyle w:val="60"/>
                    <w:bidi w:val="0"/>
                    <w:rPr>
                      <w:color w:val="auto"/>
                      <w:sz w:val="18"/>
                      <w:szCs w:val="18"/>
                      <w:highlight w:val="none"/>
                    </w:rPr>
                  </w:pPr>
                </w:p>
              </w:tc>
              <w:tc>
                <w:tcPr>
                  <w:tcW w:w="555" w:type="pct"/>
                  <w:vMerge w:val="continue"/>
                  <w:tcBorders>
                    <w:tl2br w:val="nil"/>
                    <w:tr2bl w:val="nil"/>
                  </w:tcBorders>
                  <w:vAlign w:val="center"/>
                </w:tcPr>
                <w:p w14:paraId="48B2CF1E">
                  <w:pPr>
                    <w:pStyle w:val="60"/>
                    <w:bidi w:val="0"/>
                    <w:rPr>
                      <w:color w:val="auto"/>
                      <w:sz w:val="18"/>
                      <w:szCs w:val="18"/>
                      <w:highlight w:val="none"/>
                    </w:rPr>
                  </w:pPr>
                </w:p>
              </w:tc>
            </w:tr>
            <w:tr w14:paraId="43B694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65558625">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3</w:t>
                  </w:r>
                </w:p>
              </w:tc>
              <w:tc>
                <w:tcPr>
                  <w:tcW w:w="665" w:type="pct"/>
                  <w:tcBorders>
                    <w:tl2br w:val="nil"/>
                    <w:tr2bl w:val="nil"/>
                  </w:tcBorders>
                  <w:vAlign w:val="center"/>
                </w:tcPr>
                <w:p w14:paraId="37FD7C33">
                  <w:pPr>
                    <w:pStyle w:val="48"/>
                    <w:bidi w:val="0"/>
                    <w:rPr>
                      <w:sz w:val="18"/>
                      <w:szCs w:val="18"/>
                      <w:highlight w:val="none"/>
                    </w:rPr>
                  </w:pPr>
                  <w:r>
                    <w:rPr>
                      <w:rFonts w:hint="eastAsia"/>
                      <w:sz w:val="18"/>
                      <w:szCs w:val="18"/>
                      <w:highlight w:val="none"/>
                      <w:lang w:val="en-US" w:eastAsia="zh-CN"/>
                    </w:rPr>
                    <w:t>提升机</w:t>
                  </w:r>
                </w:p>
              </w:tc>
              <w:tc>
                <w:tcPr>
                  <w:tcW w:w="341" w:type="pct"/>
                  <w:tcBorders>
                    <w:tl2br w:val="nil"/>
                    <w:tr2bl w:val="nil"/>
                  </w:tcBorders>
                  <w:vAlign w:val="center"/>
                </w:tcPr>
                <w:p w14:paraId="473D5C0C">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37FA05CB">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-30</w:t>
                  </w:r>
                </w:p>
              </w:tc>
              <w:tc>
                <w:tcPr>
                  <w:tcW w:w="479" w:type="pct"/>
                  <w:tcBorders>
                    <w:tl2br w:val="nil"/>
                    <w:tr2bl w:val="nil"/>
                  </w:tcBorders>
                  <w:vAlign w:val="center"/>
                </w:tcPr>
                <w:p w14:paraId="0FC83668">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-101</w:t>
                  </w:r>
                </w:p>
              </w:tc>
              <w:tc>
                <w:tcPr>
                  <w:tcW w:w="453" w:type="pct"/>
                  <w:tcBorders>
                    <w:tl2br w:val="nil"/>
                    <w:tr2bl w:val="nil"/>
                  </w:tcBorders>
                  <w:vAlign w:val="center"/>
                </w:tcPr>
                <w:p w14:paraId="790BC556">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18</w:t>
                  </w:r>
                </w:p>
              </w:tc>
              <w:tc>
                <w:tcPr>
                  <w:tcW w:w="802" w:type="pct"/>
                  <w:tcBorders>
                    <w:tl2br w:val="nil"/>
                    <w:tr2bl w:val="nil"/>
                  </w:tcBorders>
                  <w:vAlign w:val="center"/>
                </w:tcPr>
                <w:p w14:paraId="21116386">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2A65E398">
                  <w:pPr>
                    <w:pStyle w:val="60"/>
                    <w:bidi w:val="0"/>
                    <w:rPr>
                      <w:color w:val="auto"/>
                      <w:sz w:val="18"/>
                      <w:szCs w:val="18"/>
                      <w:highlight w:val="none"/>
                    </w:rPr>
                  </w:pPr>
                </w:p>
              </w:tc>
              <w:tc>
                <w:tcPr>
                  <w:tcW w:w="555" w:type="pct"/>
                  <w:vMerge w:val="continue"/>
                  <w:tcBorders>
                    <w:tl2br w:val="nil"/>
                    <w:tr2bl w:val="nil"/>
                  </w:tcBorders>
                  <w:vAlign w:val="center"/>
                </w:tcPr>
                <w:p w14:paraId="06C2A743">
                  <w:pPr>
                    <w:pStyle w:val="60"/>
                    <w:bidi w:val="0"/>
                    <w:rPr>
                      <w:color w:val="auto"/>
                      <w:sz w:val="18"/>
                      <w:szCs w:val="18"/>
                      <w:highlight w:val="none"/>
                    </w:rPr>
                  </w:pPr>
                </w:p>
              </w:tc>
            </w:tr>
            <w:tr w14:paraId="75505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1DD5ECF9">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4</w:t>
                  </w:r>
                </w:p>
              </w:tc>
              <w:tc>
                <w:tcPr>
                  <w:tcW w:w="665" w:type="pct"/>
                  <w:tcBorders>
                    <w:tl2br w:val="nil"/>
                    <w:tr2bl w:val="nil"/>
                  </w:tcBorders>
                  <w:shd w:val="clear" w:color="auto" w:fill="auto"/>
                  <w:vAlign w:val="center"/>
                </w:tcPr>
                <w:p w14:paraId="2F905099">
                  <w:pPr>
                    <w:pStyle w:val="48"/>
                    <w:bidi w:val="0"/>
                    <w:rPr>
                      <w:rFonts w:hint="eastAsia"/>
                      <w:sz w:val="18"/>
                      <w:szCs w:val="18"/>
                      <w:highlight w:val="none"/>
                      <w:lang w:val="en-US" w:eastAsia="zh-CN"/>
                    </w:rPr>
                  </w:pPr>
                  <w:r>
                    <w:rPr>
                      <w:rFonts w:hint="eastAsia"/>
                      <w:sz w:val="18"/>
                      <w:szCs w:val="18"/>
                      <w:highlight w:val="none"/>
                      <w:lang w:val="en-US" w:eastAsia="zh-CN"/>
                    </w:rPr>
                    <w:t>提升机</w:t>
                  </w:r>
                </w:p>
              </w:tc>
              <w:tc>
                <w:tcPr>
                  <w:tcW w:w="341" w:type="pct"/>
                  <w:tcBorders>
                    <w:tl2br w:val="nil"/>
                    <w:tr2bl w:val="nil"/>
                  </w:tcBorders>
                  <w:shd w:val="clear" w:color="auto" w:fill="auto"/>
                  <w:vAlign w:val="center"/>
                </w:tcPr>
                <w:p w14:paraId="04912C66">
                  <w:pPr>
                    <w:pStyle w:val="60"/>
                    <w:bidi w:val="0"/>
                    <w:ind w:firstLine="0" w:firstLineChars="0"/>
                    <w:rPr>
                      <w:rFonts w:ascii="Times New Roman" w:hAnsi="Times New Roman" w:eastAsia="宋体" w:cs="宋体"/>
                      <w:color w:val="auto"/>
                      <w:kern w:val="2"/>
                      <w:sz w:val="18"/>
                      <w:szCs w:val="18"/>
                      <w:highlight w:val="none"/>
                      <w:lang w:val="en-US" w:eastAsia="zh-CN" w:bidi="ar-SA"/>
                    </w:rPr>
                  </w:pPr>
                  <w:r>
                    <w:rPr>
                      <w:color w:val="auto"/>
                      <w:sz w:val="18"/>
                      <w:szCs w:val="18"/>
                      <w:highlight w:val="none"/>
                    </w:rPr>
                    <w:t>/</w:t>
                  </w:r>
                </w:p>
              </w:tc>
              <w:tc>
                <w:tcPr>
                  <w:tcW w:w="461" w:type="pct"/>
                  <w:tcBorders>
                    <w:tl2br w:val="nil"/>
                    <w:tr2bl w:val="nil"/>
                  </w:tcBorders>
                  <w:shd w:val="clear" w:color="auto" w:fill="auto"/>
                  <w:vAlign w:val="center"/>
                </w:tcPr>
                <w:p w14:paraId="6D57514C">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96</w:t>
                  </w:r>
                </w:p>
              </w:tc>
              <w:tc>
                <w:tcPr>
                  <w:tcW w:w="479" w:type="pct"/>
                  <w:tcBorders>
                    <w:tl2br w:val="nil"/>
                    <w:tr2bl w:val="nil"/>
                  </w:tcBorders>
                  <w:shd w:val="clear" w:color="auto" w:fill="auto"/>
                  <w:vAlign w:val="center"/>
                </w:tcPr>
                <w:p w14:paraId="18BC86C8">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6</w:t>
                  </w:r>
                </w:p>
              </w:tc>
              <w:tc>
                <w:tcPr>
                  <w:tcW w:w="453" w:type="pct"/>
                  <w:tcBorders>
                    <w:tl2br w:val="nil"/>
                    <w:tr2bl w:val="nil"/>
                  </w:tcBorders>
                  <w:shd w:val="clear" w:color="auto" w:fill="auto"/>
                  <w:vAlign w:val="center"/>
                </w:tcPr>
                <w:p w14:paraId="53365411">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5</w:t>
                  </w:r>
                </w:p>
              </w:tc>
              <w:tc>
                <w:tcPr>
                  <w:tcW w:w="802" w:type="pct"/>
                  <w:tcBorders>
                    <w:tl2br w:val="nil"/>
                    <w:tr2bl w:val="nil"/>
                  </w:tcBorders>
                  <w:shd w:val="clear" w:color="auto" w:fill="auto"/>
                  <w:vAlign w:val="center"/>
                </w:tcPr>
                <w:p w14:paraId="6AE1BF7A">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80</w:t>
                  </w:r>
                </w:p>
              </w:tc>
              <w:tc>
                <w:tcPr>
                  <w:tcW w:w="908" w:type="pct"/>
                  <w:vMerge w:val="continue"/>
                  <w:tcBorders>
                    <w:tl2br w:val="nil"/>
                    <w:tr2bl w:val="nil"/>
                  </w:tcBorders>
                  <w:vAlign w:val="center"/>
                </w:tcPr>
                <w:p w14:paraId="4C369F47">
                  <w:pPr>
                    <w:pStyle w:val="60"/>
                    <w:bidi w:val="0"/>
                    <w:rPr>
                      <w:color w:val="auto"/>
                      <w:sz w:val="18"/>
                      <w:szCs w:val="18"/>
                      <w:highlight w:val="none"/>
                    </w:rPr>
                  </w:pPr>
                </w:p>
              </w:tc>
              <w:tc>
                <w:tcPr>
                  <w:tcW w:w="555" w:type="pct"/>
                  <w:vMerge w:val="continue"/>
                  <w:tcBorders>
                    <w:tl2br w:val="nil"/>
                    <w:tr2bl w:val="nil"/>
                  </w:tcBorders>
                  <w:vAlign w:val="center"/>
                </w:tcPr>
                <w:p w14:paraId="71321DFC">
                  <w:pPr>
                    <w:pStyle w:val="60"/>
                    <w:bidi w:val="0"/>
                    <w:rPr>
                      <w:color w:val="auto"/>
                      <w:sz w:val="18"/>
                      <w:szCs w:val="18"/>
                      <w:highlight w:val="none"/>
                    </w:rPr>
                  </w:pPr>
                </w:p>
              </w:tc>
            </w:tr>
            <w:tr w14:paraId="5D01F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766784E0">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5</w:t>
                  </w:r>
                </w:p>
              </w:tc>
              <w:tc>
                <w:tcPr>
                  <w:tcW w:w="665" w:type="pct"/>
                  <w:tcBorders>
                    <w:tl2br w:val="nil"/>
                    <w:tr2bl w:val="nil"/>
                  </w:tcBorders>
                  <w:shd w:val="clear" w:color="auto" w:fill="auto"/>
                  <w:vAlign w:val="center"/>
                </w:tcPr>
                <w:p w14:paraId="2CBC53D0">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color w:val="auto"/>
                      <w:sz w:val="18"/>
                      <w:szCs w:val="18"/>
                      <w:highlight w:val="none"/>
                      <w:lang w:val="en-US" w:eastAsia="zh-CN"/>
                    </w:rPr>
                    <w:t>输送机</w:t>
                  </w:r>
                </w:p>
              </w:tc>
              <w:tc>
                <w:tcPr>
                  <w:tcW w:w="341" w:type="pct"/>
                  <w:tcBorders>
                    <w:tl2br w:val="nil"/>
                    <w:tr2bl w:val="nil"/>
                  </w:tcBorders>
                  <w:shd w:val="clear" w:color="auto" w:fill="auto"/>
                  <w:vAlign w:val="center"/>
                </w:tcPr>
                <w:p w14:paraId="305CC2C6">
                  <w:pPr>
                    <w:pStyle w:val="60"/>
                    <w:bidi w:val="0"/>
                    <w:ind w:firstLine="0" w:firstLineChars="0"/>
                    <w:rPr>
                      <w:rFonts w:ascii="Times New Roman" w:hAnsi="Times New Roman" w:eastAsia="宋体" w:cs="宋体"/>
                      <w:color w:val="auto"/>
                      <w:kern w:val="2"/>
                      <w:sz w:val="18"/>
                      <w:szCs w:val="18"/>
                      <w:highlight w:val="none"/>
                      <w:lang w:val="en-US" w:eastAsia="zh-CN" w:bidi="ar-SA"/>
                    </w:rPr>
                  </w:pPr>
                  <w:r>
                    <w:rPr>
                      <w:color w:val="auto"/>
                      <w:sz w:val="18"/>
                      <w:szCs w:val="18"/>
                      <w:highlight w:val="none"/>
                    </w:rPr>
                    <w:t>/</w:t>
                  </w:r>
                </w:p>
              </w:tc>
              <w:tc>
                <w:tcPr>
                  <w:tcW w:w="461" w:type="pct"/>
                  <w:tcBorders>
                    <w:tl2br w:val="nil"/>
                    <w:tr2bl w:val="nil"/>
                  </w:tcBorders>
                  <w:shd w:val="clear" w:color="auto" w:fill="auto"/>
                  <w:vAlign w:val="center"/>
                </w:tcPr>
                <w:p w14:paraId="34AA42A3">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53</w:t>
                  </w:r>
                </w:p>
              </w:tc>
              <w:tc>
                <w:tcPr>
                  <w:tcW w:w="479" w:type="pct"/>
                  <w:tcBorders>
                    <w:tl2br w:val="nil"/>
                    <w:tr2bl w:val="nil"/>
                  </w:tcBorders>
                  <w:shd w:val="clear" w:color="auto" w:fill="auto"/>
                  <w:vAlign w:val="center"/>
                </w:tcPr>
                <w:p w14:paraId="2F8D0C08">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4</w:t>
                  </w:r>
                </w:p>
              </w:tc>
              <w:tc>
                <w:tcPr>
                  <w:tcW w:w="453" w:type="pct"/>
                  <w:tcBorders>
                    <w:tl2br w:val="nil"/>
                    <w:tr2bl w:val="nil"/>
                  </w:tcBorders>
                  <w:shd w:val="clear" w:color="auto" w:fill="auto"/>
                  <w:vAlign w:val="center"/>
                </w:tcPr>
                <w:p w14:paraId="54130829">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3</w:t>
                  </w:r>
                </w:p>
              </w:tc>
              <w:tc>
                <w:tcPr>
                  <w:tcW w:w="802" w:type="pct"/>
                  <w:tcBorders>
                    <w:tl2br w:val="nil"/>
                    <w:tr2bl w:val="nil"/>
                  </w:tcBorders>
                  <w:shd w:val="clear" w:color="auto" w:fill="auto"/>
                  <w:vAlign w:val="center"/>
                </w:tcPr>
                <w:p w14:paraId="662B71B5">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color w:val="auto"/>
                      <w:sz w:val="18"/>
                      <w:szCs w:val="18"/>
                      <w:highlight w:val="none"/>
                    </w:rPr>
                    <w:t>80</w:t>
                  </w:r>
                </w:p>
              </w:tc>
              <w:tc>
                <w:tcPr>
                  <w:tcW w:w="908" w:type="pct"/>
                  <w:vMerge w:val="continue"/>
                  <w:tcBorders>
                    <w:tl2br w:val="nil"/>
                    <w:tr2bl w:val="nil"/>
                  </w:tcBorders>
                  <w:vAlign w:val="center"/>
                </w:tcPr>
                <w:p w14:paraId="1EA717D8">
                  <w:pPr>
                    <w:pStyle w:val="60"/>
                    <w:bidi w:val="0"/>
                    <w:rPr>
                      <w:color w:val="auto"/>
                      <w:sz w:val="18"/>
                      <w:szCs w:val="18"/>
                      <w:highlight w:val="none"/>
                    </w:rPr>
                  </w:pPr>
                </w:p>
              </w:tc>
              <w:tc>
                <w:tcPr>
                  <w:tcW w:w="555" w:type="pct"/>
                  <w:vMerge w:val="continue"/>
                  <w:tcBorders>
                    <w:tl2br w:val="nil"/>
                    <w:tr2bl w:val="nil"/>
                  </w:tcBorders>
                  <w:vAlign w:val="center"/>
                </w:tcPr>
                <w:p w14:paraId="5C768AFE">
                  <w:pPr>
                    <w:pStyle w:val="60"/>
                    <w:bidi w:val="0"/>
                    <w:rPr>
                      <w:color w:val="auto"/>
                      <w:sz w:val="18"/>
                      <w:szCs w:val="18"/>
                      <w:highlight w:val="none"/>
                    </w:rPr>
                  </w:pPr>
                </w:p>
              </w:tc>
            </w:tr>
            <w:tr w14:paraId="772AA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5A6D7673">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6</w:t>
                  </w:r>
                </w:p>
              </w:tc>
              <w:tc>
                <w:tcPr>
                  <w:tcW w:w="665" w:type="pct"/>
                  <w:tcBorders>
                    <w:tl2br w:val="nil"/>
                    <w:tr2bl w:val="nil"/>
                  </w:tcBorders>
                  <w:vAlign w:val="center"/>
                </w:tcPr>
                <w:p w14:paraId="3466096C">
                  <w:pPr>
                    <w:pStyle w:val="60"/>
                    <w:bidi w:val="0"/>
                    <w:rPr>
                      <w:color w:val="auto"/>
                      <w:sz w:val="18"/>
                      <w:szCs w:val="18"/>
                      <w:highlight w:val="none"/>
                    </w:rPr>
                  </w:pPr>
                  <w:r>
                    <w:rPr>
                      <w:color w:val="auto"/>
                      <w:sz w:val="18"/>
                      <w:szCs w:val="18"/>
                      <w:highlight w:val="none"/>
                      <w:lang w:val="en-US" w:eastAsia="zh-CN"/>
                    </w:rPr>
                    <w:t>输送机</w:t>
                  </w:r>
                </w:p>
              </w:tc>
              <w:tc>
                <w:tcPr>
                  <w:tcW w:w="341" w:type="pct"/>
                  <w:tcBorders>
                    <w:tl2br w:val="nil"/>
                    <w:tr2bl w:val="nil"/>
                  </w:tcBorders>
                  <w:vAlign w:val="center"/>
                </w:tcPr>
                <w:p w14:paraId="49844070">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71A8D81C">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77</w:t>
                  </w:r>
                </w:p>
              </w:tc>
              <w:tc>
                <w:tcPr>
                  <w:tcW w:w="479" w:type="pct"/>
                  <w:tcBorders>
                    <w:tl2br w:val="nil"/>
                    <w:tr2bl w:val="nil"/>
                  </w:tcBorders>
                  <w:vAlign w:val="center"/>
                </w:tcPr>
                <w:p w14:paraId="757798B0">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-22</w:t>
                  </w:r>
                </w:p>
              </w:tc>
              <w:tc>
                <w:tcPr>
                  <w:tcW w:w="453" w:type="pct"/>
                  <w:tcBorders>
                    <w:tl2br w:val="nil"/>
                    <w:tr2bl w:val="nil"/>
                  </w:tcBorders>
                  <w:vAlign w:val="center"/>
                </w:tcPr>
                <w:p w14:paraId="08299525">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3</w:t>
                  </w:r>
                </w:p>
              </w:tc>
              <w:tc>
                <w:tcPr>
                  <w:tcW w:w="802" w:type="pct"/>
                  <w:tcBorders>
                    <w:tl2br w:val="nil"/>
                    <w:tr2bl w:val="nil"/>
                  </w:tcBorders>
                  <w:vAlign w:val="center"/>
                </w:tcPr>
                <w:p w14:paraId="3E4B7400">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6FADE962">
                  <w:pPr>
                    <w:pStyle w:val="60"/>
                    <w:bidi w:val="0"/>
                    <w:rPr>
                      <w:color w:val="auto"/>
                      <w:sz w:val="18"/>
                      <w:szCs w:val="18"/>
                      <w:highlight w:val="none"/>
                    </w:rPr>
                  </w:pPr>
                </w:p>
              </w:tc>
              <w:tc>
                <w:tcPr>
                  <w:tcW w:w="555" w:type="pct"/>
                  <w:vMerge w:val="continue"/>
                  <w:tcBorders>
                    <w:tl2br w:val="nil"/>
                    <w:tr2bl w:val="nil"/>
                  </w:tcBorders>
                  <w:vAlign w:val="center"/>
                </w:tcPr>
                <w:p w14:paraId="7DDF3614">
                  <w:pPr>
                    <w:pStyle w:val="60"/>
                    <w:bidi w:val="0"/>
                    <w:rPr>
                      <w:rFonts w:hint="default"/>
                      <w:color w:val="auto"/>
                      <w:sz w:val="18"/>
                      <w:szCs w:val="18"/>
                      <w:highlight w:val="none"/>
                      <w:lang w:val="en-US" w:eastAsia="zh-CN"/>
                    </w:rPr>
                  </w:pPr>
                </w:p>
              </w:tc>
            </w:tr>
            <w:tr w14:paraId="304D2D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1924783C">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7</w:t>
                  </w:r>
                </w:p>
              </w:tc>
              <w:tc>
                <w:tcPr>
                  <w:tcW w:w="665" w:type="pct"/>
                  <w:tcBorders>
                    <w:tl2br w:val="nil"/>
                    <w:tr2bl w:val="nil"/>
                  </w:tcBorders>
                  <w:vAlign w:val="center"/>
                </w:tcPr>
                <w:p w14:paraId="74A43403">
                  <w:pPr>
                    <w:pStyle w:val="60"/>
                    <w:bidi w:val="0"/>
                    <w:rPr>
                      <w:color w:val="auto"/>
                      <w:sz w:val="18"/>
                      <w:szCs w:val="18"/>
                      <w:highlight w:val="none"/>
                    </w:rPr>
                  </w:pPr>
                  <w:r>
                    <w:rPr>
                      <w:color w:val="auto"/>
                      <w:sz w:val="18"/>
                      <w:szCs w:val="18"/>
                      <w:highlight w:val="none"/>
                      <w:lang w:val="en-US" w:eastAsia="zh-CN"/>
                    </w:rPr>
                    <w:t>输送机</w:t>
                  </w:r>
                </w:p>
              </w:tc>
              <w:tc>
                <w:tcPr>
                  <w:tcW w:w="341" w:type="pct"/>
                  <w:tcBorders>
                    <w:tl2br w:val="nil"/>
                    <w:tr2bl w:val="nil"/>
                  </w:tcBorders>
                  <w:vAlign w:val="center"/>
                </w:tcPr>
                <w:p w14:paraId="7C7AABAC">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1BA3C50E">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40</w:t>
                  </w:r>
                </w:p>
              </w:tc>
              <w:tc>
                <w:tcPr>
                  <w:tcW w:w="479" w:type="pct"/>
                  <w:tcBorders>
                    <w:tl2br w:val="nil"/>
                    <w:tr2bl w:val="nil"/>
                  </w:tcBorders>
                  <w:vAlign w:val="center"/>
                </w:tcPr>
                <w:p w14:paraId="485F0C01">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-26</w:t>
                  </w:r>
                </w:p>
              </w:tc>
              <w:tc>
                <w:tcPr>
                  <w:tcW w:w="453" w:type="pct"/>
                  <w:tcBorders>
                    <w:tl2br w:val="nil"/>
                    <w:tr2bl w:val="nil"/>
                  </w:tcBorders>
                  <w:vAlign w:val="center"/>
                </w:tcPr>
                <w:p w14:paraId="351AA4CD">
                  <w:pPr>
                    <w:pStyle w:val="60"/>
                    <w:bidi w:val="0"/>
                    <w:rPr>
                      <w:color w:val="auto"/>
                      <w:sz w:val="18"/>
                      <w:szCs w:val="18"/>
                      <w:highlight w:val="none"/>
                    </w:rPr>
                  </w:pPr>
                  <w:r>
                    <w:rPr>
                      <w:rFonts w:hint="eastAsia"/>
                      <w:color w:val="auto"/>
                      <w:sz w:val="18"/>
                      <w:szCs w:val="18"/>
                      <w:highlight w:val="none"/>
                      <w:lang w:val="en-US" w:eastAsia="zh-CN"/>
                    </w:rPr>
                    <w:t>3</w:t>
                  </w:r>
                </w:p>
              </w:tc>
              <w:tc>
                <w:tcPr>
                  <w:tcW w:w="802" w:type="pct"/>
                  <w:tcBorders>
                    <w:tl2br w:val="nil"/>
                    <w:tr2bl w:val="nil"/>
                  </w:tcBorders>
                  <w:vAlign w:val="center"/>
                </w:tcPr>
                <w:p w14:paraId="06920FB6">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50758FC1">
                  <w:pPr>
                    <w:pStyle w:val="60"/>
                    <w:bidi w:val="0"/>
                    <w:rPr>
                      <w:color w:val="auto"/>
                      <w:sz w:val="18"/>
                      <w:szCs w:val="18"/>
                      <w:highlight w:val="none"/>
                    </w:rPr>
                  </w:pPr>
                </w:p>
              </w:tc>
              <w:tc>
                <w:tcPr>
                  <w:tcW w:w="555" w:type="pct"/>
                  <w:vMerge w:val="continue"/>
                  <w:tcBorders>
                    <w:tl2br w:val="nil"/>
                    <w:tr2bl w:val="nil"/>
                  </w:tcBorders>
                  <w:vAlign w:val="center"/>
                </w:tcPr>
                <w:p w14:paraId="74B01E23">
                  <w:pPr>
                    <w:pStyle w:val="60"/>
                    <w:bidi w:val="0"/>
                    <w:rPr>
                      <w:rFonts w:hint="eastAsia"/>
                      <w:color w:val="auto"/>
                      <w:sz w:val="18"/>
                      <w:szCs w:val="18"/>
                      <w:highlight w:val="none"/>
                      <w:lang w:val="en-US" w:eastAsia="zh-CN"/>
                    </w:rPr>
                  </w:pPr>
                </w:p>
              </w:tc>
            </w:tr>
            <w:tr w14:paraId="43F82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6BBF050A">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8</w:t>
                  </w:r>
                </w:p>
              </w:tc>
              <w:tc>
                <w:tcPr>
                  <w:tcW w:w="665" w:type="pct"/>
                  <w:tcBorders>
                    <w:tl2br w:val="nil"/>
                    <w:tr2bl w:val="nil"/>
                  </w:tcBorders>
                  <w:vAlign w:val="center"/>
                </w:tcPr>
                <w:p w14:paraId="56FE7A7D">
                  <w:pPr>
                    <w:pStyle w:val="60"/>
                    <w:bidi w:val="0"/>
                    <w:rPr>
                      <w:color w:val="auto"/>
                      <w:sz w:val="18"/>
                      <w:szCs w:val="18"/>
                      <w:highlight w:val="none"/>
                    </w:rPr>
                  </w:pPr>
                  <w:r>
                    <w:rPr>
                      <w:color w:val="auto"/>
                      <w:sz w:val="18"/>
                      <w:szCs w:val="18"/>
                      <w:highlight w:val="none"/>
                      <w:lang w:val="en-US" w:eastAsia="zh-CN"/>
                    </w:rPr>
                    <w:t>输送机</w:t>
                  </w:r>
                </w:p>
              </w:tc>
              <w:tc>
                <w:tcPr>
                  <w:tcW w:w="341" w:type="pct"/>
                  <w:tcBorders>
                    <w:tl2br w:val="nil"/>
                    <w:tr2bl w:val="nil"/>
                  </w:tcBorders>
                  <w:vAlign w:val="center"/>
                </w:tcPr>
                <w:p w14:paraId="1ADA5B4B">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28B23E1F">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30</w:t>
                  </w:r>
                </w:p>
              </w:tc>
              <w:tc>
                <w:tcPr>
                  <w:tcW w:w="479" w:type="pct"/>
                  <w:tcBorders>
                    <w:tl2br w:val="nil"/>
                    <w:tr2bl w:val="nil"/>
                  </w:tcBorders>
                  <w:vAlign w:val="center"/>
                </w:tcPr>
                <w:p w14:paraId="514B43E0">
                  <w:pPr>
                    <w:pStyle w:val="60"/>
                    <w:bidi w:val="0"/>
                    <w:rPr>
                      <w:rFonts w:hint="default" w:eastAsia="宋体"/>
                      <w:color w:val="auto"/>
                      <w:sz w:val="18"/>
                      <w:szCs w:val="18"/>
                      <w:highlight w:val="none"/>
                      <w:lang w:val="en-US" w:eastAsia="zh-CN"/>
                    </w:rPr>
                  </w:pPr>
                  <w:r>
                    <w:rPr>
                      <w:rFonts w:hint="eastAsia"/>
                      <w:color w:val="auto"/>
                      <w:sz w:val="18"/>
                      <w:szCs w:val="18"/>
                      <w:highlight w:val="none"/>
                      <w:lang w:val="en-US" w:eastAsia="zh-CN"/>
                    </w:rPr>
                    <w:t>10</w:t>
                  </w:r>
                </w:p>
              </w:tc>
              <w:tc>
                <w:tcPr>
                  <w:tcW w:w="453" w:type="pct"/>
                  <w:tcBorders>
                    <w:tl2br w:val="nil"/>
                    <w:tr2bl w:val="nil"/>
                  </w:tcBorders>
                  <w:vAlign w:val="center"/>
                </w:tcPr>
                <w:p w14:paraId="5B851929">
                  <w:pPr>
                    <w:pStyle w:val="60"/>
                    <w:bidi w:val="0"/>
                    <w:rPr>
                      <w:color w:val="auto"/>
                      <w:sz w:val="18"/>
                      <w:szCs w:val="18"/>
                      <w:highlight w:val="none"/>
                    </w:rPr>
                  </w:pPr>
                  <w:r>
                    <w:rPr>
                      <w:rFonts w:hint="eastAsia"/>
                      <w:color w:val="auto"/>
                      <w:sz w:val="18"/>
                      <w:szCs w:val="18"/>
                      <w:highlight w:val="none"/>
                      <w:lang w:val="en-US" w:eastAsia="zh-CN"/>
                    </w:rPr>
                    <w:t>3</w:t>
                  </w:r>
                </w:p>
              </w:tc>
              <w:tc>
                <w:tcPr>
                  <w:tcW w:w="802" w:type="pct"/>
                  <w:tcBorders>
                    <w:tl2br w:val="nil"/>
                    <w:tr2bl w:val="nil"/>
                  </w:tcBorders>
                  <w:vAlign w:val="center"/>
                </w:tcPr>
                <w:p w14:paraId="0C9CBF39">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1569315C">
                  <w:pPr>
                    <w:pStyle w:val="60"/>
                    <w:bidi w:val="0"/>
                    <w:rPr>
                      <w:color w:val="auto"/>
                      <w:sz w:val="18"/>
                      <w:szCs w:val="18"/>
                      <w:highlight w:val="none"/>
                    </w:rPr>
                  </w:pPr>
                </w:p>
              </w:tc>
              <w:tc>
                <w:tcPr>
                  <w:tcW w:w="555" w:type="pct"/>
                  <w:vMerge w:val="continue"/>
                  <w:tcBorders>
                    <w:tl2br w:val="nil"/>
                    <w:tr2bl w:val="nil"/>
                  </w:tcBorders>
                  <w:vAlign w:val="center"/>
                </w:tcPr>
                <w:p w14:paraId="2A20A50E">
                  <w:pPr>
                    <w:pStyle w:val="60"/>
                    <w:bidi w:val="0"/>
                    <w:rPr>
                      <w:rFonts w:hint="eastAsia"/>
                      <w:color w:val="auto"/>
                      <w:sz w:val="18"/>
                      <w:szCs w:val="18"/>
                      <w:highlight w:val="none"/>
                      <w:lang w:val="en-US" w:eastAsia="zh-CN"/>
                    </w:rPr>
                  </w:pPr>
                </w:p>
              </w:tc>
            </w:tr>
            <w:tr w14:paraId="2C7FBB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160AC7F8">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9</w:t>
                  </w:r>
                </w:p>
              </w:tc>
              <w:tc>
                <w:tcPr>
                  <w:tcW w:w="665" w:type="pct"/>
                  <w:tcBorders>
                    <w:tl2br w:val="nil"/>
                    <w:tr2bl w:val="nil"/>
                  </w:tcBorders>
                  <w:vAlign w:val="center"/>
                </w:tcPr>
                <w:p w14:paraId="35A9E3A0">
                  <w:pPr>
                    <w:pStyle w:val="60"/>
                    <w:bidi w:val="0"/>
                    <w:rPr>
                      <w:color w:val="auto"/>
                      <w:sz w:val="18"/>
                      <w:szCs w:val="18"/>
                      <w:highlight w:val="none"/>
                    </w:rPr>
                  </w:pPr>
                  <w:r>
                    <w:rPr>
                      <w:color w:val="auto"/>
                      <w:sz w:val="18"/>
                      <w:szCs w:val="18"/>
                      <w:highlight w:val="none"/>
                      <w:lang w:val="en-US" w:eastAsia="zh-CN"/>
                    </w:rPr>
                    <w:t>输送机</w:t>
                  </w:r>
                </w:p>
              </w:tc>
              <w:tc>
                <w:tcPr>
                  <w:tcW w:w="341" w:type="pct"/>
                  <w:tcBorders>
                    <w:tl2br w:val="nil"/>
                    <w:tr2bl w:val="nil"/>
                  </w:tcBorders>
                  <w:vAlign w:val="center"/>
                </w:tcPr>
                <w:p w14:paraId="1663AEC3">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4C71EE2E">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20</w:t>
                  </w:r>
                </w:p>
              </w:tc>
              <w:tc>
                <w:tcPr>
                  <w:tcW w:w="479" w:type="pct"/>
                  <w:tcBorders>
                    <w:tl2br w:val="nil"/>
                    <w:tr2bl w:val="nil"/>
                  </w:tcBorders>
                  <w:vAlign w:val="center"/>
                </w:tcPr>
                <w:p w14:paraId="7B4E770A">
                  <w:pPr>
                    <w:pStyle w:val="60"/>
                    <w:bidi w:val="0"/>
                    <w:ind w:firstLine="0" w:firstLineChars="0"/>
                    <w:rPr>
                      <w:rFonts w:hint="default" w:eastAsia="宋体"/>
                      <w:color w:val="auto"/>
                      <w:sz w:val="18"/>
                      <w:szCs w:val="18"/>
                      <w:highlight w:val="none"/>
                      <w:lang w:val="en-US" w:eastAsia="zh-CN"/>
                    </w:rPr>
                  </w:pPr>
                  <w:r>
                    <w:rPr>
                      <w:rFonts w:hint="eastAsia"/>
                      <w:color w:val="auto"/>
                      <w:sz w:val="18"/>
                      <w:szCs w:val="18"/>
                      <w:highlight w:val="none"/>
                      <w:lang w:val="en-US" w:eastAsia="zh-CN"/>
                    </w:rPr>
                    <w:t>-30</w:t>
                  </w:r>
                </w:p>
              </w:tc>
              <w:tc>
                <w:tcPr>
                  <w:tcW w:w="453" w:type="pct"/>
                  <w:tcBorders>
                    <w:tl2br w:val="nil"/>
                    <w:tr2bl w:val="nil"/>
                  </w:tcBorders>
                  <w:vAlign w:val="center"/>
                </w:tcPr>
                <w:p w14:paraId="16F391BA">
                  <w:pPr>
                    <w:pStyle w:val="60"/>
                    <w:bidi w:val="0"/>
                    <w:rPr>
                      <w:color w:val="auto"/>
                      <w:sz w:val="18"/>
                      <w:szCs w:val="18"/>
                      <w:highlight w:val="none"/>
                    </w:rPr>
                  </w:pPr>
                  <w:r>
                    <w:rPr>
                      <w:rFonts w:hint="eastAsia"/>
                      <w:color w:val="auto"/>
                      <w:sz w:val="18"/>
                      <w:szCs w:val="18"/>
                      <w:highlight w:val="none"/>
                      <w:lang w:val="en-US" w:eastAsia="zh-CN"/>
                    </w:rPr>
                    <w:t>3</w:t>
                  </w:r>
                </w:p>
              </w:tc>
              <w:tc>
                <w:tcPr>
                  <w:tcW w:w="802" w:type="pct"/>
                  <w:tcBorders>
                    <w:tl2br w:val="nil"/>
                    <w:tr2bl w:val="nil"/>
                  </w:tcBorders>
                  <w:vAlign w:val="center"/>
                </w:tcPr>
                <w:p w14:paraId="4AD2EE5A">
                  <w:pPr>
                    <w:pStyle w:val="60"/>
                    <w:bidi w:val="0"/>
                    <w:rPr>
                      <w:color w:val="auto"/>
                      <w:sz w:val="18"/>
                      <w:szCs w:val="18"/>
                      <w:highlight w:val="none"/>
                    </w:rPr>
                  </w:pPr>
                  <w:r>
                    <w:rPr>
                      <w:color w:val="auto"/>
                      <w:sz w:val="18"/>
                      <w:szCs w:val="18"/>
                      <w:highlight w:val="none"/>
                    </w:rPr>
                    <w:t>80</w:t>
                  </w:r>
                </w:p>
              </w:tc>
              <w:tc>
                <w:tcPr>
                  <w:tcW w:w="908" w:type="pct"/>
                  <w:vMerge w:val="continue"/>
                  <w:tcBorders>
                    <w:tl2br w:val="nil"/>
                    <w:tr2bl w:val="nil"/>
                  </w:tcBorders>
                  <w:vAlign w:val="center"/>
                </w:tcPr>
                <w:p w14:paraId="5496611A">
                  <w:pPr>
                    <w:pStyle w:val="60"/>
                    <w:bidi w:val="0"/>
                    <w:rPr>
                      <w:color w:val="auto"/>
                      <w:sz w:val="18"/>
                      <w:szCs w:val="18"/>
                      <w:highlight w:val="none"/>
                    </w:rPr>
                  </w:pPr>
                </w:p>
              </w:tc>
              <w:tc>
                <w:tcPr>
                  <w:tcW w:w="555" w:type="pct"/>
                  <w:vMerge w:val="continue"/>
                  <w:tcBorders>
                    <w:tl2br w:val="nil"/>
                    <w:tr2bl w:val="nil"/>
                  </w:tcBorders>
                  <w:vAlign w:val="center"/>
                </w:tcPr>
                <w:p w14:paraId="4D8C0E55">
                  <w:pPr>
                    <w:pStyle w:val="60"/>
                    <w:bidi w:val="0"/>
                    <w:rPr>
                      <w:rFonts w:hint="eastAsia"/>
                      <w:color w:val="auto"/>
                      <w:sz w:val="18"/>
                      <w:szCs w:val="18"/>
                      <w:highlight w:val="none"/>
                      <w:lang w:val="en-US" w:eastAsia="zh-CN"/>
                    </w:rPr>
                  </w:pPr>
                </w:p>
              </w:tc>
            </w:tr>
            <w:tr w14:paraId="67C83F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615623C9">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10</w:t>
                  </w:r>
                </w:p>
              </w:tc>
              <w:tc>
                <w:tcPr>
                  <w:tcW w:w="665" w:type="pct"/>
                  <w:tcBorders>
                    <w:tl2br w:val="nil"/>
                    <w:tr2bl w:val="nil"/>
                  </w:tcBorders>
                  <w:vAlign w:val="center"/>
                </w:tcPr>
                <w:p w14:paraId="6F1AE348">
                  <w:pPr>
                    <w:pStyle w:val="60"/>
                    <w:bidi w:val="0"/>
                    <w:ind w:firstLine="0" w:firstLineChars="0"/>
                    <w:rPr>
                      <w:color w:val="auto"/>
                      <w:sz w:val="18"/>
                      <w:szCs w:val="18"/>
                      <w:highlight w:val="none"/>
                      <w:lang w:val="en-US" w:eastAsia="zh-CN"/>
                    </w:rPr>
                  </w:pPr>
                  <w:r>
                    <w:rPr>
                      <w:color w:val="auto"/>
                      <w:sz w:val="18"/>
                      <w:szCs w:val="18"/>
                      <w:highlight w:val="none"/>
                      <w:lang w:val="en-US" w:eastAsia="zh-CN"/>
                    </w:rPr>
                    <w:t>输送机</w:t>
                  </w:r>
                </w:p>
              </w:tc>
              <w:tc>
                <w:tcPr>
                  <w:tcW w:w="341" w:type="pct"/>
                  <w:tcBorders>
                    <w:tl2br w:val="nil"/>
                    <w:tr2bl w:val="nil"/>
                  </w:tcBorders>
                  <w:vAlign w:val="center"/>
                </w:tcPr>
                <w:p w14:paraId="728B8323">
                  <w:pPr>
                    <w:pStyle w:val="60"/>
                    <w:bidi w:val="0"/>
                    <w:rPr>
                      <w:color w:val="auto"/>
                      <w:sz w:val="18"/>
                      <w:szCs w:val="18"/>
                      <w:highlight w:val="none"/>
                    </w:rPr>
                  </w:pPr>
                </w:p>
              </w:tc>
              <w:tc>
                <w:tcPr>
                  <w:tcW w:w="461" w:type="pct"/>
                  <w:tcBorders>
                    <w:tl2br w:val="nil"/>
                    <w:tr2bl w:val="nil"/>
                  </w:tcBorders>
                  <w:vAlign w:val="center"/>
                </w:tcPr>
                <w:p w14:paraId="250A994B">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0</w:t>
                  </w:r>
                </w:p>
              </w:tc>
              <w:tc>
                <w:tcPr>
                  <w:tcW w:w="479" w:type="pct"/>
                  <w:tcBorders>
                    <w:tl2br w:val="nil"/>
                    <w:tr2bl w:val="nil"/>
                  </w:tcBorders>
                  <w:vAlign w:val="center"/>
                </w:tcPr>
                <w:p w14:paraId="10B642EC">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5</w:t>
                  </w:r>
                </w:p>
              </w:tc>
              <w:tc>
                <w:tcPr>
                  <w:tcW w:w="453" w:type="pct"/>
                  <w:tcBorders>
                    <w:tl2br w:val="nil"/>
                    <w:tr2bl w:val="nil"/>
                  </w:tcBorders>
                  <w:vAlign w:val="center"/>
                </w:tcPr>
                <w:p w14:paraId="08907FA2">
                  <w:pPr>
                    <w:pStyle w:val="48"/>
                    <w:bidi w:val="0"/>
                    <w:rPr>
                      <w:rFonts w:hint="eastAsia"/>
                      <w:sz w:val="18"/>
                      <w:szCs w:val="18"/>
                      <w:highlight w:val="none"/>
                      <w:lang w:val="en-US" w:eastAsia="zh-CN"/>
                    </w:rPr>
                  </w:pPr>
                  <w:r>
                    <w:rPr>
                      <w:rFonts w:hint="eastAsia"/>
                      <w:sz w:val="18"/>
                      <w:szCs w:val="18"/>
                      <w:highlight w:val="none"/>
                      <w:lang w:val="en-US" w:eastAsia="zh-CN"/>
                    </w:rPr>
                    <w:t>3</w:t>
                  </w:r>
                </w:p>
              </w:tc>
              <w:tc>
                <w:tcPr>
                  <w:tcW w:w="802" w:type="pct"/>
                  <w:tcBorders>
                    <w:tl2br w:val="nil"/>
                    <w:tr2bl w:val="nil"/>
                  </w:tcBorders>
                  <w:vAlign w:val="center"/>
                </w:tcPr>
                <w:p w14:paraId="14B31DDC">
                  <w:pPr>
                    <w:pStyle w:val="48"/>
                    <w:bidi w:val="0"/>
                    <w:rPr>
                      <w:sz w:val="18"/>
                      <w:szCs w:val="18"/>
                      <w:highlight w:val="none"/>
                    </w:rPr>
                  </w:pPr>
                  <w:r>
                    <w:rPr>
                      <w:sz w:val="18"/>
                      <w:szCs w:val="18"/>
                      <w:highlight w:val="none"/>
                    </w:rPr>
                    <w:t>80</w:t>
                  </w:r>
                </w:p>
              </w:tc>
              <w:tc>
                <w:tcPr>
                  <w:tcW w:w="908" w:type="pct"/>
                  <w:vMerge w:val="continue"/>
                  <w:tcBorders>
                    <w:tl2br w:val="nil"/>
                    <w:tr2bl w:val="nil"/>
                  </w:tcBorders>
                  <w:vAlign w:val="center"/>
                </w:tcPr>
                <w:p w14:paraId="5B40B904">
                  <w:pPr>
                    <w:pStyle w:val="60"/>
                    <w:bidi w:val="0"/>
                    <w:rPr>
                      <w:color w:val="auto"/>
                      <w:sz w:val="18"/>
                      <w:szCs w:val="18"/>
                      <w:highlight w:val="none"/>
                    </w:rPr>
                  </w:pPr>
                </w:p>
              </w:tc>
              <w:tc>
                <w:tcPr>
                  <w:tcW w:w="555" w:type="pct"/>
                  <w:vMerge w:val="continue"/>
                  <w:tcBorders>
                    <w:tl2br w:val="nil"/>
                    <w:tr2bl w:val="nil"/>
                  </w:tcBorders>
                  <w:vAlign w:val="center"/>
                </w:tcPr>
                <w:p w14:paraId="3A9CB942">
                  <w:pPr>
                    <w:pStyle w:val="60"/>
                    <w:bidi w:val="0"/>
                    <w:rPr>
                      <w:rFonts w:hint="eastAsia"/>
                      <w:color w:val="auto"/>
                      <w:sz w:val="18"/>
                      <w:szCs w:val="18"/>
                      <w:highlight w:val="none"/>
                      <w:lang w:val="en-US" w:eastAsia="zh-CN"/>
                    </w:rPr>
                  </w:pPr>
                </w:p>
              </w:tc>
            </w:tr>
            <w:tr w14:paraId="73CAF2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30A04973">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11</w:t>
                  </w:r>
                </w:p>
              </w:tc>
              <w:tc>
                <w:tcPr>
                  <w:tcW w:w="665" w:type="pct"/>
                  <w:tcBorders>
                    <w:tl2br w:val="nil"/>
                    <w:tr2bl w:val="nil"/>
                  </w:tcBorders>
                  <w:vAlign w:val="center"/>
                </w:tcPr>
                <w:p w14:paraId="31FCF12D">
                  <w:pPr>
                    <w:pStyle w:val="60"/>
                    <w:bidi w:val="0"/>
                    <w:ind w:firstLine="0" w:firstLineChars="0"/>
                    <w:rPr>
                      <w:color w:val="auto"/>
                      <w:sz w:val="18"/>
                      <w:szCs w:val="18"/>
                      <w:highlight w:val="none"/>
                      <w:lang w:val="en-US" w:eastAsia="zh-CN"/>
                    </w:rPr>
                  </w:pPr>
                  <w:r>
                    <w:rPr>
                      <w:color w:val="auto"/>
                      <w:sz w:val="18"/>
                      <w:szCs w:val="18"/>
                      <w:highlight w:val="none"/>
                      <w:lang w:val="en-US" w:eastAsia="zh-CN"/>
                    </w:rPr>
                    <w:t>输送机</w:t>
                  </w:r>
                </w:p>
              </w:tc>
              <w:tc>
                <w:tcPr>
                  <w:tcW w:w="341" w:type="pct"/>
                  <w:tcBorders>
                    <w:tl2br w:val="nil"/>
                    <w:tr2bl w:val="nil"/>
                  </w:tcBorders>
                  <w:vAlign w:val="center"/>
                </w:tcPr>
                <w:p w14:paraId="656682DE">
                  <w:pPr>
                    <w:pStyle w:val="60"/>
                    <w:bidi w:val="0"/>
                    <w:rPr>
                      <w:color w:val="auto"/>
                      <w:sz w:val="18"/>
                      <w:szCs w:val="18"/>
                      <w:highlight w:val="none"/>
                    </w:rPr>
                  </w:pPr>
                </w:p>
              </w:tc>
              <w:tc>
                <w:tcPr>
                  <w:tcW w:w="461" w:type="pct"/>
                  <w:tcBorders>
                    <w:tl2br w:val="nil"/>
                    <w:tr2bl w:val="nil"/>
                  </w:tcBorders>
                  <w:vAlign w:val="center"/>
                </w:tcPr>
                <w:p w14:paraId="52231EE2">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12</w:t>
                  </w:r>
                </w:p>
              </w:tc>
              <w:tc>
                <w:tcPr>
                  <w:tcW w:w="479" w:type="pct"/>
                  <w:tcBorders>
                    <w:tl2br w:val="nil"/>
                    <w:tr2bl w:val="nil"/>
                  </w:tcBorders>
                  <w:vAlign w:val="center"/>
                </w:tcPr>
                <w:p w14:paraId="48577230">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-15</w:t>
                  </w:r>
                </w:p>
              </w:tc>
              <w:tc>
                <w:tcPr>
                  <w:tcW w:w="453" w:type="pct"/>
                  <w:tcBorders>
                    <w:tl2br w:val="nil"/>
                    <w:tr2bl w:val="nil"/>
                  </w:tcBorders>
                  <w:vAlign w:val="center"/>
                </w:tcPr>
                <w:p w14:paraId="25A81DED">
                  <w:pPr>
                    <w:pStyle w:val="48"/>
                    <w:bidi w:val="0"/>
                    <w:rPr>
                      <w:rFonts w:hint="eastAsia"/>
                      <w:sz w:val="18"/>
                      <w:szCs w:val="18"/>
                      <w:highlight w:val="none"/>
                      <w:lang w:val="en-US" w:eastAsia="zh-CN"/>
                    </w:rPr>
                  </w:pPr>
                  <w:r>
                    <w:rPr>
                      <w:rFonts w:hint="eastAsia"/>
                      <w:sz w:val="18"/>
                      <w:szCs w:val="18"/>
                      <w:highlight w:val="none"/>
                      <w:lang w:val="en-US" w:eastAsia="zh-CN"/>
                    </w:rPr>
                    <w:t>3</w:t>
                  </w:r>
                </w:p>
              </w:tc>
              <w:tc>
                <w:tcPr>
                  <w:tcW w:w="802" w:type="pct"/>
                  <w:tcBorders>
                    <w:tl2br w:val="nil"/>
                    <w:tr2bl w:val="nil"/>
                  </w:tcBorders>
                  <w:vAlign w:val="center"/>
                </w:tcPr>
                <w:p w14:paraId="75C1FDD1">
                  <w:pPr>
                    <w:pStyle w:val="48"/>
                    <w:bidi w:val="0"/>
                    <w:rPr>
                      <w:sz w:val="18"/>
                      <w:szCs w:val="18"/>
                      <w:highlight w:val="none"/>
                    </w:rPr>
                  </w:pPr>
                  <w:r>
                    <w:rPr>
                      <w:sz w:val="18"/>
                      <w:szCs w:val="18"/>
                      <w:highlight w:val="none"/>
                    </w:rPr>
                    <w:t>80</w:t>
                  </w:r>
                </w:p>
              </w:tc>
              <w:tc>
                <w:tcPr>
                  <w:tcW w:w="908" w:type="pct"/>
                  <w:vMerge w:val="continue"/>
                  <w:tcBorders>
                    <w:tl2br w:val="nil"/>
                    <w:tr2bl w:val="nil"/>
                  </w:tcBorders>
                  <w:vAlign w:val="center"/>
                </w:tcPr>
                <w:p w14:paraId="2AF61756">
                  <w:pPr>
                    <w:pStyle w:val="60"/>
                    <w:bidi w:val="0"/>
                    <w:rPr>
                      <w:color w:val="auto"/>
                      <w:sz w:val="18"/>
                      <w:szCs w:val="18"/>
                      <w:highlight w:val="none"/>
                    </w:rPr>
                  </w:pPr>
                </w:p>
              </w:tc>
              <w:tc>
                <w:tcPr>
                  <w:tcW w:w="555" w:type="pct"/>
                  <w:vMerge w:val="continue"/>
                  <w:tcBorders>
                    <w:tl2br w:val="nil"/>
                    <w:tr2bl w:val="nil"/>
                  </w:tcBorders>
                  <w:vAlign w:val="center"/>
                </w:tcPr>
                <w:p w14:paraId="08C205C0">
                  <w:pPr>
                    <w:pStyle w:val="60"/>
                    <w:bidi w:val="0"/>
                    <w:rPr>
                      <w:rFonts w:hint="eastAsia"/>
                      <w:color w:val="auto"/>
                      <w:sz w:val="18"/>
                      <w:szCs w:val="18"/>
                      <w:highlight w:val="none"/>
                      <w:lang w:val="en-US" w:eastAsia="zh-CN"/>
                    </w:rPr>
                  </w:pPr>
                </w:p>
              </w:tc>
            </w:tr>
            <w:tr w14:paraId="45C723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01A92DCD">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12</w:t>
                  </w:r>
                </w:p>
              </w:tc>
              <w:tc>
                <w:tcPr>
                  <w:tcW w:w="665" w:type="pct"/>
                  <w:tcBorders>
                    <w:tl2br w:val="nil"/>
                    <w:tr2bl w:val="nil"/>
                  </w:tcBorders>
                  <w:vAlign w:val="center"/>
                </w:tcPr>
                <w:p w14:paraId="4D39E87C">
                  <w:pPr>
                    <w:pStyle w:val="60"/>
                    <w:bidi w:val="0"/>
                    <w:ind w:firstLine="0" w:firstLineChars="0"/>
                    <w:rPr>
                      <w:color w:val="auto"/>
                      <w:sz w:val="18"/>
                      <w:szCs w:val="18"/>
                      <w:highlight w:val="none"/>
                      <w:lang w:val="en-US" w:eastAsia="zh-CN"/>
                    </w:rPr>
                  </w:pPr>
                  <w:r>
                    <w:rPr>
                      <w:color w:val="auto"/>
                      <w:sz w:val="18"/>
                      <w:szCs w:val="18"/>
                      <w:highlight w:val="none"/>
                      <w:lang w:val="en-US" w:eastAsia="zh-CN"/>
                    </w:rPr>
                    <w:t>输送机</w:t>
                  </w:r>
                </w:p>
              </w:tc>
              <w:tc>
                <w:tcPr>
                  <w:tcW w:w="341" w:type="pct"/>
                  <w:tcBorders>
                    <w:tl2br w:val="nil"/>
                    <w:tr2bl w:val="nil"/>
                  </w:tcBorders>
                  <w:vAlign w:val="center"/>
                </w:tcPr>
                <w:p w14:paraId="1B20AA81">
                  <w:pPr>
                    <w:pStyle w:val="60"/>
                    <w:bidi w:val="0"/>
                    <w:rPr>
                      <w:color w:val="auto"/>
                      <w:sz w:val="18"/>
                      <w:szCs w:val="18"/>
                      <w:highlight w:val="none"/>
                    </w:rPr>
                  </w:pPr>
                </w:p>
              </w:tc>
              <w:tc>
                <w:tcPr>
                  <w:tcW w:w="461" w:type="pct"/>
                  <w:tcBorders>
                    <w:tl2br w:val="nil"/>
                    <w:tr2bl w:val="nil"/>
                  </w:tcBorders>
                  <w:vAlign w:val="center"/>
                </w:tcPr>
                <w:p w14:paraId="54168A9F">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-7</w:t>
                  </w:r>
                </w:p>
              </w:tc>
              <w:tc>
                <w:tcPr>
                  <w:tcW w:w="479" w:type="pct"/>
                  <w:tcBorders>
                    <w:tl2br w:val="nil"/>
                    <w:tr2bl w:val="nil"/>
                  </w:tcBorders>
                  <w:vAlign w:val="center"/>
                </w:tcPr>
                <w:p w14:paraId="382F4849">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88</w:t>
                  </w:r>
                </w:p>
              </w:tc>
              <w:tc>
                <w:tcPr>
                  <w:tcW w:w="453" w:type="pct"/>
                  <w:tcBorders>
                    <w:tl2br w:val="nil"/>
                    <w:tr2bl w:val="nil"/>
                  </w:tcBorders>
                  <w:vAlign w:val="center"/>
                </w:tcPr>
                <w:p w14:paraId="33790797">
                  <w:pPr>
                    <w:pStyle w:val="48"/>
                    <w:bidi w:val="0"/>
                    <w:rPr>
                      <w:rFonts w:hint="eastAsia"/>
                      <w:sz w:val="18"/>
                      <w:szCs w:val="18"/>
                      <w:highlight w:val="none"/>
                      <w:lang w:val="en-US" w:eastAsia="zh-CN"/>
                    </w:rPr>
                  </w:pPr>
                  <w:r>
                    <w:rPr>
                      <w:rFonts w:hint="eastAsia"/>
                      <w:sz w:val="18"/>
                      <w:szCs w:val="18"/>
                      <w:highlight w:val="none"/>
                      <w:lang w:val="en-US" w:eastAsia="zh-CN"/>
                    </w:rPr>
                    <w:t>3</w:t>
                  </w:r>
                </w:p>
              </w:tc>
              <w:tc>
                <w:tcPr>
                  <w:tcW w:w="802" w:type="pct"/>
                  <w:tcBorders>
                    <w:tl2br w:val="nil"/>
                    <w:tr2bl w:val="nil"/>
                  </w:tcBorders>
                  <w:vAlign w:val="center"/>
                </w:tcPr>
                <w:p w14:paraId="2539260C">
                  <w:pPr>
                    <w:pStyle w:val="48"/>
                    <w:bidi w:val="0"/>
                    <w:rPr>
                      <w:sz w:val="18"/>
                      <w:szCs w:val="18"/>
                      <w:highlight w:val="none"/>
                    </w:rPr>
                  </w:pPr>
                  <w:r>
                    <w:rPr>
                      <w:sz w:val="18"/>
                      <w:szCs w:val="18"/>
                      <w:highlight w:val="none"/>
                    </w:rPr>
                    <w:t>80</w:t>
                  </w:r>
                </w:p>
              </w:tc>
              <w:tc>
                <w:tcPr>
                  <w:tcW w:w="908" w:type="pct"/>
                  <w:vMerge w:val="continue"/>
                  <w:tcBorders>
                    <w:tl2br w:val="nil"/>
                    <w:tr2bl w:val="nil"/>
                  </w:tcBorders>
                  <w:vAlign w:val="center"/>
                </w:tcPr>
                <w:p w14:paraId="7CA62887">
                  <w:pPr>
                    <w:pStyle w:val="60"/>
                    <w:bidi w:val="0"/>
                    <w:rPr>
                      <w:color w:val="auto"/>
                      <w:sz w:val="18"/>
                      <w:szCs w:val="18"/>
                      <w:highlight w:val="none"/>
                    </w:rPr>
                  </w:pPr>
                </w:p>
              </w:tc>
              <w:tc>
                <w:tcPr>
                  <w:tcW w:w="555" w:type="pct"/>
                  <w:vMerge w:val="continue"/>
                  <w:tcBorders>
                    <w:tl2br w:val="nil"/>
                    <w:tr2bl w:val="nil"/>
                  </w:tcBorders>
                  <w:vAlign w:val="center"/>
                </w:tcPr>
                <w:p w14:paraId="54E7CD2B">
                  <w:pPr>
                    <w:pStyle w:val="60"/>
                    <w:bidi w:val="0"/>
                    <w:rPr>
                      <w:rFonts w:hint="eastAsia"/>
                      <w:color w:val="auto"/>
                      <w:sz w:val="18"/>
                      <w:szCs w:val="18"/>
                      <w:highlight w:val="none"/>
                      <w:lang w:val="en-US" w:eastAsia="zh-CN"/>
                    </w:rPr>
                  </w:pPr>
                </w:p>
              </w:tc>
            </w:tr>
            <w:tr w14:paraId="490B4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79BE11CB">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13</w:t>
                  </w:r>
                </w:p>
              </w:tc>
              <w:tc>
                <w:tcPr>
                  <w:tcW w:w="665" w:type="pct"/>
                  <w:tcBorders>
                    <w:tl2br w:val="nil"/>
                    <w:tr2bl w:val="nil"/>
                  </w:tcBorders>
                  <w:vAlign w:val="center"/>
                </w:tcPr>
                <w:p w14:paraId="76538FA7">
                  <w:pPr>
                    <w:pStyle w:val="60"/>
                    <w:bidi w:val="0"/>
                    <w:ind w:firstLine="0" w:firstLineChars="0"/>
                    <w:rPr>
                      <w:color w:val="auto"/>
                      <w:sz w:val="18"/>
                      <w:szCs w:val="18"/>
                      <w:highlight w:val="none"/>
                      <w:lang w:val="en-US" w:eastAsia="zh-CN"/>
                    </w:rPr>
                  </w:pPr>
                  <w:r>
                    <w:rPr>
                      <w:color w:val="auto"/>
                      <w:sz w:val="18"/>
                      <w:szCs w:val="18"/>
                      <w:highlight w:val="none"/>
                      <w:lang w:val="en-US" w:eastAsia="zh-CN"/>
                    </w:rPr>
                    <w:t>输送机</w:t>
                  </w:r>
                </w:p>
              </w:tc>
              <w:tc>
                <w:tcPr>
                  <w:tcW w:w="341" w:type="pct"/>
                  <w:tcBorders>
                    <w:tl2br w:val="nil"/>
                    <w:tr2bl w:val="nil"/>
                  </w:tcBorders>
                  <w:vAlign w:val="center"/>
                </w:tcPr>
                <w:p w14:paraId="2CC0D29B">
                  <w:pPr>
                    <w:pStyle w:val="60"/>
                    <w:bidi w:val="0"/>
                    <w:rPr>
                      <w:color w:val="auto"/>
                      <w:sz w:val="18"/>
                      <w:szCs w:val="18"/>
                      <w:highlight w:val="none"/>
                    </w:rPr>
                  </w:pPr>
                </w:p>
              </w:tc>
              <w:tc>
                <w:tcPr>
                  <w:tcW w:w="461" w:type="pct"/>
                  <w:tcBorders>
                    <w:tl2br w:val="nil"/>
                    <w:tr2bl w:val="nil"/>
                  </w:tcBorders>
                  <w:vAlign w:val="center"/>
                </w:tcPr>
                <w:p w14:paraId="4870CD78">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-30</w:t>
                  </w:r>
                </w:p>
              </w:tc>
              <w:tc>
                <w:tcPr>
                  <w:tcW w:w="479" w:type="pct"/>
                  <w:tcBorders>
                    <w:tl2br w:val="nil"/>
                    <w:tr2bl w:val="nil"/>
                  </w:tcBorders>
                  <w:vAlign w:val="center"/>
                </w:tcPr>
                <w:p w14:paraId="35C13DA4">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-73</w:t>
                  </w:r>
                </w:p>
              </w:tc>
              <w:tc>
                <w:tcPr>
                  <w:tcW w:w="453" w:type="pct"/>
                  <w:tcBorders>
                    <w:tl2br w:val="nil"/>
                    <w:tr2bl w:val="nil"/>
                  </w:tcBorders>
                  <w:vAlign w:val="center"/>
                </w:tcPr>
                <w:p w14:paraId="3E99A364">
                  <w:pPr>
                    <w:pStyle w:val="48"/>
                    <w:bidi w:val="0"/>
                    <w:rPr>
                      <w:rFonts w:hint="eastAsia"/>
                      <w:sz w:val="18"/>
                      <w:szCs w:val="18"/>
                      <w:highlight w:val="none"/>
                      <w:lang w:val="en-US" w:eastAsia="zh-CN"/>
                    </w:rPr>
                  </w:pPr>
                  <w:r>
                    <w:rPr>
                      <w:rFonts w:hint="eastAsia"/>
                      <w:sz w:val="18"/>
                      <w:szCs w:val="18"/>
                      <w:highlight w:val="none"/>
                      <w:lang w:val="en-US" w:eastAsia="zh-CN"/>
                    </w:rPr>
                    <w:t>3</w:t>
                  </w:r>
                </w:p>
              </w:tc>
              <w:tc>
                <w:tcPr>
                  <w:tcW w:w="802" w:type="pct"/>
                  <w:tcBorders>
                    <w:tl2br w:val="nil"/>
                    <w:tr2bl w:val="nil"/>
                  </w:tcBorders>
                  <w:vAlign w:val="center"/>
                </w:tcPr>
                <w:p w14:paraId="2DBBB940">
                  <w:pPr>
                    <w:pStyle w:val="48"/>
                    <w:bidi w:val="0"/>
                    <w:rPr>
                      <w:sz w:val="18"/>
                      <w:szCs w:val="18"/>
                      <w:highlight w:val="none"/>
                    </w:rPr>
                  </w:pPr>
                  <w:r>
                    <w:rPr>
                      <w:sz w:val="18"/>
                      <w:szCs w:val="18"/>
                      <w:highlight w:val="none"/>
                    </w:rPr>
                    <w:t>80</w:t>
                  </w:r>
                </w:p>
              </w:tc>
              <w:tc>
                <w:tcPr>
                  <w:tcW w:w="908" w:type="pct"/>
                  <w:vMerge w:val="continue"/>
                  <w:tcBorders>
                    <w:tl2br w:val="nil"/>
                    <w:tr2bl w:val="nil"/>
                  </w:tcBorders>
                  <w:vAlign w:val="center"/>
                </w:tcPr>
                <w:p w14:paraId="4783DFD9">
                  <w:pPr>
                    <w:pStyle w:val="60"/>
                    <w:bidi w:val="0"/>
                    <w:rPr>
                      <w:color w:val="auto"/>
                      <w:sz w:val="18"/>
                      <w:szCs w:val="18"/>
                      <w:highlight w:val="none"/>
                    </w:rPr>
                  </w:pPr>
                </w:p>
              </w:tc>
              <w:tc>
                <w:tcPr>
                  <w:tcW w:w="555" w:type="pct"/>
                  <w:vMerge w:val="continue"/>
                  <w:tcBorders>
                    <w:tl2br w:val="nil"/>
                    <w:tr2bl w:val="nil"/>
                  </w:tcBorders>
                  <w:vAlign w:val="center"/>
                </w:tcPr>
                <w:p w14:paraId="0BB3F40F">
                  <w:pPr>
                    <w:pStyle w:val="60"/>
                    <w:bidi w:val="0"/>
                    <w:rPr>
                      <w:rFonts w:hint="eastAsia"/>
                      <w:color w:val="auto"/>
                      <w:sz w:val="18"/>
                      <w:szCs w:val="18"/>
                      <w:highlight w:val="none"/>
                      <w:lang w:val="en-US" w:eastAsia="zh-CN"/>
                    </w:rPr>
                  </w:pPr>
                </w:p>
              </w:tc>
            </w:tr>
            <w:tr w14:paraId="4D9AB3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shd w:val="clear" w:color="auto" w:fill="auto"/>
                  <w:vAlign w:val="center"/>
                </w:tcPr>
                <w:p w14:paraId="07448E70">
                  <w:pPr>
                    <w:pStyle w:val="60"/>
                    <w:bidi w:val="0"/>
                    <w:ind w:firstLine="0" w:firstLineChars="0"/>
                    <w:rPr>
                      <w:rFonts w:hint="default"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14</w:t>
                  </w:r>
                </w:p>
              </w:tc>
              <w:tc>
                <w:tcPr>
                  <w:tcW w:w="665" w:type="pct"/>
                  <w:tcBorders>
                    <w:tl2br w:val="nil"/>
                    <w:tr2bl w:val="nil"/>
                  </w:tcBorders>
                  <w:vAlign w:val="center"/>
                </w:tcPr>
                <w:p w14:paraId="42BF8719">
                  <w:pPr>
                    <w:pStyle w:val="60"/>
                    <w:bidi w:val="0"/>
                    <w:ind w:firstLine="0" w:firstLineChars="0"/>
                    <w:rPr>
                      <w:color w:val="auto"/>
                      <w:sz w:val="18"/>
                      <w:szCs w:val="18"/>
                      <w:highlight w:val="none"/>
                      <w:lang w:val="en-US" w:eastAsia="zh-CN"/>
                    </w:rPr>
                  </w:pPr>
                  <w:r>
                    <w:rPr>
                      <w:color w:val="auto"/>
                      <w:sz w:val="18"/>
                      <w:szCs w:val="18"/>
                      <w:highlight w:val="none"/>
                      <w:lang w:val="en-US" w:eastAsia="zh-CN"/>
                    </w:rPr>
                    <w:t>输送机</w:t>
                  </w:r>
                </w:p>
              </w:tc>
              <w:tc>
                <w:tcPr>
                  <w:tcW w:w="341" w:type="pct"/>
                  <w:tcBorders>
                    <w:tl2br w:val="nil"/>
                    <w:tr2bl w:val="nil"/>
                  </w:tcBorders>
                  <w:vAlign w:val="center"/>
                </w:tcPr>
                <w:p w14:paraId="0034625C">
                  <w:pPr>
                    <w:pStyle w:val="60"/>
                    <w:bidi w:val="0"/>
                    <w:rPr>
                      <w:color w:val="auto"/>
                      <w:sz w:val="18"/>
                      <w:szCs w:val="18"/>
                      <w:highlight w:val="none"/>
                    </w:rPr>
                  </w:pPr>
                </w:p>
              </w:tc>
              <w:tc>
                <w:tcPr>
                  <w:tcW w:w="461" w:type="pct"/>
                  <w:tcBorders>
                    <w:tl2br w:val="nil"/>
                    <w:tr2bl w:val="nil"/>
                  </w:tcBorders>
                  <w:vAlign w:val="center"/>
                </w:tcPr>
                <w:p w14:paraId="54DE6A3C">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-17</w:t>
                  </w:r>
                </w:p>
              </w:tc>
              <w:tc>
                <w:tcPr>
                  <w:tcW w:w="479" w:type="pct"/>
                  <w:tcBorders>
                    <w:tl2br w:val="nil"/>
                    <w:tr2bl w:val="nil"/>
                  </w:tcBorders>
                  <w:vAlign w:val="center"/>
                </w:tcPr>
                <w:p w14:paraId="625236CE">
                  <w:pPr>
                    <w:pStyle w:val="60"/>
                    <w:bidi w:val="0"/>
                    <w:ind w:firstLine="0" w:firstLineChars="0"/>
                    <w:rPr>
                      <w:rFonts w:hint="default"/>
                      <w:color w:val="auto"/>
                      <w:sz w:val="18"/>
                      <w:szCs w:val="18"/>
                      <w:highlight w:val="none"/>
                      <w:lang w:val="en-US" w:eastAsia="zh-CN"/>
                    </w:rPr>
                  </w:pPr>
                  <w:r>
                    <w:rPr>
                      <w:rFonts w:hint="eastAsia"/>
                      <w:color w:val="auto"/>
                      <w:sz w:val="18"/>
                      <w:szCs w:val="18"/>
                      <w:highlight w:val="none"/>
                      <w:lang w:val="en-US" w:eastAsia="zh-CN"/>
                    </w:rPr>
                    <w:t>-40</w:t>
                  </w:r>
                </w:p>
              </w:tc>
              <w:tc>
                <w:tcPr>
                  <w:tcW w:w="453" w:type="pct"/>
                  <w:tcBorders>
                    <w:tl2br w:val="nil"/>
                    <w:tr2bl w:val="nil"/>
                  </w:tcBorders>
                  <w:vAlign w:val="center"/>
                </w:tcPr>
                <w:p w14:paraId="631928FB">
                  <w:pPr>
                    <w:pStyle w:val="48"/>
                    <w:bidi w:val="0"/>
                    <w:rPr>
                      <w:rFonts w:hint="eastAsia"/>
                      <w:sz w:val="18"/>
                      <w:szCs w:val="18"/>
                      <w:highlight w:val="none"/>
                      <w:lang w:val="en-US" w:eastAsia="zh-CN"/>
                    </w:rPr>
                  </w:pPr>
                  <w:r>
                    <w:rPr>
                      <w:rFonts w:hint="eastAsia"/>
                      <w:sz w:val="18"/>
                      <w:szCs w:val="18"/>
                      <w:highlight w:val="none"/>
                      <w:lang w:val="en-US" w:eastAsia="zh-CN"/>
                    </w:rPr>
                    <w:t>3</w:t>
                  </w:r>
                </w:p>
              </w:tc>
              <w:tc>
                <w:tcPr>
                  <w:tcW w:w="802" w:type="pct"/>
                  <w:tcBorders>
                    <w:tl2br w:val="nil"/>
                    <w:tr2bl w:val="nil"/>
                  </w:tcBorders>
                  <w:vAlign w:val="center"/>
                </w:tcPr>
                <w:p w14:paraId="07B5824F">
                  <w:pPr>
                    <w:pStyle w:val="48"/>
                    <w:bidi w:val="0"/>
                    <w:rPr>
                      <w:sz w:val="18"/>
                      <w:szCs w:val="18"/>
                      <w:highlight w:val="none"/>
                    </w:rPr>
                  </w:pPr>
                  <w:r>
                    <w:rPr>
                      <w:sz w:val="18"/>
                      <w:szCs w:val="18"/>
                      <w:highlight w:val="none"/>
                    </w:rPr>
                    <w:t>80</w:t>
                  </w:r>
                </w:p>
              </w:tc>
              <w:tc>
                <w:tcPr>
                  <w:tcW w:w="908" w:type="pct"/>
                  <w:vMerge w:val="continue"/>
                  <w:tcBorders>
                    <w:tl2br w:val="nil"/>
                    <w:tr2bl w:val="nil"/>
                  </w:tcBorders>
                  <w:vAlign w:val="center"/>
                </w:tcPr>
                <w:p w14:paraId="5DEBB2B2">
                  <w:pPr>
                    <w:pStyle w:val="60"/>
                    <w:bidi w:val="0"/>
                    <w:rPr>
                      <w:color w:val="auto"/>
                      <w:sz w:val="18"/>
                      <w:szCs w:val="18"/>
                      <w:highlight w:val="none"/>
                    </w:rPr>
                  </w:pPr>
                </w:p>
              </w:tc>
              <w:tc>
                <w:tcPr>
                  <w:tcW w:w="555" w:type="pct"/>
                  <w:vMerge w:val="continue"/>
                  <w:tcBorders>
                    <w:tl2br w:val="nil"/>
                    <w:tr2bl w:val="nil"/>
                  </w:tcBorders>
                  <w:vAlign w:val="center"/>
                </w:tcPr>
                <w:p w14:paraId="653D7950">
                  <w:pPr>
                    <w:pStyle w:val="60"/>
                    <w:bidi w:val="0"/>
                    <w:rPr>
                      <w:rFonts w:hint="eastAsia"/>
                      <w:color w:val="auto"/>
                      <w:sz w:val="18"/>
                      <w:szCs w:val="18"/>
                      <w:highlight w:val="none"/>
                      <w:lang w:val="en-US" w:eastAsia="zh-CN"/>
                    </w:rPr>
                  </w:pPr>
                </w:p>
              </w:tc>
            </w:tr>
            <w:tr w14:paraId="3A007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vAlign w:val="center"/>
                </w:tcPr>
                <w:p w14:paraId="3263C7FF">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15</w:t>
                  </w:r>
                </w:p>
              </w:tc>
              <w:tc>
                <w:tcPr>
                  <w:tcW w:w="665" w:type="pct"/>
                  <w:tcBorders>
                    <w:tl2br w:val="nil"/>
                    <w:tr2bl w:val="nil"/>
                  </w:tcBorders>
                  <w:shd w:val="clear" w:color="auto" w:fill="auto"/>
                  <w:vAlign w:val="center"/>
                </w:tcPr>
                <w:p w14:paraId="465ADFEB">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初清筛</w:t>
                  </w:r>
                </w:p>
              </w:tc>
              <w:tc>
                <w:tcPr>
                  <w:tcW w:w="341" w:type="pct"/>
                  <w:tcBorders>
                    <w:tl2br w:val="nil"/>
                    <w:tr2bl w:val="nil"/>
                  </w:tcBorders>
                  <w:shd w:val="clear" w:color="auto" w:fill="auto"/>
                  <w:vAlign w:val="center"/>
                </w:tcPr>
                <w:p w14:paraId="5222E973">
                  <w:pPr>
                    <w:pStyle w:val="60"/>
                    <w:bidi w:val="0"/>
                    <w:ind w:firstLine="0" w:firstLineChars="0"/>
                    <w:rPr>
                      <w:rFonts w:ascii="Times New Roman" w:hAnsi="Times New Roman" w:eastAsia="宋体" w:cs="宋体"/>
                      <w:color w:val="auto"/>
                      <w:kern w:val="2"/>
                      <w:sz w:val="18"/>
                      <w:szCs w:val="18"/>
                      <w:highlight w:val="none"/>
                      <w:lang w:val="en-US" w:eastAsia="zh-CN" w:bidi="ar-SA"/>
                    </w:rPr>
                  </w:pPr>
                  <w:r>
                    <w:rPr>
                      <w:color w:val="auto"/>
                      <w:sz w:val="18"/>
                      <w:szCs w:val="18"/>
                      <w:highlight w:val="none"/>
                    </w:rPr>
                    <w:t>/</w:t>
                  </w:r>
                </w:p>
              </w:tc>
              <w:tc>
                <w:tcPr>
                  <w:tcW w:w="461" w:type="pct"/>
                  <w:tcBorders>
                    <w:tl2br w:val="nil"/>
                    <w:tr2bl w:val="nil"/>
                  </w:tcBorders>
                  <w:shd w:val="clear" w:color="auto" w:fill="auto"/>
                  <w:vAlign w:val="center"/>
                </w:tcPr>
                <w:p w14:paraId="4F8C5662">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-42</w:t>
                  </w:r>
                </w:p>
              </w:tc>
              <w:tc>
                <w:tcPr>
                  <w:tcW w:w="479" w:type="pct"/>
                  <w:tcBorders>
                    <w:tl2br w:val="nil"/>
                    <w:tr2bl w:val="nil"/>
                  </w:tcBorders>
                  <w:shd w:val="clear" w:color="auto" w:fill="auto"/>
                  <w:vAlign w:val="center"/>
                </w:tcPr>
                <w:p w14:paraId="5887F39C">
                  <w:pPr>
                    <w:pStyle w:val="60"/>
                    <w:bidi w:val="0"/>
                    <w:ind w:firstLine="0" w:firstLineChars="0"/>
                    <w:rPr>
                      <w:rFonts w:hint="default" w:ascii="Times New Roman" w:hAnsi="Times New Roman" w:eastAsia="宋体" w:cs="宋体"/>
                      <w:color w:val="auto"/>
                      <w:kern w:val="2"/>
                      <w:sz w:val="18"/>
                      <w:szCs w:val="18"/>
                      <w:highlight w:val="none"/>
                      <w:lang w:val="en-US" w:eastAsia="zh-CN" w:bidi="ar-SA"/>
                    </w:rPr>
                  </w:pPr>
                  <w:r>
                    <w:rPr>
                      <w:rFonts w:hint="eastAsia" w:cs="宋体"/>
                      <w:color w:val="auto"/>
                      <w:kern w:val="2"/>
                      <w:sz w:val="18"/>
                      <w:szCs w:val="18"/>
                      <w:highlight w:val="none"/>
                      <w:lang w:val="en-US" w:eastAsia="zh-CN" w:bidi="ar-SA"/>
                    </w:rPr>
                    <w:t>-58</w:t>
                  </w:r>
                </w:p>
              </w:tc>
              <w:tc>
                <w:tcPr>
                  <w:tcW w:w="453" w:type="pct"/>
                  <w:tcBorders>
                    <w:tl2br w:val="nil"/>
                    <w:tr2bl w:val="nil"/>
                  </w:tcBorders>
                  <w:shd w:val="clear" w:color="auto" w:fill="auto"/>
                  <w:vAlign w:val="center"/>
                </w:tcPr>
                <w:p w14:paraId="059D13A3">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5</w:t>
                  </w:r>
                </w:p>
              </w:tc>
              <w:tc>
                <w:tcPr>
                  <w:tcW w:w="802" w:type="pct"/>
                  <w:tcBorders>
                    <w:tl2br w:val="nil"/>
                    <w:tr2bl w:val="nil"/>
                  </w:tcBorders>
                  <w:shd w:val="clear" w:color="auto" w:fill="auto"/>
                  <w:vAlign w:val="center"/>
                </w:tcPr>
                <w:p w14:paraId="7EF69560">
                  <w:pPr>
                    <w:pStyle w:val="60"/>
                    <w:bidi w:val="0"/>
                    <w:ind w:firstLine="0" w:firstLineChars="0"/>
                    <w:rPr>
                      <w:rFonts w:hint="eastAsia" w:ascii="Times New Roman" w:hAnsi="Times New Roman" w:eastAsia="宋体" w:cs="宋体"/>
                      <w:color w:val="auto"/>
                      <w:kern w:val="2"/>
                      <w:sz w:val="18"/>
                      <w:szCs w:val="18"/>
                      <w:highlight w:val="none"/>
                      <w:lang w:val="en-US" w:eastAsia="zh-CN" w:bidi="ar-SA"/>
                    </w:rPr>
                  </w:pPr>
                  <w:r>
                    <w:rPr>
                      <w:rFonts w:hint="eastAsia"/>
                      <w:color w:val="auto"/>
                      <w:sz w:val="18"/>
                      <w:szCs w:val="18"/>
                      <w:highlight w:val="none"/>
                      <w:lang w:val="en-US" w:eastAsia="zh-CN"/>
                    </w:rPr>
                    <w:t>80</w:t>
                  </w:r>
                </w:p>
              </w:tc>
              <w:tc>
                <w:tcPr>
                  <w:tcW w:w="908" w:type="pct"/>
                  <w:vMerge w:val="continue"/>
                  <w:tcBorders>
                    <w:tl2br w:val="nil"/>
                    <w:tr2bl w:val="nil"/>
                  </w:tcBorders>
                  <w:vAlign w:val="center"/>
                </w:tcPr>
                <w:p w14:paraId="43C06C02">
                  <w:pPr>
                    <w:pStyle w:val="60"/>
                    <w:bidi w:val="0"/>
                    <w:rPr>
                      <w:color w:val="auto"/>
                      <w:sz w:val="18"/>
                      <w:szCs w:val="18"/>
                      <w:highlight w:val="none"/>
                    </w:rPr>
                  </w:pPr>
                </w:p>
              </w:tc>
              <w:tc>
                <w:tcPr>
                  <w:tcW w:w="555" w:type="pct"/>
                  <w:tcBorders>
                    <w:tl2br w:val="nil"/>
                    <w:tr2bl w:val="nil"/>
                  </w:tcBorders>
                  <w:vAlign w:val="center"/>
                </w:tcPr>
                <w:p w14:paraId="5EB9B1AA">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720h（昼间）</w:t>
                  </w:r>
                </w:p>
              </w:tc>
            </w:tr>
            <w:tr w14:paraId="55CD9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2" w:type="pct"/>
                  <w:tcBorders>
                    <w:tl2br w:val="nil"/>
                    <w:tr2bl w:val="nil"/>
                  </w:tcBorders>
                  <w:vAlign w:val="center"/>
                </w:tcPr>
                <w:p w14:paraId="22742FBF">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16</w:t>
                  </w:r>
                </w:p>
              </w:tc>
              <w:tc>
                <w:tcPr>
                  <w:tcW w:w="665" w:type="pct"/>
                  <w:tcBorders>
                    <w:tl2br w:val="nil"/>
                    <w:tr2bl w:val="nil"/>
                  </w:tcBorders>
                  <w:vAlign w:val="center"/>
                </w:tcPr>
                <w:p w14:paraId="5E587E83">
                  <w:pPr>
                    <w:pStyle w:val="60"/>
                    <w:bidi w:val="0"/>
                    <w:rPr>
                      <w:color w:val="auto"/>
                      <w:sz w:val="18"/>
                      <w:szCs w:val="18"/>
                      <w:highlight w:val="none"/>
                    </w:rPr>
                  </w:pPr>
                  <w:r>
                    <w:rPr>
                      <w:color w:val="auto"/>
                      <w:sz w:val="18"/>
                      <w:szCs w:val="18"/>
                      <w:highlight w:val="none"/>
                    </w:rPr>
                    <w:t>运输车辆</w:t>
                  </w:r>
                </w:p>
              </w:tc>
              <w:tc>
                <w:tcPr>
                  <w:tcW w:w="341" w:type="pct"/>
                  <w:tcBorders>
                    <w:tl2br w:val="nil"/>
                    <w:tr2bl w:val="nil"/>
                  </w:tcBorders>
                  <w:vAlign w:val="center"/>
                </w:tcPr>
                <w:p w14:paraId="03FA566A">
                  <w:pPr>
                    <w:pStyle w:val="60"/>
                    <w:bidi w:val="0"/>
                    <w:rPr>
                      <w:color w:val="auto"/>
                      <w:sz w:val="18"/>
                      <w:szCs w:val="18"/>
                      <w:highlight w:val="none"/>
                    </w:rPr>
                  </w:pPr>
                  <w:r>
                    <w:rPr>
                      <w:color w:val="auto"/>
                      <w:sz w:val="18"/>
                      <w:szCs w:val="18"/>
                      <w:highlight w:val="none"/>
                    </w:rPr>
                    <w:t>/</w:t>
                  </w:r>
                </w:p>
              </w:tc>
              <w:tc>
                <w:tcPr>
                  <w:tcW w:w="461" w:type="pct"/>
                  <w:tcBorders>
                    <w:tl2br w:val="nil"/>
                    <w:tr2bl w:val="nil"/>
                  </w:tcBorders>
                  <w:vAlign w:val="center"/>
                </w:tcPr>
                <w:p w14:paraId="35D1C66C">
                  <w:pPr>
                    <w:pStyle w:val="60"/>
                    <w:bidi w:val="0"/>
                    <w:rPr>
                      <w:rFonts w:hint="eastAsia"/>
                      <w:color w:val="auto"/>
                      <w:sz w:val="18"/>
                      <w:szCs w:val="18"/>
                      <w:highlight w:val="none"/>
                      <w:lang w:eastAsia="zh-CN"/>
                    </w:rPr>
                  </w:pPr>
                  <w:r>
                    <w:rPr>
                      <w:rFonts w:hint="eastAsia"/>
                      <w:color w:val="auto"/>
                      <w:sz w:val="18"/>
                      <w:szCs w:val="18"/>
                      <w:highlight w:val="none"/>
                      <w:lang w:val="en-US" w:eastAsia="zh-CN"/>
                    </w:rPr>
                    <w:t>/</w:t>
                  </w:r>
                </w:p>
              </w:tc>
              <w:tc>
                <w:tcPr>
                  <w:tcW w:w="479" w:type="pct"/>
                  <w:tcBorders>
                    <w:tl2br w:val="nil"/>
                    <w:tr2bl w:val="nil"/>
                  </w:tcBorders>
                  <w:vAlign w:val="center"/>
                </w:tcPr>
                <w:p w14:paraId="4BB5F3A0">
                  <w:pPr>
                    <w:pStyle w:val="60"/>
                    <w:bidi w:val="0"/>
                    <w:rPr>
                      <w:rFonts w:hint="eastAsia"/>
                      <w:color w:val="auto"/>
                      <w:sz w:val="18"/>
                      <w:szCs w:val="18"/>
                      <w:highlight w:val="none"/>
                      <w:lang w:eastAsia="zh-CN"/>
                    </w:rPr>
                  </w:pPr>
                  <w:r>
                    <w:rPr>
                      <w:rFonts w:hint="eastAsia"/>
                      <w:color w:val="auto"/>
                      <w:sz w:val="18"/>
                      <w:szCs w:val="18"/>
                      <w:highlight w:val="none"/>
                      <w:lang w:val="en-US" w:eastAsia="zh-CN"/>
                    </w:rPr>
                    <w:t>/</w:t>
                  </w:r>
                </w:p>
              </w:tc>
              <w:tc>
                <w:tcPr>
                  <w:tcW w:w="453" w:type="pct"/>
                  <w:tcBorders>
                    <w:tl2br w:val="nil"/>
                    <w:tr2bl w:val="nil"/>
                  </w:tcBorders>
                  <w:vAlign w:val="center"/>
                </w:tcPr>
                <w:p w14:paraId="1E502B87">
                  <w:pPr>
                    <w:pStyle w:val="60"/>
                    <w:bidi w:val="0"/>
                    <w:rPr>
                      <w:rFonts w:hint="default"/>
                      <w:color w:val="auto"/>
                      <w:sz w:val="18"/>
                      <w:szCs w:val="18"/>
                      <w:highlight w:val="none"/>
                      <w:lang w:val="en-US" w:eastAsia="zh-CN"/>
                    </w:rPr>
                  </w:pPr>
                  <w:r>
                    <w:rPr>
                      <w:rFonts w:hint="eastAsia"/>
                      <w:color w:val="auto"/>
                      <w:sz w:val="18"/>
                      <w:szCs w:val="18"/>
                      <w:highlight w:val="none"/>
                      <w:lang w:val="en-US" w:eastAsia="zh-CN"/>
                    </w:rPr>
                    <w:t>3</w:t>
                  </w:r>
                </w:p>
              </w:tc>
              <w:tc>
                <w:tcPr>
                  <w:tcW w:w="802" w:type="pct"/>
                  <w:tcBorders>
                    <w:tl2br w:val="nil"/>
                    <w:tr2bl w:val="nil"/>
                  </w:tcBorders>
                  <w:vAlign w:val="center"/>
                </w:tcPr>
                <w:p w14:paraId="04A28AD3">
                  <w:pPr>
                    <w:pStyle w:val="60"/>
                    <w:bidi w:val="0"/>
                    <w:rPr>
                      <w:rFonts w:hint="eastAsia"/>
                      <w:color w:val="auto"/>
                      <w:sz w:val="18"/>
                      <w:szCs w:val="18"/>
                      <w:highlight w:val="none"/>
                      <w:lang w:val="en-US" w:eastAsia="zh-CN"/>
                    </w:rPr>
                  </w:pPr>
                  <w:r>
                    <w:rPr>
                      <w:color w:val="auto"/>
                      <w:sz w:val="18"/>
                      <w:szCs w:val="18"/>
                      <w:highlight w:val="none"/>
                    </w:rPr>
                    <w:t>7</w:t>
                  </w:r>
                  <w:r>
                    <w:rPr>
                      <w:rFonts w:hint="eastAsia"/>
                      <w:color w:val="auto"/>
                      <w:sz w:val="18"/>
                      <w:szCs w:val="18"/>
                      <w:highlight w:val="none"/>
                      <w:lang w:val="en-US" w:eastAsia="zh-CN"/>
                    </w:rPr>
                    <w:t>0</w:t>
                  </w:r>
                </w:p>
              </w:tc>
              <w:tc>
                <w:tcPr>
                  <w:tcW w:w="908" w:type="pct"/>
                  <w:tcBorders>
                    <w:tl2br w:val="nil"/>
                    <w:tr2bl w:val="nil"/>
                  </w:tcBorders>
                  <w:vAlign w:val="center"/>
                </w:tcPr>
                <w:p w14:paraId="6AB47DA4">
                  <w:pPr>
                    <w:pStyle w:val="60"/>
                    <w:bidi w:val="0"/>
                    <w:rPr>
                      <w:color w:val="auto"/>
                      <w:sz w:val="18"/>
                      <w:szCs w:val="18"/>
                      <w:highlight w:val="none"/>
                    </w:rPr>
                  </w:pPr>
                  <w:r>
                    <w:rPr>
                      <w:color w:val="auto"/>
                      <w:sz w:val="18"/>
                      <w:szCs w:val="18"/>
                      <w:highlight w:val="none"/>
                    </w:rPr>
                    <w:t>低噪声车辆，限速。</w:t>
                  </w:r>
                </w:p>
              </w:tc>
              <w:tc>
                <w:tcPr>
                  <w:tcW w:w="555" w:type="pct"/>
                  <w:tcBorders>
                    <w:tl2br w:val="nil"/>
                    <w:tr2bl w:val="nil"/>
                  </w:tcBorders>
                  <w:vAlign w:val="center"/>
                </w:tcPr>
                <w:p w14:paraId="2944F73D">
                  <w:pPr>
                    <w:pStyle w:val="60"/>
                    <w:bidi w:val="0"/>
                    <w:rPr>
                      <w:color w:val="auto"/>
                      <w:sz w:val="18"/>
                      <w:szCs w:val="18"/>
                      <w:highlight w:val="none"/>
                    </w:rPr>
                  </w:pPr>
                  <w:r>
                    <w:rPr>
                      <w:rFonts w:hint="eastAsia"/>
                      <w:color w:val="auto"/>
                      <w:sz w:val="18"/>
                      <w:szCs w:val="18"/>
                      <w:highlight w:val="none"/>
                      <w:lang w:val="en-US" w:eastAsia="zh-CN"/>
                    </w:rPr>
                    <w:t>720</w:t>
                  </w:r>
                  <w:r>
                    <w:rPr>
                      <w:color w:val="auto"/>
                      <w:sz w:val="18"/>
                      <w:szCs w:val="18"/>
                      <w:highlight w:val="none"/>
                    </w:rPr>
                    <w:t>h</w:t>
                  </w:r>
                  <w:r>
                    <w:rPr>
                      <w:rFonts w:hint="eastAsia"/>
                      <w:color w:val="auto"/>
                      <w:sz w:val="18"/>
                      <w:szCs w:val="18"/>
                      <w:highlight w:val="none"/>
                      <w:lang w:val="en-US" w:eastAsia="zh-CN"/>
                    </w:rPr>
                    <w:t>（昼间）</w:t>
                  </w:r>
                </w:p>
              </w:tc>
            </w:tr>
          </w:tbl>
          <w:p w14:paraId="4016876D">
            <w:pPr>
              <w:pStyle w:val="60"/>
              <w:bidi w:val="0"/>
              <w:jc w:val="both"/>
              <w:rPr>
                <w:rFonts w:hint="eastAsia"/>
                <w:color w:val="auto"/>
                <w:sz w:val="18"/>
                <w:szCs w:val="18"/>
                <w:highlight w:val="none"/>
                <w:lang w:eastAsia="zh-CN"/>
              </w:rPr>
            </w:pPr>
            <w:r>
              <w:rPr>
                <w:rFonts w:hint="default"/>
                <w:color w:val="auto"/>
                <w:sz w:val="18"/>
                <w:szCs w:val="18"/>
                <w:highlight w:val="none"/>
              </w:rPr>
              <w:t>注：</w:t>
            </w:r>
            <w:r>
              <w:rPr>
                <w:rFonts w:hint="default"/>
                <w:color w:val="auto"/>
                <w:sz w:val="18"/>
                <w:szCs w:val="18"/>
                <w:highlight w:val="none"/>
                <w:lang w:val="en-US" w:eastAsia="zh-CN"/>
              </w:rPr>
              <w:t>厂区</w:t>
            </w:r>
            <w:r>
              <w:rPr>
                <w:rFonts w:hint="default"/>
                <w:color w:val="auto"/>
                <w:sz w:val="18"/>
                <w:szCs w:val="18"/>
                <w:highlight w:val="none"/>
              </w:rPr>
              <w:t>中心点坐标为（0，0，0）</w:t>
            </w:r>
            <w:r>
              <w:rPr>
                <w:rFonts w:hint="eastAsia"/>
                <w:color w:val="auto"/>
                <w:sz w:val="18"/>
                <w:szCs w:val="18"/>
                <w:highlight w:val="none"/>
                <w:lang w:eastAsia="zh-CN"/>
              </w:rPr>
              <w:t>，</w:t>
            </w:r>
            <w:r>
              <w:rPr>
                <w:rFonts w:hint="eastAsia" w:cs="Times New Roman"/>
                <w:color w:val="auto"/>
                <w:sz w:val="18"/>
                <w:szCs w:val="18"/>
                <w:highlight w:val="none"/>
                <w:lang w:val="en-US" w:eastAsia="zh-CN"/>
              </w:rPr>
              <w:t>筛分机、</w:t>
            </w:r>
            <w:r>
              <w:rPr>
                <w:color w:val="auto"/>
                <w:sz w:val="18"/>
                <w:szCs w:val="18"/>
                <w:highlight w:val="none"/>
              </w:rPr>
              <w:t>运输车辆</w:t>
            </w:r>
            <w:r>
              <w:rPr>
                <w:rFonts w:hint="eastAsia"/>
                <w:color w:val="auto"/>
                <w:sz w:val="18"/>
                <w:szCs w:val="18"/>
                <w:highlight w:val="none"/>
                <w:lang w:val="en-US" w:eastAsia="zh-CN"/>
              </w:rPr>
              <w:t>仅在昼间工作，其余设备全天运行</w:t>
            </w:r>
            <w:r>
              <w:rPr>
                <w:rFonts w:hint="eastAsia"/>
                <w:color w:val="auto"/>
                <w:sz w:val="18"/>
                <w:szCs w:val="18"/>
                <w:highlight w:val="none"/>
                <w:lang w:eastAsia="zh-CN"/>
              </w:rPr>
              <w:t>。</w:t>
            </w:r>
          </w:p>
          <w:p w14:paraId="4E0EA054">
            <w:pPr>
              <w:pStyle w:val="52"/>
              <w:bidi w:val="0"/>
              <w:rPr>
                <w:rFonts w:hint="default"/>
                <w:color w:val="auto"/>
                <w:highlight w:val="none"/>
              </w:rPr>
            </w:pPr>
            <w:r>
              <w:rPr>
                <w:rFonts w:hint="default"/>
                <w:color w:val="auto"/>
                <w:highlight w:val="none"/>
              </w:rPr>
              <w:t>为减轻对周围声环境的影响，项目从隔声降噪等方面考虑噪声的防治措施。具体采取的治理措施如下：</w:t>
            </w:r>
          </w:p>
          <w:p w14:paraId="4AC71EEC">
            <w:pPr>
              <w:pStyle w:val="46"/>
              <w:bidi w:val="0"/>
              <w:rPr>
                <w:rFonts w:hint="default" w:ascii="Times New Roman" w:hAnsi="Times New Roman" w:cs="Times New Roman"/>
                <w:color w:val="auto"/>
                <w:highlight w:val="none"/>
              </w:rPr>
            </w:pPr>
            <w:r>
              <w:rPr>
                <w:rFonts w:hint="eastAsia" w:cs="Times New Roman"/>
                <w:color w:val="auto"/>
                <w:highlight w:val="none"/>
                <w:lang w:val="en-US" w:eastAsia="zh-CN"/>
              </w:rPr>
              <w:t>①</w:t>
            </w:r>
            <w:r>
              <w:rPr>
                <w:rFonts w:hint="default" w:ascii="Times New Roman" w:hAnsi="Times New Roman" w:cs="Times New Roman"/>
                <w:color w:val="auto"/>
                <w:highlight w:val="none"/>
              </w:rPr>
              <w:t>选用低噪声设备，并在设备安装过程中设备安放稳固，与地面保持良好接触，并且使用减振机座，使用减振机座是简单有效的减振方法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风机安装消声器</w:t>
            </w:r>
            <w:r>
              <w:rPr>
                <w:rFonts w:hint="default" w:ascii="Times New Roman" w:hAnsi="Times New Roman" w:cs="Times New Roman"/>
                <w:color w:val="auto"/>
                <w:highlight w:val="none"/>
              </w:rPr>
              <w:t>；</w:t>
            </w:r>
          </w:p>
          <w:p w14:paraId="62F37117">
            <w:pPr>
              <w:pStyle w:val="46"/>
              <w:bidi w:val="0"/>
              <w:rPr>
                <w:rFonts w:hint="default" w:ascii="Times New Roman" w:hAnsi="Times New Roman" w:cs="Times New Roman"/>
                <w:color w:val="auto"/>
                <w:highlight w:val="none"/>
              </w:rPr>
            </w:pPr>
            <w:r>
              <w:rPr>
                <w:rFonts w:hint="eastAsia" w:cs="Times New Roman"/>
                <w:color w:val="auto"/>
                <w:highlight w:val="none"/>
                <w:lang w:val="en-US" w:eastAsia="zh-CN"/>
              </w:rPr>
              <w:t>②</w:t>
            </w:r>
            <w:r>
              <w:rPr>
                <w:rFonts w:hint="default" w:ascii="Times New Roman" w:hAnsi="Times New Roman" w:cs="Times New Roman"/>
                <w:color w:val="auto"/>
                <w:highlight w:val="none"/>
              </w:rPr>
              <w:t>生产过程中，设备运行时关闭门窗，利用墙体结构降噪，加强检查、维护和保养机械设备，保持润滑，紧固各部件，减少运行振动噪声；</w:t>
            </w:r>
          </w:p>
          <w:p w14:paraId="1CAE17CB">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eastAsia" w:cs="Times New Roman"/>
                <w:color w:val="auto"/>
                <w:highlight w:val="none"/>
                <w:lang w:val="en-US" w:eastAsia="zh-CN"/>
              </w:rPr>
              <w:t>1</w:t>
            </w:r>
            <w:r>
              <w:rPr>
                <w:rFonts w:hint="default" w:ascii="Times New Roman" w:hAnsi="Times New Roman" w:cs="Times New Roman"/>
                <w:color w:val="auto"/>
                <w:highlight w:val="none"/>
              </w:rPr>
              <w:t>）环境影响分析</w:t>
            </w:r>
          </w:p>
          <w:p w14:paraId="7CAC8DED">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项目运营期采用A声级预测法。依据《环境影响评价技术导则</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声环境》（HJ2.4-2021）中的数学模型，选用无指向性点声源几何发散衰减模式，该项目采用的噪声预测模式公式如下。</w:t>
            </w:r>
          </w:p>
          <w:p w14:paraId="42D47248">
            <w:pPr>
              <w:pStyle w:val="46"/>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1）声级计算</w:t>
            </w:r>
          </w:p>
          <w:p w14:paraId="7D9AD0FF">
            <w:pPr>
              <w:pStyle w:val="46"/>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建设项目声源在预测点产生的噪声贡献值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Leqg</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计算公式</w:t>
            </w:r>
            <w:r>
              <w:rPr>
                <w:rFonts w:hint="default" w:ascii="Times New Roman" w:hAnsi="Times New Roman" w:cs="Times New Roman"/>
                <w:color w:val="auto"/>
                <w:highlight w:val="none"/>
                <w:lang w:eastAsia="zh-CN"/>
              </w:rPr>
              <w:t>：</w:t>
            </w:r>
          </w:p>
          <w:p w14:paraId="5FBA4332">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34"/>
                <w:highlight w:val="none"/>
              </w:rPr>
              <w:object>
                <v:shape id="_x0000_i1044" o:spt="75" type="#_x0000_t75" style="height:40pt;width:204.95pt;" o:ole="t" filled="f" o:preferrelative="t" stroked="f" coordsize="21600,21600">
                  <v:path/>
                  <v:fill on="f" focussize="0,0"/>
                  <v:stroke on="f"/>
                  <v:imagedata r:id="rId61" o:title=""/>
                  <o:lock v:ext="edit" aspectratio="t"/>
                  <w10:wrap type="none"/>
                  <w10:anchorlock/>
                </v:shape>
                <o:OLEObject Type="Embed" ProgID="Equation.KSEE3" ShapeID="_x0000_i1044" DrawAspect="Content" ObjectID="_1468075744" r:id="rId60">
                  <o:LockedField>false</o:LockedField>
                </o:OLEObject>
              </w:object>
            </w:r>
          </w:p>
          <w:p w14:paraId="53FBB6A3">
            <w:pPr>
              <w:pStyle w:val="130"/>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p>
          <w:p w14:paraId="7B226776">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eqg</w:t>
            </w:r>
            <w:r>
              <w:rPr>
                <w:rFonts w:hint="default" w:ascii="Times New Roman" w:hAnsi="Times New Roman" w:cs="Times New Roman"/>
                <w:color w:val="auto"/>
                <w:highlight w:val="none"/>
              </w:rPr>
              <w:t>——建设项目声源在预测点产生的噪声贡献值，dB；</w:t>
            </w:r>
          </w:p>
          <w:p w14:paraId="594C36ED">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T——用于计算等效声级的时间，s；</w:t>
            </w:r>
          </w:p>
          <w:p w14:paraId="0DC3F0B8">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N——室外声源个数；</w:t>
            </w:r>
          </w:p>
          <w:p w14:paraId="7D40DE62">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rPr>
              <w:t>i</w:t>
            </w:r>
            <w:r>
              <w:rPr>
                <w:rFonts w:hint="default" w:ascii="Times New Roman" w:hAnsi="Times New Roman" w:cs="Times New Roman"/>
                <w:color w:val="auto"/>
                <w:highlight w:val="none"/>
              </w:rPr>
              <w:t>——在T时间内i声源工作时间，s；</w:t>
            </w:r>
          </w:p>
          <w:p w14:paraId="084E1B5E">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M——等效室外声源个数；</w:t>
            </w:r>
          </w:p>
          <w:p w14:paraId="7F9BD906">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w:t>
            </w:r>
            <w:r>
              <w:rPr>
                <w:rFonts w:hint="default" w:ascii="Times New Roman" w:hAnsi="Times New Roman" w:cs="Times New Roman"/>
                <w:color w:val="auto"/>
                <w:highlight w:val="none"/>
                <w:vertAlign w:val="subscript"/>
              </w:rPr>
              <w:t>j</w:t>
            </w:r>
            <w:r>
              <w:rPr>
                <w:rFonts w:hint="default" w:ascii="Times New Roman" w:hAnsi="Times New Roman" w:cs="Times New Roman"/>
                <w:color w:val="auto"/>
                <w:highlight w:val="none"/>
              </w:rPr>
              <w:t>——在T时间内j声源工作时间，s。</w:t>
            </w:r>
          </w:p>
          <w:p w14:paraId="59989DA7">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2）预测点的噪声预测值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eq</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计算公式</w:t>
            </w:r>
          </w:p>
          <w:p w14:paraId="16242752">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14"/>
                <w:highlight w:val="none"/>
              </w:rPr>
              <w:object>
                <v:shape id="_x0000_i1045" o:spt="75" type="#_x0000_t75" style="height:21pt;width:137pt;" o:ole="t" filled="f" o:preferrelative="t" stroked="f" coordsize="21600,21600">
                  <v:path/>
                  <v:fill on="f" focussize="0,0"/>
                  <v:stroke on="f"/>
                  <v:imagedata r:id="rId63" o:title=""/>
                  <o:lock v:ext="edit" aspectratio="t"/>
                  <w10:wrap type="none"/>
                  <w10:anchorlock/>
                </v:shape>
                <o:OLEObject Type="Embed" ProgID="Equation.KSEE3" ShapeID="_x0000_i1045" DrawAspect="Content" ObjectID="_1468075745" r:id="rId62">
                  <o:LockedField>false</o:LockedField>
                </o:OLEObject>
              </w:object>
            </w:r>
          </w:p>
          <w:p w14:paraId="68708484">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eq</w:t>
            </w:r>
            <w:r>
              <w:rPr>
                <w:rFonts w:hint="default" w:ascii="Times New Roman" w:hAnsi="Times New Roman" w:cs="Times New Roman"/>
                <w:color w:val="auto"/>
                <w:highlight w:val="none"/>
              </w:rPr>
              <w:t>——预测点的噪声预测值，dB；</w:t>
            </w:r>
          </w:p>
          <w:p w14:paraId="339F6E9D">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eqg</w:t>
            </w:r>
            <w:r>
              <w:rPr>
                <w:rFonts w:hint="default" w:ascii="Times New Roman" w:hAnsi="Times New Roman" w:cs="Times New Roman"/>
                <w:color w:val="auto"/>
                <w:highlight w:val="none"/>
              </w:rPr>
              <w:t>——建设项目声源在预测点产生的噪声贡献值，dB；</w:t>
            </w:r>
          </w:p>
          <w:p w14:paraId="583E9066">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eqb</w:t>
            </w:r>
            <w:r>
              <w:rPr>
                <w:rFonts w:hint="default" w:ascii="Times New Roman" w:hAnsi="Times New Roman" w:cs="Times New Roman"/>
                <w:color w:val="auto"/>
                <w:highlight w:val="none"/>
              </w:rPr>
              <w:t>——预测点的背景噪声值，dB。</w:t>
            </w:r>
          </w:p>
          <w:p w14:paraId="779874EB">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3）室内声源</w:t>
            </w:r>
          </w:p>
          <w:p w14:paraId="029F1B5D">
            <w:pPr>
              <w:pStyle w:val="130"/>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①首先计算某一室内声源靠近围护结构处产生的倍频带声压级或A声级</w:t>
            </w:r>
            <w:r>
              <w:rPr>
                <w:rFonts w:hint="default" w:ascii="Times New Roman" w:hAnsi="Times New Roman" w:cs="Times New Roman"/>
                <w:color w:val="auto"/>
                <w:highlight w:val="none"/>
                <w:lang w:eastAsia="zh-CN"/>
              </w:rPr>
              <w:t>：</w:t>
            </w:r>
          </w:p>
          <w:p w14:paraId="4F94D501">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28"/>
                <w:highlight w:val="none"/>
              </w:rPr>
              <w:object>
                <v:shape id="_x0000_i1046" o:spt="75" type="#_x0000_t75" style="height:34pt;width:132.95pt;" o:ole="t" filled="f" o:preferrelative="t" stroked="f" coordsize="21600,21600">
                  <v:path/>
                  <v:fill on="f" focussize="0,0"/>
                  <v:stroke on="f"/>
                  <v:imagedata r:id="rId65" o:title=""/>
                  <o:lock v:ext="edit" aspectratio="t"/>
                  <w10:wrap type="none"/>
                  <w10:anchorlock/>
                </v:shape>
                <o:OLEObject Type="Embed" ProgID="Equation.KSEE3" ShapeID="_x0000_i1046" DrawAspect="Content" ObjectID="_1468075746" r:id="rId64">
                  <o:LockedField>false</o:LockedField>
                </o:OLEObject>
              </w:object>
            </w:r>
          </w:p>
          <w:p w14:paraId="30939409">
            <w:pPr>
              <w:pStyle w:val="130"/>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p>
          <w:p w14:paraId="26358391">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p1</w:t>
            </w:r>
            <w:r>
              <w:rPr>
                <w:rFonts w:hint="default" w:ascii="Times New Roman" w:hAnsi="Times New Roman" w:cs="Times New Roman"/>
                <w:color w:val="auto"/>
                <w:highlight w:val="none"/>
              </w:rPr>
              <w:t>——靠近开口处（或窗户）室内某倍频带的声压级或A声级，dB；</w:t>
            </w:r>
          </w:p>
          <w:p w14:paraId="7CF36DAF">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w</w:t>
            </w:r>
            <w:r>
              <w:rPr>
                <w:rFonts w:hint="default" w:ascii="Times New Roman" w:hAnsi="Times New Roman" w:cs="Times New Roman"/>
                <w:color w:val="auto"/>
                <w:highlight w:val="none"/>
              </w:rPr>
              <w:t>——点声源声功率级（A计权或倍频带），dB；</w:t>
            </w:r>
          </w:p>
          <w:p w14:paraId="65103E40">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Q——指向性因数；通常对无指向性声源，当声源放在房间中心时，Q=1；当放在一面墙的中心时，Q=2；当放在两面墙夹角处时，Q=4；当放在三面墙夹角处时，Q=8；</w:t>
            </w:r>
          </w:p>
          <w:p w14:paraId="25AC7859">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R——房间常数；R=Sα/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，S为房间内表面面积，</w:t>
            </w:r>
            <w:r>
              <w:rPr>
                <w:rFonts w:hint="eastAsia" w:cs="Times New Roman"/>
                <w:color w:val="auto"/>
                <w:highlight w:val="none"/>
                <w:lang w:eastAsia="zh-CN"/>
              </w:rPr>
              <w:t>m</w:t>
            </w:r>
            <w:r>
              <w:rPr>
                <w:rFonts w:hint="eastAsia" w:cs="Times New Roman"/>
                <w:color w:val="auto"/>
                <w:highlight w:val="none"/>
                <w:vertAlign w:val="superscript"/>
                <w:lang w:eastAsia="zh-CN"/>
              </w:rPr>
              <w:t>2</w:t>
            </w:r>
            <w:r>
              <w:rPr>
                <w:rFonts w:hint="default" w:ascii="Times New Roman" w:hAnsi="Times New Roman" w:cs="Times New Roman"/>
                <w:color w:val="auto"/>
                <w:highlight w:val="none"/>
              </w:rPr>
              <w:t>；α为平均吸声系数；</w:t>
            </w:r>
          </w:p>
          <w:p w14:paraId="0690DB6D">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r——声源到靠近围护结构某点处的距离，m。</w:t>
            </w:r>
          </w:p>
          <w:p w14:paraId="176D432B">
            <w:pPr>
              <w:pStyle w:val="130"/>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②计算出所有室内声源在围护结构处产生i倍频带叠加声压级</w:t>
            </w:r>
            <w:r>
              <w:rPr>
                <w:rFonts w:hint="default" w:ascii="Times New Roman" w:hAnsi="Times New Roman" w:cs="Times New Roman"/>
                <w:color w:val="auto"/>
                <w:highlight w:val="none"/>
                <w:lang w:eastAsia="zh-CN"/>
              </w:rPr>
              <w:t>：</w:t>
            </w:r>
          </w:p>
          <w:p w14:paraId="6079DB67">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32"/>
                <w:highlight w:val="none"/>
              </w:rPr>
              <w:object>
                <v:shape id="_x0000_i1047" o:spt="75" type="#_x0000_t75" style="height:38pt;width:129pt;" o:ole="t" filled="f" o:preferrelative="t" stroked="f" coordsize="21600,21600">
                  <v:path/>
                  <v:fill on="f" focussize="0,0"/>
                  <v:stroke on="f"/>
                  <v:imagedata r:id="rId67" o:title=""/>
                  <o:lock v:ext="edit" aspectratio="t"/>
                  <w10:wrap type="none"/>
                  <w10:anchorlock/>
                </v:shape>
                <o:OLEObject Type="Embed" ProgID="Equation.KSEE3" ShapeID="_x0000_i1047" DrawAspect="Content" ObjectID="_1468075747" r:id="rId66">
                  <o:LockedField>false</o:LockedField>
                </o:OLEObject>
              </w:object>
            </w:r>
          </w:p>
          <w:p w14:paraId="0BFFE294">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p1i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——靠近围护结构处室内N个声源i倍频带的叠加声压级，dB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45652031">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p1ij</w:t>
            </w:r>
            <w:r>
              <w:rPr>
                <w:rFonts w:hint="default" w:ascii="Times New Roman" w:hAnsi="Times New Roman" w:cs="Times New Roman"/>
                <w:color w:val="auto"/>
                <w:highlight w:val="none"/>
              </w:rPr>
              <w:t>——室内j声源i倍频带的声压级，dB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0F36C58C">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N——室内声源总数</w:t>
            </w:r>
          </w:p>
          <w:p w14:paraId="29956561">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③计算出靠近室外围护结构处的声压级</w:t>
            </w:r>
          </w:p>
          <w:p w14:paraId="77D9F5A1">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14"/>
                <w:highlight w:val="none"/>
              </w:rPr>
              <w:object>
                <v:shape id="_x0000_i1048" o:spt="75" type="#_x0000_t75" style="height:19pt;width:129pt;" o:ole="t" filled="f" o:preferrelative="t" stroked="f" coordsize="21600,21600">
                  <v:path/>
                  <v:fill on="f" focussize="0,0"/>
                  <v:stroke on="f"/>
                  <v:imagedata r:id="rId69" o:title=""/>
                  <o:lock v:ext="edit" aspectratio="t"/>
                  <w10:wrap type="none"/>
                  <w10:anchorlock/>
                </v:shape>
                <o:OLEObject Type="Embed" ProgID="Equation.KSEE3" ShapeID="_x0000_i1048" DrawAspect="Content" ObjectID="_1468075748" r:id="rId68">
                  <o:LockedField>false</o:LockedField>
                </o:OLEObject>
              </w:object>
            </w:r>
          </w:p>
          <w:p w14:paraId="460E1E6E">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p2i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——靠近围护结构处室外N个声源i倍频带的叠加声压级，dB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46BF0EA0">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pli</w:t>
            </w:r>
            <w:r>
              <w:rPr>
                <w:rFonts w:hint="default" w:ascii="Times New Roman" w:hAnsi="Times New Roman" w:cs="Times New Roman"/>
                <w:color w:val="auto"/>
                <w:highlight w:val="none"/>
              </w:rPr>
              <w:t>（T）——靠近围护结构处室内N个声源i倍频带的叠加声压级，dB；</w:t>
            </w:r>
          </w:p>
          <w:p w14:paraId="05CD3AC7">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w:t>
            </w:r>
            <w:r>
              <w:rPr>
                <w:rFonts w:hint="default" w:ascii="Times New Roman" w:hAnsi="Times New Roman" w:cs="Times New Roman"/>
                <w:color w:val="auto"/>
                <w:highlight w:val="none"/>
                <w:vertAlign w:val="subscript"/>
              </w:rPr>
              <w:t>i</w:t>
            </w:r>
            <w:r>
              <w:rPr>
                <w:rFonts w:hint="default" w:ascii="Times New Roman" w:hAnsi="Times New Roman" w:cs="Times New Roman"/>
                <w:color w:val="auto"/>
                <w:highlight w:val="none"/>
              </w:rPr>
              <w:t>——围护结构i倍频带的隔声量，dB；</w:t>
            </w:r>
          </w:p>
          <w:p w14:paraId="5F8596D0">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④将室外声源的声压级和透过面积换算成等效的室外声源，计算出中心位置位于透声面积（S）处的等效声源的倍频带声功率级。</w:t>
            </w:r>
          </w:p>
          <w:p w14:paraId="4D6F7B0B">
            <w:pPr>
              <w:pStyle w:val="13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position w:val="-14"/>
                <w:highlight w:val="none"/>
              </w:rPr>
              <w:object>
                <v:shape id="_x0000_i1049" o:spt="75" type="#_x0000_t75" style="height:19pt;width:101pt;" o:ole="t" filled="f" o:preferrelative="t" stroked="f" coordsize="21600,21600">
                  <v:path/>
                  <v:fill on="f" focussize="0,0"/>
                  <v:stroke on="f"/>
                  <v:imagedata r:id="rId71" o:title=""/>
                  <o:lock v:ext="edit" aspectratio="t"/>
                  <w10:wrap type="none"/>
                  <w10:anchorlock/>
                </v:shape>
                <o:OLEObject Type="Embed" ProgID="Equation.KSEE3" ShapeID="_x0000_i1049" DrawAspect="Content" ObjectID="_1468075749" r:id="rId70">
                  <o:LockedField>false</o:LockedField>
                </o:OLEObject>
              </w:object>
            </w:r>
          </w:p>
          <w:p w14:paraId="440FD3D0">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w</w:t>
            </w:r>
            <w:r>
              <w:rPr>
                <w:rFonts w:hint="default" w:ascii="Times New Roman" w:hAnsi="Times New Roman" w:cs="Times New Roman"/>
                <w:color w:val="auto"/>
                <w:highlight w:val="none"/>
              </w:rPr>
              <w:t>——中心位置位于透声面积（S）处的等效声源的倍频带声功率级，dB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59306F9F">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p2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——靠近围护结构处室外声源的声压级，dB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5C210E6D">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S——透声面积，</w:t>
            </w:r>
            <w:r>
              <w:rPr>
                <w:rFonts w:hint="eastAsia" w:cs="Times New Roman"/>
                <w:color w:val="auto"/>
                <w:highlight w:val="none"/>
                <w:lang w:eastAsia="zh-CN"/>
              </w:rPr>
              <w:t>m</w:t>
            </w:r>
            <w:r>
              <w:rPr>
                <w:rFonts w:hint="eastAsia" w:cs="Times New Roman"/>
                <w:color w:val="auto"/>
                <w:highlight w:val="none"/>
                <w:vertAlign w:val="superscript"/>
                <w:lang w:eastAsia="zh-CN"/>
              </w:rPr>
              <w:t>2</w:t>
            </w:r>
            <w:r>
              <w:rPr>
                <w:rFonts w:hint="default" w:ascii="Times New Roman" w:hAnsi="Times New Roman" w:cs="Times New Roman"/>
                <w:color w:val="auto"/>
                <w:highlight w:val="none"/>
              </w:rPr>
              <w:t>。</w:t>
            </w:r>
          </w:p>
          <w:p w14:paraId="5D2E6887">
            <w:pPr>
              <w:pStyle w:val="46"/>
              <w:keepNext w:val="0"/>
              <w:keepLines w:val="0"/>
              <w:pageBreakBefore w:val="0"/>
              <w:kinsoku/>
              <w:overflowPunct/>
              <w:autoSpaceDE/>
              <w:autoSpaceDN/>
              <w:bidi w:val="0"/>
              <w:snapToGrid/>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4）室外声源</w:t>
            </w:r>
          </w:p>
          <w:p w14:paraId="12B9D8CC">
            <w:pPr>
              <w:pStyle w:val="46"/>
              <w:keepNext w:val="0"/>
              <w:keepLines w:val="0"/>
              <w:pageBreakBefore w:val="0"/>
              <w:kinsoku/>
              <w:overflowPunct/>
              <w:autoSpaceDE/>
              <w:autoSpaceDN/>
              <w:bidi w:val="0"/>
              <w:snapToGrid/>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计算某个声源在预测点的声压级</w:t>
            </w:r>
          </w:p>
          <w:p w14:paraId="297EE8A3">
            <w:pPr>
              <w:pStyle w:val="130"/>
              <w:keepNext w:val="0"/>
              <w:keepLines w:val="0"/>
              <w:pageBreakBefore w:val="0"/>
              <w:kinsoku/>
              <w:overflowPunct/>
              <w:autoSpaceDE/>
              <w:autoSpaceDN/>
              <w:bidi w:val="0"/>
              <w:snapToGrid/>
              <w:spacing w:line="360" w:lineRule="auto"/>
              <w:ind w:firstLine="0" w:firstLineChars="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position w:val="-10"/>
                <w:sz w:val="24"/>
                <w:szCs w:val="24"/>
                <w:highlight w:val="none"/>
              </w:rPr>
              <w:object>
                <v:shape id="_x0000_i1050" o:spt="75" type="#_x0000_t75" style="height:17pt;width:125pt;" o:ole="t" filled="f" o:preferrelative="t" stroked="f" coordsize="21600,21600">
                  <v:path/>
                  <v:fill on="f" focussize="0,0"/>
                  <v:stroke on="f"/>
                  <v:imagedata r:id="rId73" o:title=""/>
                  <o:lock v:ext="edit" aspectratio="t"/>
                  <w10:wrap type="none"/>
                  <w10:anchorlock/>
                </v:shape>
                <o:OLEObject Type="Embed" ProgID="Equation.KSEE3" ShapeID="_x0000_i1050" DrawAspect="Content" ObjectID="_1468075750" r:id="rId72">
                  <o:LockedField>false</o:LockedField>
                </o:OLEObject>
              </w:object>
            </w:r>
          </w:p>
          <w:p w14:paraId="198901B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式中：L</w:t>
            </w:r>
            <w:r>
              <w:rPr>
                <w:rFonts w:hint="default" w:ascii="Times New Roman" w:hAnsi="Times New Roman" w:cs="Times New Roman"/>
                <w:color w:val="auto"/>
                <w:kern w:val="0"/>
                <w:sz w:val="24"/>
                <w:szCs w:val="24"/>
                <w:highlight w:val="none"/>
                <w:shd w:val="clear" w:color="auto" w:fill="auto"/>
                <w:vertAlign w:val="subscript"/>
                <w:lang w:val="en-US" w:eastAsia="zh-CN"/>
              </w:rPr>
              <w:t>A</w:t>
            </w:r>
            <w:r>
              <w:rPr>
                <w:rFonts w:hint="default" w:ascii="Times New Roman" w:hAnsi="Times New Roman" w:cs="Times New Roman"/>
                <w:color w:val="auto"/>
                <w:kern w:val="0"/>
                <w:sz w:val="24"/>
                <w:szCs w:val="24"/>
                <w:highlight w:val="none"/>
                <w:shd w:val="clear" w:color="auto" w:fill="auto"/>
                <w:vertAlign w:val="baseline"/>
                <w:lang w:val="en-US" w:eastAsia="zh-CN"/>
              </w:rPr>
              <w:t>（r）</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点声源在预测点产生的声压级，dB（A）；</w:t>
            </w:r>
          </w:p>
          <w:p w14:paraId="3A7FBF7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L</w:t>
            </w:r>
            <w:r>
              <w:rPr>
                <w:rFonts w:hint="default" w:ascii="Times New Roman" w:hAnsi="Times New Roman" w:cs="Times New Roman"/>
                <w:color w:val="auto"/>
                <w:kern w:val="0"/>
                <w:sz w:val="24"/>
                <w:szCs w:val="24"/>
                <w:highlight w:val="none"/>
                <w:shd w:val="clear" w:color="auto" w:fill="auto"/>
                <w:vertAlign w:val="subscript"/>
                <w:lang w:val="en-US" w:eastAsia="zh-CN"/>
              </w:rPr>
              <w:t>A</w:t>
            </w:r>
            <w:r>
              <w:rPr>
                <w:rFonts w:hint="default" w:ascii="Times New Roman" w:hAnsi="Times New Roman" w:cs="Times New Roman"/>
                <w:color w:val="auto"/>
                <w:kern w:val="0"/>
                <w:sz w:val="24"/>
                <w:szCs w:val="24"/>
                <w:highlight w:val="none"/>
                <w:shd w:val="clear" w:color="auto" w:fill="auto"/>
                <w:vertAlign w:val="baseline"/>
                <w:lang w:val="en-US" w:eastAsia="zh-CN"/>
              </w:rPr>
              <w:t>（r</w:t>
            </w:r>
            <w:r>
              <w:rPr>
                <w:rFonts w:hint="default" w:ascii="Times New Roman" w:hAnsi="Times New Roman" w:cs="Times New Roman"/>
                <w:color w:val="auto"/>
                <w:kern w:val="0"/>
                <w:sz w:val="24"/>
                <w:szCs w:val="24"/>
                <w:highlight w:val="none"/>
                <w:shd w:val="clear" w:color="auto" w:fill="auto"/>
                <w:vertAlign w:val="subscript"/>
                <w:lang w:val="en-US" w:eastAsia="zh-CN"/>
              </w:rPr>
              <w:t>0</w:t>
            </w:r>
            <w:r>
              <w:rPr>
                <w:rFonts w:hint="default" w:ascii="Times New Roman" w:hAnsi="Times New Roman" w:cs="Times New Roman"/>
                <w:color w:val="auto"/>
                <w:kern w:val="0"/>
                <w:sz w:val="24"/>
                <w:szCs w:val="24"/>
                <w:highlight w:val="none"/>
                <w:shd w:val="clear" w:color="auto" w:fill="auto"/>
                <w:vertAlign w:val="baseline"/>
                <w:lang w:val="en-US" w:eastAsia="zh-CN"/>
              </w:rPr>
              <w: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参考位置r</w:t>
            </w:r>
            <w:r>
              <w:rPr>
                <w:rFonts w:hint="default" w:ascii="Times New Roman" w:hAnsi="Times New Roman" w:cs="Times New Roman"/>
                <w:color w:val="auto"/>
                <w:kern w:val="0"/>
                <w:sz w:val="24"/>
                <w:szCs w:val="24"/>
                <w:highlight w:val="none"/>
                <w:shd w:val="clear" w:color="auto" w:fill="auto"/>
                <w:vertAlign w:val="subscript"/>
                <w:lang w:val="en-US" w:eastAsia="zh-CN"/>
              </w:rPr>
              <w:t>0</w:t>
            </w:r>
            <w:r>
              <w:rPr>
                <w:rFonts w:hint="default" w:ascii="Times New Roman" w:hAnsi="Times New Roman" w:cs="Times New Roman"/>
                <w:color w:val="auto"/>
                <w:kern w:val="0"/>
                <w:sz w:val="24"/>
                <w:szCs w:val="24"/>
                <w:highlight w:val="none"/>
                <w:shd w:val="clear" w:color="auto" w:fill="auto"/>
                <w:lang w:val="en-US" w:eastAsia="zh-CN"/>
              </w:rPr>
              <w:t>处的声压级，dB（A）；</w:t>
            </w:r>
          </w:p>
          <w:p w14:paraId="282CDBA5">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r</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预测点距声源的距离，m；</w:t>
            </w:r>
          </w:p>
          <w:p w14:paraId="6282DD9D">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r</w:t>
            </w:r>
            <w:r>
              <w:rPr>
                <w:rFonts w:hint="default" w:ascii="Times New Roman" w:hAnsi="Times New Roman" w:cs="Times New Roman"/>
                <w:color w:val="auto"/>
                <w:kern w:val="0"/>
                <w:sz w:val="24"/>
                <w:szCs w:val="24"/>
                <w:highlight w:val="none"/>
                <w:shd w:val="clear" w:color="auto" w:fill="auto"/>
                <w:vertAlign w:val="subscript"/>
                <w:lang w:val="en-US" w:eastAsia="zh-CN"/>
              </w:rPr>
              <w:t>0</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参考位置距声源的距离，m；</w:t>
            </w:r>
          </w:p>
          <w:p w14:paraId="5A8561D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A</w:t>
            </w:r>
            <w:r>
              <w:rPr>
                <w:rFonts w:hint="default" w:ascii="Times New Roman" w:hAnsi="Times New Roman" w:cs="Times New Roman"/>
                <w:color w:val="auto"/>
                <w:kern w:val="0"/>
                <w:sz w:val="24"/>
                <w:szCs w:val="24"/>
                <w:highlight w:val="none"/>
                <w:shd w:val="clear" w:color="auto" w:fill="auto"/>
                <w:vertAlign w:val="subscript"/>
                <w:lang w:val="en-US" w:eastAsia="zh-CN"/>
              </w:rPr>
              <w:t>div</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几何发散引起的衰减，dB；</w:t>
            </w:r>
          </w:p>
          <w:p w14:paraId="54D7D17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shd w:val="clear" w:color="auto" w:fill="auto"/>
                <w:lang w:val="en-US" w:eastAsia="zh-CN"/>
              </w:rPr>
            </w:pPr>
            <w:r>
              <w:rPr>
                <w:rFonts w:hint="default" w:ascii="Times New Roman" w:hAnsi="Times New Roman" w:cs="Times New Roman"/>
                <w:color w:val="auto"/>
                <w:kern w:val="0"/>
                <w:sz w:val="24"/>
                <w:szCs w:val="24"/>
                <w:highlight w:val="none"/>
                <w:shd w:val="clear" w:color="auto" w:fill="auto"/>
                <w:lang w:val="en-US" w:eastAsia="zh-CN"/>
              </w:rPr>
              <w:t>A</w:t>
            </w:r>
            <w:r>
              <w:rPr>
                <w:rFonts w:hint="default" w:ascii="Times New Roman" w:hAnsi="Times New Roman" w:cs="Times New Roman"/>
                <w:color w:val="auto"/>
                <w:kern w:val="0"/>
                <w:sz w:val="24"/>
                <w:szCs w:val="24"/>
                <w:highlight w:val="none"/>
                <w:shd w:val="clear" w:color="auto" w:fill="auto"/>
                <w:vertAlign w:val="subscript"/>
                <w:lang w:val="en-US" w:eastAsia="zh-CN"/>
              </w:rPr>
              <w:t>bar</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kern w:val="0"/>
                <w:sz w:val="24"/>
                <w:szCs w:val="24"/>
                <w:highlight w:val="none"/>
                <w:shd w:val="clear" w:color="auto" w:fill="auto"/>
                <w:lang w:val="en-US" w:eastAsia="zh-CN"/>
              </w:rPr>
              <w:t>障碍物屏蔽引起的衰减，dB。</w:t>
            </w:r>
          </w:p>
          <w:p w14:paraId="2FAD1002">
            <w:pPr>
              <w:pStyle w:val="13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本项目噪声预测结果见下表。</w:t>
            </w:r>
          </w:p>
          <w:p w14:paraId="4377FEAB">
            <w:pPr>
              <w:pStyle w:val="50"/>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表4-</w:t>
            </w:r>
            <w:r>
              <w:rPr>
                <w:rFonts w:hint="eastAsia" w:cs="Times New Roman"/>
                <w:color w:val="auto"/>
                <w:highlight w:val="none"/>
                <w:lang w:val="en-US" w:eastAsia="zh-CN"/>
              </w:rPr>
              <w:t>14</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 厂界噪声</w:t>
            </w:r>
            <w:r>
              <w:rPr>
                <w:rFonts w:hint="eastAsia" w:cs="Times New Roman"/>
                <w:color w:val="auto"/>
                <w:highlight w:val="none"/>
                <w:lang w:val="en-US" w:eastAsia="zh-CN"/>
              </w:rPr>
              <w:t>贡献值</w:t>
            </w:r>
            <w:r>
              <w:rPr>
                <w:rFonts w:hint="default" w:ascii="Times New Roman" w:hAnsi="Times New Roman" w:cs="Times New Roman"/>
                <w:color w:val="auto"/>
                <w:highlight w:val="none"/>
              </w:rPr>
              <w:t>预测结果  单位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33"/>
              <w:gridCol w:w="1533"/>
              <w:gridCol w:w="1534"/>
              <w:gridCol w:w="1944"/>
              <w:gridCol w:w="1125"/>
            </w:tblGrid>
            <w:tr w14:paraId="57062F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3" w:type="dxa"/>
                  <w:noWrap w:val="0"/>
                  <w:vAlign w:val="center"/>
                </w:tcPr>
                <w:p w14:paraId="4218F82E">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预测点</w:t>
                  </w:r>
                </w:p>
              </w:tc>
              <w:tc>
                <w:tcPr>
                  <w:tcW w:w="1533" w:type="dxa"/>
                  <w:noWrap w:val="0"/>
                  <w:vAlign w:val="center"/>
                </w:tcPr>
                <w:p w14:paraId="164FE738">
                  <w:pPr>
                    <w:pStyle w:val="60"/>
                    <w:bidi w:val="0"/>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昼间</w:t>
                  </w:r>
                  <w:r>
                    <w:rPr>
                      <w:rFonts w:hint="default" w:ascii="Times New Roman" w:hAnsi="Times New Roman" w:cs="Times New Roman"/>
                      <w:color w:val="auto"/>
                      <w:sz w:val="21"/>
                      <w:szCs w:val="21"/>
                      <w:highlight w:val="none"/>
                    </w:rPr>
                    <w:t>贡献值</w:t>
                  </w:r>
                </w:p>
              </w:tc>
              <w:tc>
                <w:tcPr>
                  <w:tcW w:w="1534" w:type="dxa"/>
                  <w:noWrap w:val="0"/>
                  <w:vAlign w:val="center"/>
                </w:tcPr>
                <w:p w14:paraId="20D61844">
                  <w:pPr>
                    <w:pStyle w:val="60"/>
                    <w:bidi w:val="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夜间</w:t>
                  </w:r>
                  <w:r>
                    <w:rPr>
                      <w:rFonts w:hint="default" w:ascii="Times New Roman" w:hAnsi="Times New Roman" w:cs="Times New Roman"/>
                      <w:color w:val="auto"/>
                      <w:sz w:val="21"/>
                      <w:szCs w:val="21"/>
                      <w:highlight w:val="none"/>
                    </w:rPr>
                    <w:t>贡献值</w:t>
                  </w:r>
                </w:p>
              </w:tc>
              <w:tc>
                <w:tcPr>
                  <w:tcW w:w="1944" w:type="dxa"/>
                  <w:noWrap w:val="0"/>
                  <w:vAlign w:val="center"/>
                </w:tcPr>
                <w:p w14:paraId="7BE7CA41">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1125" w:type="dxa"/>
                  <w:noWrap w:val="0"/>
                  <w:vAlign w:val="center"/>
                </w:tcPr>
                <w:p w14:paraId="1347F1A3">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6DBBC7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3" w:type="dxa"/>
                  <w:noWrap w:val="0"/>
                  <w:vAlign w:val="center"/>
                </w:tcPr>
                <w:p w14:paraId="33E5419B">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北侧厂界</w:t>
                  </w:r>
                </w:p>
              </w:tc>
              <w:tc>
                <w:tcPr>
                  <w:tcW w:w="1533" w:type="dxa"/>
                  <w:shd w:val="clear" w:color="auto" w:fill="auto"/>
                  <w:noWrap w:val="0"/>
                  <w:vAlign w:val="center"/>
                </w:tcPr>
                <w:p w14:paraId="28B13BB1">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40.15</w:t>
                  </w:r>
                </w:p>
              </w:tc>
              <w:tc>
                <w:tcPr>
                  <w:tcW w:w="1534" w:type="dxa"/>
                  <w:shd w:val="clear" w:color="auto" w:fill="auto"/>
                  <w:noWrap w:val="0"/>
                  <w:vAlign w:val="center"/>
                </w:tcPr>
                <w:p w14:paraId="72854AB6">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39.55</w:t>
                  </w:r>
                </w:p>
              </w:tc>
              <w:tc>
                <w:tcPr>
                  <w:tcW w:w="1944" w:type="dxa"/>
                  <w:noWrap w:val="0"/>
                  <w:vAlign w:val="center"/>
                </w:tcPr>
                <w:p w14:paraId="4774D403">
                  <w:pPr>
                    <w:pStyle w:val="60"/>
                    <w:bidi w:val="0"/>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rPr>
                    <w:t>昼</w:t>
                  </w:r>
                  <w:r>
                    <w:rPr>
                      <w:rFonts w:hint="eastAsia" w:cs="Times New Roman"/>
                      <w:color w:val="auto"/>
                      <w:sz w:val="21"/>
                      <w:szCs w:val="21"/>
                      <w:highlight w:val="none"/>
                      <w:lang w:val="en-US" w:eastAsia="zh-CN"/>
                    </w:rPr>
                    <w:t>/夜</w:t>
                  </w:r>
                  <w:r>
                    <w:rPr>
                      <w:rFonts w:hint="default" w:ascii="Times New Roman" w:hAnsi="Times New Roman" w:cs="Times New Roman"/>
                      <w:color w:val="auto"/>
                      <w:sz w:val="21"/>
                      <w:szCs w:val="21"/>
                      <w:highlight w:val="none"/>
                    </w:rPr>
                    <w:t>间</w:t>
                  </w:r>
                  <w:r>
                    <w:rPr>
                      <w:rFonts w:hint="default" w:ascii="Times New Roman" w:hAnsi="Times New Roman" w:cs="Times New Roman"/>
                      <w:color w:val="auto"/>
                      <w:sz w:val="21"/>
                      <w:szCs w:val="21"/>
                      <w:highlight w:val="none"/>
                      <w:lang w:eastAsia="zh-CN"/>
                    </w:rPr>
                    <w:t>：</w:t>
                  </w:r>
                  <w:r>
                    <w:rPr>
                      <w:rFonts w:hint="eastAsia" w:cs="Times New Roman"/>
                      <w:color w:val="auto"/>
                      <w:sz w:val="21"/>
                      <w:szCs w:val="21"/>
                      <w:highlight w:val="none"/>
                      <w:lang w:val="en-US" w:eastAsia="zh-CN"/>
                    </w:rPr>
                    <w:t>60/50</w:t>
                  </w:r>
                </w:p>
              </w:tc>
              <w:tc>
                <w:tcPr>
                  <w:tcW w:w="1125" w:type="dxa"/>
                  <w:noWrap w:val="0"/>
                  <w:vAlign w:val="center"/>
                </w:tcPr>
                <w:p w14:paraId="56C69415">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80A8A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3" w:type="dxa"/>
                  <w:noWrap w:val="0"/>
                  <w:vAlign w:val="center"/>
                </w:tcPr>
                <w:p w14:paraId="4CE531E2">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东侧厂界</w:t>
                  </w:r>
                </w:p>
              </w:tc>
              <w:tc>
                <w:tcPr>
                  <w:tcW w:w="1533" w:type="dxa"/>
                  <w:noWrap w:val="0"/>
                  <w:vAlign w:val="center"/>
                </w:tcPr>
                <w:p w14:paraId="35BC635D">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36.78</w:t>
                  </w:r>
                </w:p>
              </w:tc>
              <w:tc>
                <w:tcPr>
                  <w:tcW w:w="1534" w:type="dxa"/>
                  <w:noWrap w:val="0"/>
                  <w:vAlign w:val="center"/>
                </w:tcPr>
                <w:p w14:paraId="2BAA86E9">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36.14</w:t>
                  </w:r>
                </w:p>
              </w:tc>
              <w:tc>
                <w:tcPr>
                  <w:tcW w:w="1944" w:type="dxa"/>
                  <w:noWrap w:val="0"/>
                  <w:vAlign w:val="center"/>
                </w:tcPr>
                <w:p w14:paraId="052CD8E1">
                  <w:pPr>
                    <w:pStyle w:val="60"/>
                    <w:bidi w:val="0"/>
                    <w:rPr>
                      <w:rFonts w:hint="default"/>
                      <w:color w:val="auto"/>
                      <w:sz w:val="21"/>
                      <w:szCs w:val="21"/>
                      <w:highlight w:val="none"/>
                      <w:lang w:val="en-US"/>
                    </w:rPr>
                  </w:pPr>
                  <w:r>
                    <w:rPr>
                      <w:rFonts w:hint="default"/>
                      <w:color w:val="auto"/>
                      <w:sz w:val="21"/>
                      <w:szCs w:val="21"/>
                      <w:highlight w:val="none"/>
                    </w:rPr>
                    <w:t>昼</w:t>
                  </w:r>
                  <w:r>
                    <w:rPr>
                      <w:rFonts w:hint="eastAsia"/>
                      <w:color w:val="auto"/>
                      <w:sz w:val="21"/>
                      <w:szCs w:val="21"/>
                      <w:highlight w:val="none"/>
                      <w:lang w:val="en-US" w:eastAsia="zh-CN"/>
                    </w:rPr>
                    <w:t>/夜</w:t>
                  </w:r>
                  <w:r>
                    <w:rPr>
                      <w:rFonts w:hint="default"/>
                      <w:color w:val="auto"/>
                      <w:sz w:val="21"/>
                      <w:szCs w:val="21"/>
                      <w:highlight w:val="none"/>
                    </w:rPr>
                    <w:t>间</w:t>
                  </w:r>
                  <w:r>
                    <w:rPr>
                      <w:rFonts w:hint="default"/>
                      <w:color w:val="auto"/>
                      <w:sz w:val="21"/>
                      <w:szCs w:val="21"/>
                      <w:highlight w:val="none"/>
                      <w:lang w:eastAsia="zh-CN"/>
                    </w:rPr>
                    <w:t>：</w:t>
                  </w:r>
                  <w:r>
                    <w:rPr>
                      <w:rFonts w:hint="eastAsia" w:cs="Times New Roman"/>
                      <w:color w:val="auto"/>
                      <w:sz w:val="21"/>
                      <w:szCs w:val="21"/>
                      <w:highlight w:val="none"/>
                      <w:lang w:val="en-US" w:eastAsia="zh-CN"/>
                    </w:rPr>
                    <w:t>60/50</w:t>
                  </w:r>
                </w:p>
              </w:tc>
              <w:tc>
                <w:tcPr>
                  <w:tcW w:w="1125" w:type="dxa"/>
                  <w:noWrap w:val="0"/>
                  <w:vAlign w:val="center"/>
                </w:tcPr>
                <w:p w14:paraId="1A185CD9">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AE437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3" w:type="dxa"/>
                  <w:noWrap w:val="0"/>
                  <w:vAlign w:val="center"/>
                </w:tcPr>
                <w:p w14:paraId="34F385B2">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南侧厂界</w:t>
                  </w:r>
                </w:p>
              </w:tc>
              <w:tc>
                <w:tcPr>
                  <w:tcW w:w="1533" w:type="dxa"/>
                  <w:noWrap w:val="0"/>
                  <w:vAlign w:val="center"/>
                </w:tcPr>
                <w:p w14:paraId="4B38103E">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45.32</w:t>
                  </w:r>
                </w:p>
              </w:tc>
              <w:tc>
                <w:tcPr>
                  <w:tcW w:w="1534" w:type="dxa"/>
                  <w:noWrap w:val="0"/>
                  <w:vAlign w:val="center"/>
                </w:tcPr>
                <w:p w14:paraId="2CEA7A6C">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45.17</w:t>
                  </w:r>
                </w:p>
              </w:tc>
              <w:tc>
                <w:tcPr>
                  <w:tcW w:w="1944" w:type="dxa"/>
                  <w:noWrap w:val="0"/>
                  <w:vAlign w:val="center"/>
                </w:tcPr>
                <w:p w14:paraId="603BC38D">
                  <w:pPr>
                    <w:pStyle w:val="60"/>
                    <w:bidi w:val="0"/>
                    <w:rPr>
                      <w:rFonts w:hint="default"/>
                      <w:color w:val="auto"/>
                      <w:sz w:val="21"/>
                      <w:szCs w:val="21"/>
                      <w:highlight w:val="none"/>
                      <w:lang w:val="en-US"/>
                    </w:rPr>
                  </w:pPr>
                  <w:r>
                    <w:rPr>
                      <w:rFonts w:hint="default"/>
                      <w:color w:val="auto"/>
                      <w:sz w:val="21"/>
                      <w:szCs w:val="21"/>
                      <w:highlight w:val="none"/>
                    </w:rPr>
                    <w:t>昼</w:t>
                  </w:r>
                  <w:r>
                    <w:rPr>
                      <w:rFonts w:hint="eastAsia"/>
                      <w:color w:val="auto"/>
                      <w:sz w:val="21"/>
                      <w:szCs w:val="21"/>
                      <w:highlight w:val="none"/>
                      <w:lang w:val="en-US" w:eastAsia="zh-CN"/>
                    </w:rPr>
                    <w:t>/夜</w:t>
                  </w:r>
                  <w:r>
                    <w:rPr>
                      <w:rFonts w:hint="default"/>
                      <w:color w:val="auto"/>
                      <w:sz w:val="21"/>
                      <w:szCs w:val="21"/>
                      <w:highlight w:val="none"/>
                    </w:rPr>
                    <w:t>间</w:t>
                  </w:r>
                  <w:r>
                    <w:rPr>
                      <w:rFonts w:hint="default"/>
                      <w:color w:val="auto"/>
                      <w:sz w:val="21"/>
                      <w:szCs w:val="21"/>
                      <w:highlight w:val="none"/>
                      <w:lang w:eastAsia="zh-CN"/>
                    </w:rPr>
                    <w:t>：</w:t>
                  </w:r>
                  <w:r>
                    <w:rPr>
                      <w:rFonts w:hint="eastAsia" w:cs="Times New Roman"/>
                      <w:color w:val="auto"/>
                      <w:sz w:val="21"/>
                      <w:szCs w:val="21"/>
                      <w:highlight w:val="none"/>
                      <w:lang w:val="en-US" w:eastAsia="zh-CN"/>
                    </w:rPr>
                    <w:t>60/50</w:t>
                  </w:r>
                </w:p>
              </w:tc>
              <w:tc>
                <w:tcPr>
                  <w:tcW w:w="1125" w:type="dxa"/>
                  <w:noWrap w:val="0"/>
                  <w:vAlign w:val="center"/>
                </w:tcPr>
                <w:p w14:paraId="17FE442E">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ECC9C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3" w:type="dxa"/>
                  <w:noWrap w:val="0"/>
                  <w:vAlign w:val="center"/>
                </w:tcPr>
                <w:p w14:paraId="7CF38D3D">
                  <w:pPr>
                    <w:pStyle w:val="60"/>
                    <w:bidi w:val="0"/>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西侧厂界</w:t>
                  </w:r>
                </w:p>
              </w:tc>
              <w:tc>
                <w:tcPr>
                  <w:tcW w:w="1533" w:type="dxa"/>
                  <w:noWrap w:val="0"/>
                  <w:vAlign w:val="center"/>
                </w:tcPr>
                <w:p w14:paraId="067139D0">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34.39</w:t>
                  </w:r>
                </w:p>
              </w:tc>
              <w:tc>
                <w:tcPr>
                  <w:tcW w:w="1534" w:type="dxa"/>
                  <w:noWrap w:val="0"/>
                  <w:vAlign w:val="center"/>
                </w:tcPr>
                <w:p w14:paraId="1E06120D">
                  <w:pPr>
                    <w:pStyle w:val="60"/>
                    <w:bidi w:val="0"/>
                    <w:ind w:firstLine="0" w:firstLineChars="0"/>
                    <w:rPr>
                      <w:rFonts w:hint="default"/>
                      <w:sz w:val="21"/>
                      <w:szCs w:val="21"/>
                      <w:lang w:val="en-US" w:eastAsia="zh-CN"/>
                    </w:rPr>
                  </w:pPr>
                  <w:r>
                    <w:rPr>
                      <w:rFonts w:hint="eastAsia"/>
                      <w:color w:val="auto"/>
                      <w:sz w:val="21"/>
                      <w:szCs w:val="21"/>
                      <w:highlight w:val="none"/>
                      <w:lang w:val="en-US" w:eastAsia="zh-CN"/>
                    </w:rPr>
                    <w:t>33.85</w:t>
                  </w:r>
                </w:p>
              </w:tc>
              <w:tc>
                <w:tcPr>
                  <w:tcW w:w="1944" w:type="dxa"/>
                  <w:noWrap w:val="0"/>
                  <w:vAlign w:val="center"/>
                </w:tcPr>
                <w:p w14:paraId="775B0038">
                  <w:pPr>
                    <w:pStyle w:val="60"/>
                    <w:bidi w:val="0"/>
                    <w:rPr>
                      <w:rFonts w:hint="default"/>
                      <w:color w:val="auto"/>
                      <w:sz w:val="21"/>
                      <w:szCs w:val="21"/>
                      <w:highlight w:val="none"/>
                    </w:rPr>
                  </w:pPr>
                  <w:r>
                    <w:rPr>
                      <w:rFonts w:hint="default"/>
                      <w:color w:val="auto"/>
                      <w:sz w:val="21"/>
                      <w:szCs w:val="21"/>
                      <w:highlight w:val="none"/>
                    </w:rPr>
                    <w:t>昼</w:t>
                  </w:r>
                  <w:r>
                    <w:rPr>
                      <w:rFonts w:hint="eastAsia"/>
                      <w:color w:val="auto"/>
                      <w:sz w:val="21"/>
                      <w:szCs w:val="21"/>
                      <w:highlight w:val="none"/>
                      <w:lang w:val="en-US" w:eastAsia="zh-CN"/>
                    </w:rPr>
                    <w:t>/夜</w:t>
                  </w:r>
                  <w:r>
                    <w:rPr>
                      <w:rFonts w:hint="default"/>
                      <w:color w:val="auto"/>
                      <w:sz w:val="21"/>
                      <w:szCs w:val="21"/>
                      <w:highlight w:val="none"/>
                    </w:rPr>
                    <w:t>间</w:t>
                  </w:r>
                  <w:r>
                    <w:rPr>
                      <w:rFonts w:hint="default"/>
                      <w:color w:val="auto"/>
                      <w:sz w:val="21"/>
                      <w:szCs w:val="21"/>
                      <w:highlight w:val="none"/>
                      <w:lang w:eastAsia="zh-CN"/>
                    </w:rPr>
                    <w:t>：</w:t>
                  </w:r>
                  <w:r>
                    <w:rPr>
                      <w:rFonts w:hint="eastAsia" w:cs="Times New Roman"/>
                      <w:color w:val="auto"/>
                      <w:sz w:val="21"/>
                      <w:szCs w:val="21"/>
                      <w:highlight w:val="none"/>
                      <w:lang w:val="en-US" w:eastAsia="zh-CN"/>
                    </w:rPr>
                    <w:t>60/50</w:t>
                  </w:r>
                </w:p>
              </w:tc>
              <w:tc>
                <w:tcPr>
                  <w:tcW w:w="1125" w:type="dxa"/>
                  <w:noWrap w:val="0"/>
                  <w:vAlign w:val="center"/>
                </w:tcPr>
                <w:p w14:paraId="548E5B65">
                  <w:pPr>
                    <w:pStyle w:val="60"/>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334B79CF">
            <w:pPr>
              <w:pStyle w:val="46"/>
              <w:keepNext w:val="0"/>
              <w:keepLines w:val="0"/>
              <w:pageBreakBefore w:val="0"/>
              <w:widowControl w:val="0"/>
              <w:kinsoku/>
              <w:wordWrap w:val="0"/>
              <w:overflowPunct/>
              <w:topLinePunct/>
              <w:autoSpaceDE/>
              <w:autoSpaceDN/>
              <w:bidi w:val="0"/>
              <w:adjustRightInd/>
              <w:snapToGrid/>
              <w:spacing w:before="157" w:beforeLines="50"/>
              <w:textAlignment w:val="auto"/>
              <w:rPr>
                <w:rFonts w:hint="default"/>
                <w:color w:val="auto"/>
                <w:highlight w:val="none"/>
              </w:rPr>
            </w:pPr>
            <w:r>
              <w:rPr>
                <w:rFonts w:hint="default" w:ascii="Times New Roman" w:hAnsi="Times New Roman" w:cs="Times New Roman"/>
                <w:color w:val="auto"/>
                <w:highlight w:val="none"/>
              </w:rPr>
              <w:t>本</w:t>
            </w:r>
            <w:r>
              <w:rPr>
                <w:rFonts w:hint="default" w:ascii="Times New Roman" w:hAnsi="Times New Roman" w:cs="Times New Roman"/>
                <w:color w:val="auto"/>
                <w:highlight w:val="none"/>
                <w:lang w:val="en-US" w:eastAsia="zh-CN"/>
              </w:rPr>
              <w:t>项目昼</w:t>
            </w:r>
            <w:r>
              <w:rPr>
                <w:rFonts w:hint="eastAsia" w:cs="Times New Roman"/>
                <w:color w:val="auto"/>
                <w:highlight w:val="none"/>
                <w:lang w:val="en-US" w:eastAsia="zh-CN"/>
              </w:rPr>
              <w:t>夜</w:t>
            </w:r>
            <w:r>
              <w:rPr>
                <w:rFonts w:hint="default" w:ascii="Times New Roman" w:hAnsi="Times New Roman" w:cs="Times New Roman"/>
                <w:color w:val="auto"/>
                <w:highlight w:val="none"/>
                <w:lang w:val="en-US" w:eastAsia="zh-CN"/>
              </w:rPr>
              <w:t>间</w:t>
            </w:r>
            <w:r>
              <w:rPr>
                <w:rFonts w:hint="eastAsia" w:cs="Times New Roman"/>
                <w:color w:val="auto"/>
                <w:highlight w:val="none"/>
                <w:lang w:val="en-US" w:eastAsia="zh-CN"/>
              </w:rPr>
              <w:t>均生产，筛分与运输仅在昼间进行，本项目</w:t>
            </w:r>
            <w:r>
              <w:rPr>
                <w:rFonts w:hint="default" w:ascii="Times New Roman" w:hAnsi="Times New Roman" w:cs="Times New Roman"/>
                <w:color w:val="auto"/>
                <w:highlight w:val="none"/>
              </w:rPr>
              <w:t>选用低噪声设备，经减振、</w:t>
            </w:r>
            <w:r>
              <w:rPr>
                <w:rFonts w:hint="default" w:ascii="Times New Roman" w:hAnsi="Times New Roman" w:cs="Times New Roman"/>
                <w:color w:val="auto"/>
                <w:highlight w:val="none"/>
                <w:lang w:val="en-US" w:eastAsia="zh-CN"/>
              </w:rPr>
              <w:t>消声、</w:t>
            </w:r>
            <w:r>
              <w:rPr>
                <w:rFonts w:hint="default" w:ascii="Times New Roman" w:hAnsi="Times New Roman" w:cs="Times New Roman"/>
                <w:color w:val="auto"/>
                <w:highlight w:val="none"/>
              </w:rPr>
              <w:t>隔声处理</w:t>
            </w:r>
            <w:r>
              <w:rPr>
                <w:rFonts w:hint="eastAsia" w:cs="Times New Roman"/>
                <w:color w:val="auto"/>
                <w:highlight w:val="none"/>
                <w:lang w:eastAsia="zh-CN"/>
              </w:rPr>
              <w:t>、</w:t>
            </w:r>
            <w:r>
              <w:rPr>
                <w:rFonts w:hint="eastAsia" w:cs="Times New Roman"/>
                <w:color w:val="auto"/>
                <w:highlight w:val="none"/>
                <w:lang w:val="en-US" w:eastAsia="zh-CN"/>
              </w:rPr>
              <w:t>限制车辆车速</w:t>
            </w:r>
            <w:r>
              <w:rPr>
                <w:rFonts w:hint="default" w:ascii="Times New Roman" w:hAnsi="Times New Roman" w:cs="Times New Roman"/>
                <w:color w:val="auto"/>
                <w:highlight w:val="none"/>
              </w:rPr>
              <w:t>等降噪措施后，一般可隔声2</w:t>
            </w:r>
            <w:r>
              <w:rPr>
                <w:rFonts w:hint="eastAsia" w:cs="Times New Roman"/>
                <w:color w:val="auto"/>
                <w:highlight w:val="none"/>
                <w:lang w:val="en-US" w:eastAsia="zh-CN"/>
              </w:rPr>
              <w:t>5</w:t>
            </w:r>
            <w:r>
              <w:rPr>
                <w:rFonts w:hint="default" w:ascii="Times New Roman" w:hAnsi="Times New Roman" w:cs="Times New Roman"/>
                <w:color w:val="auto"/>
                <w:highlight w:val="none"/>
              </w:rPr>
              <w:t>dB（A），据此本项目</w:t>
            </w:r>
            <w:r>
              <w:rPr>
                <w:rFonts w:hint="default" w:ascii="Times New Roman" w:hAnsi="Times New Roman" w:cs="Times New Roman"/>
                <w:color w:val="auto"/>
                <w:kern w:val="0"/>
                <w:sz w:val="24"/>
                <w:highlight w:val="none"/>
                <w:lang w:eastAsia="zh-CN"/>
              </w:rPr>
              <w:t>运营期</w:t>
            </w:r>
            <w:r>
              <w:rPr>
                <w:rFonts w:hint="default" w:ascii="Times New Roman" w:hAnsi="Times New Roman" w:cs="Times New Roman"/>
                <w:color w:val="auto"/>
                <w:sz w:val="24"/>
                <w:highlight w:val="none"/>
              </w:rPr>
              <w:t>厂界噪声</w:t>
            </w:r>
            <w:r>
              <w:rPr>
                <w:rFonts w:hint="default" w:ascii="Times New Roman" w:hAnsi="Times New Roman" w:cs="Times New Roman"/>
                <w:color w:val="auto"/>
                <w:sz w:val="24"/>
                <w:highlight w:val="none"/>
                <w:lang w:val="en-US" w:eastAsia="zh-CN"/>
              </w:rPr>
              <w:t>可</w:t>
            </w:r>
            <w:r>
              <w:rPr>
                <w:rFonts w:hint="default" w:ascii="Times New Roman" w:hAnsi="Times New Roman" w:cs="Times New Roman"/>
                <w:color w:val="auto"/>
                <w:kern w:val="0"/>
                <w:sz w:val="24"/>
                <w:highlight w:val="none"/>
                <w:lang w:val="en-US" w:eastAsia="zh-CN"/>
              </w:rPr>
              <w:t>满足</w:t>
            </w:r>
            <w:r>
              <w:rPr>
                <w:rFonts w:hint="default" w:ascii="Times New Roman" w:hAnsi="Times New Roman" w:cs="Times New Roman"/>
                <w:color w:val="auto"/>
                <w:kern w:val="0"/>
                <w:sz w:val="24"/>
                <w:highlight w:val="none"/>
                <w:lang w:eastAsia="zh-CN"/>
              </w:rPr>
              <w:t>《工业企业厂界环境噪声排放标准》（GB12348-2008）</w:t>
            </w:r>
            <w:r>
              <w:rPr>
                <w:rFonts w:hint="eastAsia" w:cs="Times New Roman"/>
                <w:color w:val="auto"/>
                <w:kern w:val="0"/>
                <w:sz w:val="24"/>
                <w:highlight w:val="none"/>
                <w:lang w:eastAsia="zh-CN"/>
              </w:rPr>
              <w:t>表1中2类</w:t>
            </w:r>
            <w:r>
              <w:rPr>
                <w:rFonts w:hint="default" w:ascii="Times New Roman" w:hAnsi="Times New Roman" w:cs="Times New Roman"/>
                <w:color w:val="auto"/>
                <w:kern w:val="0"/>
                <w:sz w:val="24"/>
                <w:highlight w:val="none"/>
                <w:lang w:eastAsia="zh-CN"/>
              </w:rPr>
              <w:t>标准要求</w:t>
            </w:r>
            <w:r>
              <w:rPr>
                <w:rFonts w:hint="default" w:ascii="Times New Roman" w:hAnsi="Times New Roman" w:cs="Times New Roman"/>
                <w:color w:val="auto"/>
                <w:highlight w:val="none"/>
              </w:rPr>
              <w:t>。</w:t>
            </w:r>
          </w:p>
          <w:p w14:paraId="1EEF3085">
            <w:pPr>
              <w:pStyle w:val="46"/>
              <w:bidi w:val="0"/>
              <w:rPr>
                <w:rFonts w:hint="default"/>
                <w:color w:val="auto"/>
                <w:highlight w:val="none"/>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）监测要求</w:t>
            </w:r>
          </w:p>
          <w:p w14:paraId="217C3D81">
            <w:pPr>
              <w:pStyle w:val="46"/>
              <w:bidi w:val="0"/>
              <w:rPr>
                <w:rFonts w:hint="default"/>
                <w:color w:val="auto"/>
                <w:highlight w:val="none"/>
              </w:rPr>
            </w:pPr>
            <w:r>
              <w:rPr>
                <w:rFonts w:hint="default"/>
                <w:color w:val="auto"/>
                <w:highlight w:val="none"/>
              </w:rPr>
              <w:t>根据</w:t>
            </w:r>
            <w:r>
              <w:rPr>
                <w:rFonts w:hint="default"/>
                <w:color w:val="auto"/>
                <w:highlight w:val="none"/>
                <w:lang w:eastAsia="zh-CN"/>
              </w:rPr>
              <w:t>《</w:t>
            </w:r>
            <w:r>
              <w:rPr>
                <w:rFonts w:hint="default"/>
                <w:color w:val="auto"/>
                <w:highlight w:val="none"/>
              </w:rPr>
              <w:t xml:space="preserve">排污单位自行监测技术指南 </w:t>
            </w:r>
            <w:r>
              <w:rPr>
                <w:rFonts w:hint="default"/>
                <w:color w:val="auto"/>
                <w:highlight w:val="none"/>
                <w:lang w:val="en-US" w:eastAsia="zh-CN"/>
              </w:rPr>
              <w:t>总则</w:t>
            </w:r>
            <w:r>
              <w:rPr>
                <w:rFonts w:hint="default"/>
                <w:color w:val="auto"/>
                <w:highlight w:val="none"/>
              </w:rPr>
              <w:t>》（HJ</w:t>
            </w:r>
            <w:r>
              <w:rPr>
                <w:rFonts w:hint="default"/>
                <w:color w:val="auto"/>
                <w:highlight w:val="none"/>
                <w:lang w:val="en-US" w:eastAsia="zh-CN"/>
              </w:rPr>
              <w:t xml:space="preserve"> 819</w:t>
            </w:r>
            <w:r>
              <w:rPr>
                <w:rFonts w:hint="default"/>
                <w:color w:val="auto"/>
                <w:highlight w:val="none"/>
              </w:rPr>
              <w:t>-20</w:t>
            </w:r>
            <w:r>
              <w:rPr>
                <w:rFonts w:hint="default"/>
                <w:color w:val="auto"/>
                <w:highlight w:val="none"/>
                <w:lang w:val="en-US" w:eastAsia="zh-CN"/>
              </w:rPr>
              <w:t>17</w:t>
            </w:r>
            <w:r>
              <w:rPr>
                <w:rFonts w:hint="default"/>
                <w:color w:val="auto"/>
                <w:highlight w:val="none"/>
              </w:rPr>
              <w:t>）</w:t>
            </w:r>
            <w:r>
              <w:rPr>
                <w:rFonts w:hint="eastAsia"/>
                <w:color w:val="auto"/>
                <w:highlight w:val="none"/>
                <w:lang w:eastAsia="zh-CN"/>
              </w:rPr>
              <w:t>、《排污许可证申请与核发技术规范</w:t>
            </w:r>
            <w:r>
              <w:rPr>
                <w:rFonts w:hint="eastAsia"/>
                <w:color w:val="auto"/>
                <w:highlight w:val="none"/>
                <w:lang w:val="en-US" w:eastAsia="zh-CN"/>
              </w:rPr>
              <w:t xml:space="preserve"> </w:t>
            </w:r>
            <w:r>
              <w:rPr>
                <w:rFonts w:hint="eastAsia"/>
                <w:color w:val="auto"/>
                <w:highlight w:val="none"/>
                <w:lang w:eastAsia="zh-CN"/>
              </w:rPr>
              <w:t>工业噪声》（</w:t>
            </w:r>
            <w:r>
              <w:rPr>
                <w:rFonts w:hint="default"/>
                <w:color w:val="auto"/>
                <w:highlight w:val="none"/>
              </w:rPr>
              <w:t>HJ</w:t>
            </w:r>
            <w:r>
              <w:rPr>
                <w:rFonts w:hint="eastAsia"/>
                <w:color w:val="auto"/>
                <w:highlight w:val="none"/>
                <w:lang w:val="en-US" w:eastAsia="zh-CN"/>
              </w:rPr>
              <w:t>1301-2023</w:t>
            </w:r>
            <w:r>
              <w:rPr>
                <w:rFonts w:hint="eastAsia"/>
                <w:color w:val="auto"/>
                <w:highlight w:val="none"/>
                <w:lang w:eastAsia="zh-CN"/>
              </w:rPr>
              <w:t>）</w:t>
            </w:r>
            <w:r>
              <w:rPr>
                <w:rFonts w:hint="default"/>
                <w:color w:val="auto"/>
                <w:highlight w:val="none"/>
              </w:rPr>
              <w:t>，噪声监测要求详见表4-</w:t>
            </w:r>
            <w:r>
              <w:rPr>
                <w:rFonts w:hint="eastAsia"/>
                <w:color w:val="auto"/>
                <w:highlight w:val="none"/>
                <w:lang w:val="en-US" w:eastAsia="zh-CN"/>
              </w:rPr>
              <w:t>15</w:t>
            </w:r>
            <w:r>
              <w:rPr>
                <w:rFonts w:hint="default"/>
                <w:color w:val="auto"/>
                <w:highlight w:val="none"/>
              </w:rPr>
              <w:t>。</w:t>
            </w:r>
          </w:p>
          <w:p w14:paraId="253CF49A">
            <w:pPr>
              <w:pStyle w:val="5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eastAsia" w:cs="Times New Roman"/>
                <w:color w:val="auto"/>
                <w:highlight w:val="none"/>
                <w:lang w:val="en-US" w:eastAsia="zh-CN"/>
              </w:rPr>
              <w:t>-15</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噪声自行</w:t>
            </w:r>
            <w:r>
              <w:rPr>
                <w:rFonts w:hint="default" w:ascii="Times New Roman" w:hAnsi="Times New Roman" w:cs="Times New Roman"/>
                <w:color w:val="auto"/>
                <w:highlight w:val="none"/>
              </w:rPr>
              <w:t>监测要求</w:t>
            </w:r>
          </w:p>
          <w:tbl>
            <w:tblPr>
              <w:tblStyle w:val="38"/>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1620"/>
              <w:gridCol w:w="3756"/>
            </w:tblGrid>
            <w:tr w14:paraId="0B10D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1489" w:type="pct"/>
                  <w:tcBorders>
                    <w:tl2br w:val="nil"/>
                    <w:tr2bl w:val="nil"/>
                  </w:tcBorders>
                  <w:noWrap w:val="0"/>
                  <w:vAlign w:val="center"/>
                </w:tcPr>
                <w:p w14:paraId="7A80821F">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噪声监测点位</w:t>
                  </w:r>
                </w:p>
              </w:tc>
              <w:tc>
                <w:tcPr>
                  <w:tcW w:w="1057" w:type="pct"/>
                  <w:tcBorders>
                    <w:tl2br w:val="nil"/>
                    <w:tr2bl w:val="nil"/>
                  </w:tcBorders>
                  <w:noWrap w:val="0"/>
                  <w:vAlign w:val="center"/>
                </w:tcPr>
                <w:p w14:paraId="0CE52698">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监测频次</w:t>
                  </w:r>
                </w:p>
              </w:tc>
              <w:tc>
                <w:tcPr>
                  <w:tcW w:w="2452" w:type="pct"/>
                  <w:tcBorders>
                    <w:tl2br w:val="nil"/>
                    <w:tr2bl w:val="nil"/>
                  </w:tcBorders>
                  <w:noWrap w:val="0"/>
                  <w:vAlign w:val="center"/>
                </w:tcPr>
                <w:p w14:paraId="3634EF10">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执行标准</w:t>
                  </w:r>
                </w:p>
              </w:tc>
            </w:tr>
            <w:tr w14:paraId="55665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9" w:type="pct"/>
                  <w:tcBorders>
                    <w:tl2br w:val="nil"/>
                    <w:tr2bl w:val="nil"/>
                  </w:tcBorders>
                  <w:noWrap w:val="0"/>
                  <w:vAlign w:val="center"/>
                </w:tcPr>
                <w:p w14:paraId="033B640D">
                  <w:pPr>
                    <w:pStyle w:val="60"/>
                    <w:bidi w:val="0"/>
                    <w:ind w:firstLine="0" w:firstLineChars="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厂界</w:t>
                  </w:r>
                  <w:r>
                    <w:rPr>
                      <w:rFonts w:hint="eastAsia" w:cs="Times New Roman"/>
                      <w:color w:val="auto"/>
                      <w:highlight w:val="none"/>
                      <w:lang w:val="en-US" w:eastAsia="zh-CN"/>
                    </w:rPr>
                    <w:t>四周</w:t>
                  </w:r>
                </w:p>
              </w:tc>
              <w:tc>
                <w:tcPr>
                  <w:tcW w:w="1057" w:type="pct"/>
                  <w:tcBorders>
                    <w:tl2br w:val="nil"/>
                    <w:tr2bl w:val="nil"/>
                  </w:tcBorders>
                  <w:noWrap w:val="0"/>
                  <w:vAlign w:val="center"/>
                </w:tcPr>
                <w:p w14:paraId="4D071F07">
                  <w:pPr>
                    <w:pStyle w:val="6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1次/季度</w:t>
                  </w:r>
                </w:p>
              </w:tc>
              <w:tc>
                <w:tcPr>
                  <w:tcW w:w="2452" w:type="pct"/>
                  <w:tcBorders>
                    <w:tl2br w:val="nil"/>
                    <w:tr2bl w:val="nil"/>
                  </w:tcBorders>
                  <w:noWrap w:val="0"/>
                  <w:vAlign w:val="center"/>
                </w:tcPr>
                <w:p w14:paraId="73FCAEA2">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《工业企业厂界环境噪声排放标准》（GB12348-2008）</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类</w:t>
                  </w:r>
                </w:p>
              </w:tc>
            </w:tr>
          </w:tbl>
          <w:p w14:paraId="4FB07B86">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color w:val="auto"/>
                <w:sz w:val="24"/>
                <w:highlight w:val="none"/>
              </w:rPr>
            </w:pPr>
            <w:r>
              <w:rPr>
                <w:rFonts w:hint="eastAsia" w:cs="Times New Roman"/>
                <w:b/>
                <w:bCs/>
                <w:color w:val="auto"/>
                <w:kern w:val="0"/>
                <w:sz w:val="24"/>
                <w:highlight w:val="none"/>
                <w:lang w:val="en-US" w:eastAsia="zh-CN"/>
              </w:rPr>
              <w:t>4.</w:t>
            </w:r>
            <w:r>
              <w:rPr>
                <w:rFonts w:hint="default" w:ascii="Times New Roman" w:hAnsi="Times New Roman" w:eastAsia="宋体" w:cs="Times New Roman"/>
                <w:b/>
                <w:color w:val="auto"/>
                <w:sz w:val="24"/>
                <w:highlight w:val="none"/>
              </w:rPr>
              <w:t>固体废物</w:t>
            </w:r>
          </w:p>
          <w:p w14:paraId="502E7002">
            <w:pPr>
              <w:pStyle w:val="46"/>
              <w:ind w:firstLine="480"/>
              <w:rPr>
                <w:color w:val="auto"/>
                <w:highlight w:val="none"/>
              </w:rPr>
            </w:pPr>
            <w:r>
              <w:rPr>
                <w:rFonts w:hint="eastAsia"/>
                <w:color w:val="auto"/>
                <w:highlight w:val="none"/>
              </w:rPr>
              <w:t>项目投入营运后，产生的固体废物主要为生活垃圾与生产废物：</w:t>
            </w:r>
            <w:r>
              <w:rPr>
                <w:rFonts w:hint="eastAsia"/>
                <w:color w:val="auto"/>
                <w:highlight w:val="none"/>
                <w:lang w:val="en-US" w:eastAsia="zh-CN"/>
              </w:rPr>
              <w:t>杂</w:t>
            </w:r>
            <w:r>
              <w:rPr>
                <w:rFonts w:hint="eastAsia"/>
                <w:color w:val="auto"/>
                <w:highlight w:val="none"/>
              </w:rPr>
              <w:t>质、收尘</w:t>
            </w:r>
            <w:r>
              <w:rPr>
                <w:rFonts w:hint="eastAsia"/>
                <w:color w:val="auto"/>
                <w:highlight w:val="none"/>
                <w:lang w:eastAsia="zh-CN"/>
              </w:rPr>
              <w:t>、</w:t>
            </w:r>
            <w:r>
              <w:rPr>
                <w:rFonts w:hint="eastAsia"/>
                <w:color w:val="auto"/>
                <w:highlight w:val="none"/>
                <w:lang w:val="en-US" w:eastAsia="zh-CN"/>
              </w:rPr>
              <w:t>灰渣、废布袋等</w:t>
            </w:r>
            <w:r>
              <w:rPr>
                <w:rFonts w:hint="eastAsia"/>
                <w:color w:val="auto"/>
                <w:highlight w:val="none"/>
              </w:rPr>
              <w:t>。</w:t>
            </w:r>
          </w:p>
          <w:p w14:paraId="0ACAC4A6">
            <w:pPr>
              <w:pStyle w:val="46"/>
              <w:ind w:firstLine="480"/>
              <w:rPr>
                <w:color w:val="auto"/>
                <w:highlight w:val="none"/>
              </w:rPr>
            </w:pPr>
            <w:r>
              <w:rPr>
                <w:rFonts w:hint="eastAsia"/>
                <w:color w:val="auto"/>
                <w:highlight w:val="none"/>
              </w:rPr>
              <w:t>（1）生活垃圾</w:t>
            </w:r>
          </w:p>
          <w:p w14:paraId="73667D7B">
            <w:pPr>
              <w:pStyle w:val="46"/>
              <w:bidi w:val="0"/>
              <w:rPr>
                <w:rFonts w:hint="default"/>
                <w:color w:val="auto"/>
                <w:highlight w:val="none"/>
                <w:lang w:val="en-US" w:eastAsia="zh-CN"/>
              </w:rPr>
            </w:pPr>
            <w:r>
              <w:rPr>
                <w:rFonts w:hint="default"/>
                <w:color w:val="auto"/>
                <w:highlight w:val="none"/>
                <w:lang w:val="en-US" w:eastAsia="zh-CN"/>
              </w:rPr>
              <w:t>运营期劳动定员为</w:t>
            </w:r>
            <w:r>
              <w:rPr>
                <w:rFonts w:hint="eastAsia"/>
                <w:color w:val="auto"/>
                <w:highlight w:val="none"/>
                <w:lang w:val="en-US" w:eastAsia="zh-CN"/>
              </w:rPr>
              <w:t>8</w:t>
            </w:r>
            <w:r>
              <w:rPr>
                <w:rFonts w:hint="default"/>
                <w:color w:val="auto"/>
                <w:highlight w:val="none"/>
                <w:lang w:val="en-US" w:eastAsia="zh-CN"/>
              </w:rPr>
              <w:t>人</w:t>
            </w:r>
            <w:r>
              <w:rPr>
                <w:rFonts w:hint="eastAsia"/>
                <w:color w:val="auto"/>
                <w:highlight w:val="none"/>
                <w:lang w:val="en-US" w:eastAsia="zh-CN"/>
              </w:rPr>
              <w:t>，</w:t>
            </w:r>
            <w:r>
              <w:rPr>
                <w:rFonts w:hint="default"/>
                <w:color w:val="auto"/>
                <w:highlight w:val="none"/>
                <w:lang w:val="en-US" w:eastAsia="zh-CN"/>
              </w:rPr>
              <w:t>年工作时长</w:t>
            </w:r>
            <w:r>
              <w:rPr>
                <w:rFonts w:hint="eastAsia"/>
                <w:color w:val="auto"/>
                <w:highlight w:val="none"/>
                <w:lang w:val="en-US" w:eastAsia="zh-CN"/>
              </w:rPr>
              <w:t>60</w:t>
            </w:r>
            <w:r>
              <w:rPr>
                <w:rFonts w:hint="default"/>
                <w:color w:val="auto"/>
                <w:highlight w:val="none"/>
                <w:lang w:val="en-US" w:eastAsia="zh-CN"/>
              </w:rPr>
              <w:t>d，生活垃圾产生量约为每人0.5kg/d，生活垃圾产生量为</w:t>
            </w:r>
            <w:r>
              <w:rPr>
                <w:rFonts w:hint="eastAsia"/>
                <w:color w:val="auto"/>
                <w:highlight w:val="none"/>
                <w:lang w:val="en-US" w:eastAsia="zh-CN"/>
              </w:rPr>
              <w:t>5</w:t>
            </w:r>
            <w:r>
              <w:rPr>
                <w:rFonts w:hint="default"/>
                <w:color w:val="auto"/>
                <w:highlight w:val="none"/>
                <w:lang w:val="en-US" w:eastAsia="zh-CN"/>
              </w:rPr>
              <w:t>kg/d</w:t>
            </w:r>
            <w:r>
              <w:rPr>
                <w:rFonts w:hint="eastAsia"/>
                <w:color w:val="auto"/>
                <w:highlight w:val="none"/>
                <w:lang w:val="en-US" w:eastAsia="zh-CN"/>
              </w:rPr>
              <w:t>，0.24</w:t>
            </w:r>
            <w:r>
              <w:rPr>
                <w:rFonts w:hint="default"/>
                <w:color w:val="auto"/>
                <w:highlight w:val="none"/>
                <w:lang w:val="en-US" w:eastAsia="zh-CN"/>
              </w:rPr>
              <w:t>t/a，集中收集后，由市政环卫部门处置。</w:t>
            </w:r>
          </w:p>
          <w:p w14:paraId="38BEFE53">
            <w:pPr>
              <w:pStyle w:val="46"/>
              <w:bidi w:val="0"/>
              <w:rPr>
                <w:rFonts w:hint="eastAsia"/>
                <w:color w:val="auto"/>
                <w:highlight w:val="none"/>
                <w:lang w:val="en-US" w:eastAsia="zh-CN"/>
              </w:rPr>
            </w:pPr>
            <w:r>
              <w:rPr>
                <w:rFonts w:hint="eastAsia"/>
                <w:color w:val="auto"/>
                <w:highlight w:val="none"/>
              </w:rPr>
              <w:t>（</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杂质</w:t>
            </w:r>
          </w:p>
          <w:p w14:paraId="25EDEAE4">
            <w:pPr>
              <w:pStyle w:val="46"/>
              <w:bidi w:val="0"/>
              <w:rPr>
                <w:rFonts w:hint="eastAsia"/>
                <w:color w:val="auto"/>
                <w:highlight w:val="none"/>
                <w:lang w:val="en-US" w:eastAsia="zh-CN"/>
              </w:rPr>
            </w:pPr>
            <w:r>
              <w:rPr>
                <w:rFonts w:hint="default"/>
                <w:color w:val="auto"/>
                <w:highlight w:val="none"/>
                <w:lang w:val="en-US" w:eastAsia="zh-CN"/>
              </w:rPr>
              <w:t>本项目</w:t>
            </w:r>
            <w:r>
              <w:rPr>
                <w:rFonts w:hint="eastAsia"/>
                <w:color w:val="auto"/>
                <w:highlight w:val="none"/>
                <w:lang w:val="en-US" w:eastAsia="zh-CN"/>
              </w:rPr>
              <w:t>收粮中含杂质为0.1%，故</w:t>
            </w:r>
            <w:r>
              <w:rPr>
                <w:rFonts w:hint="default"/>
                <w:color w:val="auto"/>
                <w:highlight w:val="none"/>
                <w:lang w:val="en-US" w:eastAsia="zh-CN"/>
              </w:rPr>
              <w:t>生产过程</w:t>
            </w:r>
            <w:r>
              <w:rPr>
                <w:rFonts w:hint="eastAsia"/>
                <w:color w:val="auto"/>
                <w:highlight w:val="none"/>
                <w:lang w:val="en-US" w:eastAsia="zh-CN"/>
              </w:rPr>
              <w:t>筛分</w:t>
            </w:r>
            <w:r>
              <w:rPr>
                <w:rFonts w:hint="default"/>
                <w:color w:val="auto"/>
                <w:highlight w:val="none"/>
                <w:lang w:val="en-US" w:eastAsia="zh-CN"/>
              </w:rPr>
              <w:t>产生的杂质为</w:t>
            </w:r>
            <w:r>
              <w:rPr>
                <w:rFonts w:hint="eastAsia"/>
                <w:color w:val="auto"/>
                <w:highlight w:val="none"/>
                <w:lang w:val="en-US" w:eastAsia="zh-CN"/>
              </w:rPr>
              <w:t>36</w:t>
            </w:r>
            <w:r>
              <w:rPr>
                <w:rFonts w:hint="default"/>
                <w:color w:val="auto"/>
                <w:highlight w:val="none"/>
                <w:lang w:val="en-US" w:eastAsia="zh-CN"/>
              </w:rPr>
              <w:t>t/a</w:t>
            </w:r>
            <w:r>
              <w:rPr>
                <w:rFonts w:hint="eastAsia"/>
                <w:color w:val="auto"/>
                <w:highlight w:val="none"/>
                <w:lang w:val="en-US" w:eastAsia="zh-CN"/>
              </w:rPr>
              <w:t>。</w:t>
            </w:r>
          </w:p>
          <w:p w14:paraId="27663679">
            <w:pPr>
              <w:pStyle w:val="46"/>
              <w:bidi w:val="0"/>
              <w:rPr>
                <w:color w:val="auto"/>
                <w:highlight w:val="none"/>
              </w:rPr>
            </w:pPr>
            <w:r>
              <w:rPr>
                <w:rFonts w:hint="eastAsia"/>
                <w:color w:val="auto"/>
                <w:highlight w:val="none"/>
              </w:rPr>
              <w:t>杂质中主要为不合格原粮，少部分为石子、泥沙等废物，分别收集，暂存于</w:t>
            </w:r>
            <w:r>
              <w:rPr>
                <w:rFonts w:hint="eastAsia"/>
                <w:color w:val="auto"/>
                <w:highlight w:val="none"/>
                <w:lang w:val="en-US" w:eastAsia="zh-CN"/>
              </w:rPr>
              <w:t>一般固废暂存间</w:t>
            </w:r>
            <w:r>
              <w:rPr>
                <w:rFonts w:hint="eastAsia"/>
                <w:color w:val="auto"/>
                <w:highlight w:val="none"/>
              </w:rPr>
              <w:t>内，</w:t>
            </w:r>
            <w:r>
              <w:rPr>
                <w:rFonts w:hint="eastAsia"/>
                <w:color w:val="auto"/>
                <w:highlight w:val="none"/>
                <w:lang w:eastAsia="zh-CN"/>
              </w:rPr>
              <w:t>不合格原粮</w:t>
            </w:r>
            <w:r>
              <w:rPr>
                <w:rFonts w:hint="eastAsia"/>
                <w:color w:val="auto"/>
                <w:highlight w:val="none"/>
              </w:rPr>
              <w:t>外售</w:t>
            </w:r>
            <w:r>
              <w:rPr>
                <w:rFonts w:hint="eastAsia"/>
                <w:color w:val="auto"/>
                <w:highlight w:val="none"/>
                <w:lang w:val="en-US" w:eastAsia="zh-CN"/>
              </w:rPr>
              <w:t>饲料加工企业作为原料使用</w:t>
            </w:r>
            <w:r>
              <w:rPr>
                <w:rFonts w:hint="eastAsia"/>
                <w:color w:val="auto"/>
                <w:highlight w:val="none"/>
              </w:rPr>
              <w:t>，石子、泥沙等废物</w:t>
            </w:r>
            <w:r>
              <w:rPr>
                <w:rFonts w:hint="eastAsia"/>
                <w:color w:val="auto"/>
                <w:highlight w:val="none"/>
                <w:lang w:val="en-US" w:eastAsia="zh-CN"/>
              </w:rPr>
              <w:t>外售建材公司作为原料使用</w:t>
            </w:r>
            <w:r>
              <w:rPr>
                <w:rFonts w:hint="eastAsia"/>
                <w:color w:val="auto"/>
                <w:highlight w:val="none"/>
              </w:rPr>
              <w:t>。</w:t>
            </w:r>
          </w:p>
          <w:p w14:paraId="381DC411">
            <w:pPr>
              <w:pStyle w:val="45"/>
              <w:rPr>
                <w:rFonts w:hint="eastAsia"/>
                <w:color w:val="auto"/>
                <w:highlight w:val="none"/>
              </w:rPr>
            </w:pPr>
            <w:r>
              <w:rPr>
                <w:rFonts w:hint="eastAsia"/>
                <w:color w:val="auto"/>
                <w:highlight w:val="none"/>
                <w:lang w:val="en-US" w:eastAsia="zh-CN"/>
              </w:rPr>
              <w:t>（3）</w:t>
            </w:r>
            <w:r>
              <w:rPr>
                <w:rFonts w:hint="eastAsia"/>
                <w:color w:val="auto"/>
                <w:highlight w:val="none"/>
                <w:lang w:eastAsia="zh-CN"/>
              </w:rPr>
              <w:t>装卸、输送、</w:t>
            </w:r>
            <w:r>
              <w:rPr>
                <w:rFonts w:hint="eastAsia"/>
                <w:color w:val="auto"/>
                <w:highlight w:val="none"/>
                <w:lang w:val="en-US" w:eastAsia="zh-CN"/>
              </w:rPr>
              <w:t>筛分</w:t>
            </w:r>
            <w:r>
              <w:rPr>
                <w:rFonts w:hint="eastAsia"/>
                <w:color w:val="auto"/>
                <w:highlight w:val="none"/>
              </w:rPr>
              <w:t>等</w:t>
            </w:r>
            <w:r>
              <w:rPr>
                <w:color w:val="auto"/>
                <w:highlight w:val="none"/>
                <w:lang w:val="en-US" w:eastAsia="zh-CN"/>
              </w:rPr>
              <w:t>产生的</w:t>
            </w:r>
            <w:r>
              <w:rPr>
                <w:rFonts w:hint="eastAsia"/>
                <w:color w:val="auto"/>
                <w:highlight w:val="none"/>
                <w:lang w:val="en-US" w:eastAsia="zh-CN"/>
              </w:rPr>
              <w:t>收集</w:t>
            </w:r>
            <w:r>
              <w:rPr>
                <w:color w:val="auto"/>
                <w:highlight w:val="none"/>
                <w:lang w:val="en-US" w:eastAsia="zh-CN"/>
              </w:rPr>
              <w:t>粉尘</w:t>
            </w:r>
          </w:p>
          <w:p w14:paraId="074F690B">
            <w:pPr>
              <w:pStyle w:val="46"/>
              <w:ind w:firstLine="480"/>
              <w:rPr>
                <w:rFonts w:hint="eastAsia"/>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原粮</w:t>
            </w:r>
            <w:r>
              <w:rPr>
                <w:rFonts w:hint="default" w:ascii="Times New Roman" w:hAnsi="Times New Roman" w:cs="Times New Roman"/>
                <w:color w:val="auto"/>
                <w:highlight w:val="none"/>
              </w:rPr>
              <w:t>装卸、筛分、输送中会产生粉尘，</w:t>
            </w:r>
            <w:r>
              <w:rPr>
                <w:rFonts w:hint="eastAsia" w:cs="Times New Roman"/>
                <w:color w:val="auto"/>
                <w:highlight w:val="none"/>
                <w:lang w:val="en-US" w:eastAsia="zh-CN"/>
              </w:rPr>
              <w:t>根据废气源强核算章节，计算</w:t>
            </w:r>
            <w:r>
              <w:rPr>
                <w:rFonts w:hint="default" w:ascii="Times New Roman" w:hAnsi="Times New Roman" w:cs="Times New Roman"/>
                <w:color w:val="auto"/>
                <w:highlight w:val="none"/>
              </w:rPr>
              <w:t>收集粉尘量为</w:t>
            </w:r>
            <w:r>
              <w:rPr>
                <w:rFonts w:hint="eastAsia" w:cs="Times New Roman"/>
                <w:color w:val="auto"/>
                <w:highlight w:val="none"/>
                <w:lang w:val="en-US" w:eastAsia="zh-CN"/>
              </w:rPr>
              <w:t>6.70</w:t>
            </w:r>
            <w:r>
              <w:rPr>
                <w:rFonts w:hint="default" w:ascii="Times New Roman" w:hAnsi="Times New Roman" w:cs="Times New Roman"/>
                <w:color w:val="auto"/>
                <w:highlight w:val="none"/>
              </w:rPr>
              <w:t>t/a，收集后</w:t>
            </w:r>
            <w:r>
              <w:rPr>
                <w:rFonts w:hint="eastAsia"/>
                <w:color w:val="auto"/>
                <w:highlight w:val="none"/>
              </w:rPr>
              <w:t>外售</w:t>
            </w:r>
            <w:r>
              <w:rPr>
                <w:rFonts w:hint="eastAsia"/>
                <w:color w:val="auto"/>
                <w:highlight w:val="none"/>
                <w:lang w:val="en-US" w:eastAsia="zh-CN"/>
              </w:rPr>
              <w:t>饲料加工企业作为原料使用</w:t>
            </w:r>
            <w:r>
              <w:rPr>
                <w:rFonts w:hint="default" w:ascii="Times New Roman" w:hAnsi="Times New Roman" w:cs="Times New Roman"/>
                <w:color w:val="auto"/>
                <w:highlight w:val="none"/>
              </w:rPr>
              <w:t>。</w:t>
            </w:r>
          </w:p>
          <w:p w14:paraId="566EFC95">
            <w:pPr>
              <w:pStyle w:val="46"/>
              <w:ind w:firstLine="48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烘干塔</w:t>
            </w:r>
            <w:r>
              <w:rPr>
                <w:rFonts w:hint="eastAsia"/>
                <w:color w:val="auto"/>
                <w:highlight w:val="none"/>
                <w:lang w:val="en-US" w:eastAsia="zh-CN"/>
              </w:rPr>
              <w:t>收集</w:t>
            </w:r>
            <w:r>
              <w:rPr>
                <w:color w:val="auto"/>
                <w:highlight w:val="none"/>
              </w:rPr>
              <w:t>粉尘</w:t>
            </w:r>
          </w:p>
          <w:p w14:paraId="2EF54B58">
            <w:pPr>
              <w:pStyle w:val="46"/>
              <w:ind w:firstLine="480"/>
              <w:rPr>
                <w:rFonts w:hint="eastAsia"/>
                <w:color w:val="auto"/>
                <w:highlight w:val="none"/>
              </w:rPr>
            </w:pPr>
            <w:r>
              <w:rPr>
                <w:rFonts w:hint="default" w:ascii="Times New Roman" w:hAnsi="Times New Roman" w:cs="Times New Roman"/>
                <w:color w:val="auto"/>
                <w:highlight w:val="none"/>
              </w:rPr>
              <w:t>粮食经烘干塔烘干时产生粉尘，</w:t>
            </w:r>
            <w:r>
              <w:rPr>
                <w:rFonts w:hint="eastAsia" w:cs="Times New Roman"/>
                <w:color w:val="auto"/>
                <w:highlight w:val="none"/>
                <w:lang w:val="en-US" w:eastAsia="zh-CN"/>
              </w:rPr>
              <w:t>根据废气源强核算章节，</w:t>
            </w:r>
            <w:r>
              <w:rPr>
                <w:rFonts w:hint="default" w:ascii="Times New Roman" w:hAnsi="Times New Roman" w:cs="Times New Roman"/>
                <w:color w:val="auto"/>
                <w:highlight w:val="none"/>
              </w:rPr>
              <w:t>收集粉尘量为</w:t>
            </w:r>
            <w:r>
              <w:rPr>
                <w:rFonts w:hint="eastAsia" w:cs="Times New Roman"/>
                <w:color w:val="auto"/>
                <w:highlight w:val="none"/>
                <w:lang w:val="en-US" w:eastAsia="zh-CN"/>
              </w:rPr>
              <w:t>6.29</w:t>
            </w:r>
            <w:r>
              <w:rPr>
                <w:rFonts w:hint="default" w:ascii="Times New Roman" w:hAnsi="Times New Roman" w:cs="Times New Roman"/>
                <w:color w:val="auto"/>
                <w:highlight w:val="none"/>
              </w:rPr>
              <w:t>t/a，收集后</w:t>
            </w:r>
            <w:r>
              <w:rPr>
                <w:rFonts w:hint="eastAsia"/>
                <w:color w:val="auto"/>
                <w:highlight w:val="none"/>
              </w:rPr>
              <w:t>外售</w:t>
            </w:r>
            <w:r>
              <w:rPr>
                <w:rFonts w:hint="eastAsia"/>
                <w:color w:val="auto"/>
                <w:highlight w:val="none"/>
                <w:lang w:val="en-US" w:eastAsia="zh-CN"/>
              </w:rPr>
              <w:t>饲料加工企业作为原料使用</w:t>
            </w:r>
            <w:r>
              <w:rPr>
                <w:rFonts w:hint="eastAsia"/>
                <w:color w:val="auto"/>
                <w:highlight w:val="none"/>
              </w:rPr>
              <w:t>。</w:t>
            </w:r>
          </w:p>
          <w:p w14:paraId="39F73FF0">
            <w:pPr>
              <w:pStyle w:val="46"/>
              <w:bidi w:val="0"/>
              <w:rPr>
                <w:rFonts w:hint="eastAsia"/>
                <w:color w:val="auto"/>
                <w:highlight w:val="none"/>
                <w:lang w:val="en-US" w:eastAsia="zh-CN"/>
              </w:rPr>
            </w:pPr>
            <w:r>
              <w:rPr>
                <w:rFonts w:hint="eastAsia"/>
                <w:color w:val="auto"/>
                <w:highlight w:val="none"/>
                <w:lang w:val="en-US" w:eastAsia="zh-CN"/>
              </w:rPr>
              <w:t>（5）热风炉灰渣</w:t>
            </w:r>
          </w:p>
          <w:p w14:paraId="78FEBB77">
            <w:pPr>
              <w:pStyle w:val="46"/>
              <w:bidi w:val="0"/>
              <w:rPr>
                <w:rFonts w:hint="eastAsia"/>
                <w:color w:val="auto"/>
                <w:highlight w:val="none"/>
                <w:lang w:val="en-US" w:eastAsia="zh-CN"/>
              </w:rPr>
            </w:pPr>
            <w:r>
              <w:rPr>
                <w:color w:val="auto"/>
                <w:highlight w:val="none"/>
                <w:lang w:val="en-US" w:eastAsia="zh-CN"/>
              </w:rPr>
              <w:t>本项目热风炉灰渣产生量根据《</w:t>
            </w:r>
            <w:r>
              <w:rPr>
                <w:rFonts w:hint="eastAsia"/>
                <w:color w:val="auto"/>
                <w:highlight w:val="none"/>
                <w:lang w:val="en-US" w:eastAsia="zh-CN"/>
              </w:rPr>
              <w:t>污染源源强核算技术指南 锅炉</w:t>
            </w:r>
            <w:r>
              <w:rPr>
                <w:color w:val="auto"/>
                <w:highlight w:val="none"/>
                <w:lang w:val="en-US" w:eastAsia="zh-CN"/>
              </w:rPr>
              <w:t>》（</w:t>
            </w:r>
            <w:r>
              <w:rPr>
                <w:rFonts w:hint="eastAsia"/>
                <w:color w:val="auto"/>
                <w:highlight w:val="none"/>
                <w:lang w:val="en-US" w:eastAsia="zh-CN"/>
              </w:rPr>
              <w:t>H</w:t>
            </w:r>
            <w:r>
              <w:rPr>
                <w:color w:val="auto"/>
                <w:highlight w:val="none"/>
                <w:lang w:val="en-US" w:eastAsia="zh-CN"/>
              </w:rPr>
              <w:t>J991-2018）</w:t>
            </w:r>
            <w:r>
              <w:rPr>
                <w:rFonts w:hint="eastAsia"/>
                <w:color w:val="auto"/>
                <w:highlight w:val="none"/>
                <w:lang w:val="en-US" w:eastAsia="zh-CN"/>
              </w:rPr>
              <w:t>计算，公式：</w:t>
            </w:r>
          </w:p>
          <w:p w14:paraId="0307F1C0">
            <w:pPr>
              <w:pStyle w:val="46"/>
              <w:bidi w:val="0"/>
              <w:jc w:val="center"/>
              <w:rPr>
                <w:rFonts w:hint="eastAsia"/>
                <w:color w:val="auto"/>
                <w:highlight w:val="none"/>
                <w:lang w:val="en-US" w:eastAsia="zh-CN"/>
              </w:rPr>
            </w:pPr>
            <w:r>
              <w:rPr>
                <w:color w:val="auto"/>
                <w:highlight w:val="none"/>
              </w:rPr>
              <w:drawing>
                <wp:inline distT="0" distB="0" distL="114300" distR="114300">
                  <wp:extent cx="1933575" cy="42862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1933575" cy="428625"/>
                          </a:xfrm>
                          <a:prstGeom prst="rect">
                            <a:avLst/>
                          </a:prstGeom>
                        </pic:spPr>
                      </pic:pic>
                    </a:graphicData>
                  </a:graphic>
                </wp:inline>
              </w:drawing>
            </w:r>
          </w:p>
          <w:p w14:paraId="001B0663">
            <w:pPr>
              <w:pStyle w:val="46"/>
              <w:bidi w:val="0"/>
              <w:rPr>
                <w:rFonts w:hint="eastAsia"/>
                <w:color w:val="auto"/>
                <w:highlight w:val="none"/>
                <w:lang w:val="en-US" w:eastAsia="zh-CN"/>
              </w:rPr>
            </w:pPr>
            <w:r>
              <w:rPr>
                <w:rFonts w:hint="eastAsia"/>
                <w:color w:val="auto"/>
                <w:highlight w:val="none"/>
                <w:lang w:val="en-US" w:eastAsia="zh-CN"/>
              </w:rPr>
              <w:t>式中：</w:t>
            </w:r>
          </w:p>
          <w:p w14:paraId="575BE0D5">
            <w:pPr>
              <w:pStyle w:val="46"/>
              <w:bidi w:val="0"/>
              <w:rPr>
                <w:rFonts w:hint="eastAsia"/>
                <w:color w:val="auto"/>
                <w:highlight w:val="none"/>
                <w:lang w:val="en-US" w:eastAsia="zh-CN"/>
              </w:rPr>
            </w:pPr>
            <w:r>
              <w:rPr>
                <w:rFonts w:hint="eastAsia"/>
                <w:color w:val="auto"/>
                <w:highlight w:val="none"/>
                <w:lang w:val="en-US" w:eastAsia="zh-CN"/>
              </w:rPr>
              <w:t>Ehz-----核算时段内灰渣产生量，t；</w:t>
            </w:r>
          </w:p>
          <w:p w14:paraId="4B724260">
            <w:pPr>
              <w:pStyle w:val="46"/>
              <w:bidi w:val="0"/>
              <w:rPr>
                <w:rFonts w:hint="eastAsia"/>
                <w:color w:val="auto"/>
                <w:highlight w:val="none"/>
                <w:lang w:val="en-US" w:eastAsia="zh-CN"/>
              </w:rPr>
            </w:pPr>
            <w:r>
              <w:rPr>
                <w:rFonts w:hint="eastAsia"/>
                <w:color w:val="auto"/>
                <w:highlight w:val="none"/>
                <w:lang w:val="en-US" w:eastAsia="zh-CN"/>
              </w:rPr>
              <w:t>R-----核算时段内锅炉燃料耗量，3050.13t；</w:t>
            </w:r>
          </w:p>
          <w:p w14:paraId="7505C3A0">
            <w:pPr>
              <w:pStyle w:val="46"/>
              <w:bidi w:val="0"/>
              <w:rPr>
                <w:rFonts w:hint="eastAsia"/>
                <w:color w:val="auto"/>
                <w:highlight w:val="none"/>
                <w:lang w:val="en-US" w:eastAsia="zh-CN"/>
              </w:rPr>
            </w:pPr>
            <w:r>
              <w:rPr>
                <w:rFonts w:hint="eastAsia"/>
                <w:color w:val="auto"/>
                <w:highlight w:val="none"/>
                <w:lang w:val="en-US" w:eastAsia="zh-CN"/>
              </w:rPr>
              <w:t>Aar-----收到基灰分的质量分数，计算得0.33%；</w:t>
            </w:r>
          </w:p>
          <w:p w14:paraId="222F8B1B">
            <w:pPr>
              <w:pStyle w:val="46"/>
              <w:bidi w:val="0"/>
              <w:rPr>
                <w:rFonts w:hint="eastAsia"/>
                <w:color w:val="auto"/>
                <w:highlight w:val="none"/>
                <w:lang w:val="en-US" w:eastAsia="zh-CN"/>
              </w:rPr>
            </w:pPr>
            <w:r>
              <w:rPr>
                <w:rFonts w:hint="eastAsia"/>
                <w:color w:val="auto"/>
                <w:highlight w:val="none"/>
                <w:lang w:val="en-US" w:eastAsia="zh-CN"/>
              </w:rPr>
              <w:t>q4-----锅炉机械不完全燃烧热损失，</w:t>
            </w:r>
            <w:r>
              <w:rPr>
                <w:rFonts w:hint="default" w:ascii="Times New Roman" w:hAnsi="Times New Roman" w:eastAsia="宋体" w:cs="Times New Roman"/>
                <w:color w:val="auto"/>
                <w:spacing w:val="0"/>
                <w:kern w:val="0"/>
                <w:sz w:val="24"/>
                <w:szCs w:val="24"/>
                <w:highlight w:val="none"/>
                <w:lang w:val="en-US" w:eastAsia="zh-CN"/>
              </w:rPr>
              <w:t>链条炉排炉</w:t>
            </w:r>
            <w:r>
              <w:rPr>
                <w:rFonts w:hint="eastAsia" w:cs="Times New Roman"/>
                <w:color w:val="auto"/>
                <w:spacing w:val="0"/>
                <w:kern w:val="0"/>
                <w:sz w:val="24"/>
                <w:szCs w:val="24"/>
                <w:highlight w:val="none"/>
                <w:lang w:val="en-US" w:eastAsia="zh-CN"/>
              </w:rPr>
              <w:t>5%～15%，本项目取</w:t>
            </w:r>
            <w:r>
              <w:rPr>
                <w:rFonts w:hint="eastAsia"/>
                <w:color w:val="auto"/>
                <w:highlight w:val="none"/>
                <w:lang w:val="en-US" w:eastAsia="zh-CN"/>
              </w:rPr>
              <w:t>10%；</w:t>
            </w:r>
          </w:p>
          <w:p w14:paraId="275873BA">
            <w:pPr>
              <w:pStyle w:val="46"/>
              <w:bidi w:val="0"/>
              <w:rPr>
                <w:rFonts w:hint="eastAsia"/>
                <w:color w:val="auto"/>
                <w:highlight w:val="none"/>
                <w:lang w:val="en-US" w:eastAsia="zh-CN"/>
              </w:rPr>
            </w:pPr>
            <w:r>
              <w:rPr>
                <w:rFonts w:hint="eastAsia"/>
                <w:color w:val="auto"/>
                <w:highlight w:val="none"/>
                <w:lang w:val="en-US" w:eastAsia="zh-CN"/>
              </w:rPr>
              <w:t>Qnet，ar-----收到基低位发热量，17770kJ/kg。</w:t>
            </w:r>
          </w:p>
          <w:p w14:paraId="7D2B6D00">
            <w:pPr>
              <w:pStyle w:val="46"/>
              <w:bidi w:val="0"/>
              <w:rPr>
                <w:rFonts w:hint="default"/>
                <w:color w:val="auto"/>
                <w:highlight w:val="none"/>
                <w:lang w:val="en-US" w:eastAsia="zh-CN"/>
              </w:rPr>
            </w:pPr>
            <w:r>
              <w:rPr>
                <w:rFonts w:hint="eastAsia"/>
                <w:color w:val="auto"/>
                <w:highlight w:val="none"/>
                <w:lang w:val="en-US" w:eastAsia="zh-CN"/>
              </w:rPr>
              <w:t>经计算得出年热风炉灰渣量Ehz=170.09t/a，根据废气源强核算可知热风炉产生的飞灰量为5.85t/a，则炉渣产生量为164.24t/a。布袋除尘器收集飞灰量为5.79t/a，项目可以收集的灰渣量为170.03t/a。</w:t>
            </w:r>
          </w:p>
          <w:p w14:paraId="69F37229">
            <w:pPr>
              <w:pStyle w:val="46"/>
              <w:bidi w:val="0"/>
              <w:rPr>
                <w:rFonts w:hint="eastAsia"/>
                <w:color w:val="auto"/>
                <w:highlight w:val="none"/>
                <w:lang w:val="en-US" w:eastAsia="zh-CN"/>
              </w:rPr>
            </w:pPr>
            <w:r>
              <w:rPr>
                <w:rFonts w:hint="eastAsia"/>
                <w:color w:val="auto"/>
                <w:highlight w:val="none"/>
                <w:lang w:val="en-US" w:eastAsia="zh-CN"/>
              </w:rPr>
              <w:t>热风炉灰渣</w:t>
            </w:r>
            <w:r>
              <w:rPr>
                <w:rFonts w:hint="default"/>
                <w:color w:val="auto"/>
                <w:highlight w:val="none"/>
              </w:rPr>
              <w:t>定期清理</w:t>
            </w:r>
            <w:r>
              <w:rPr>
                <w:rFonts w:hint="eastAsia"/>
                <w:color w:val="auto"/>
                <w:highlight w:val="none"/>
                <w:lang w:eastAsia="zh-CN"/>
              </w:rPr>
              <w:t>，</w:t>
            </w:r>
            <w:r>
              <w:rPr>
                <w:rFonts w:hint="eastAsia"/>
                <w:color w:val="auto"/>
                <w:highlight w:val="none"/>
                <w:lang w:val="en-US" w:eastAsia="zh-CN"/>
              </w:rPr>
              <w:t>外售有机肥料企业作为原料使用</w:t>
            </w:r>
            <w:r>
              <w:rPr>
                <w:rFonts w:hint="eastAsia"/>
                <w:color w:val="auto"/>
                <w:highlight w:val="none"/>
                <w:lang w:eastAsia="zh-CN"/>
              </w:rPr>
              <w:t>。</w:t>
            </w:r>
            <w:r>
              <w:rPr>
                <w:rFonts w:hint="eastAsia"/>
                <w:color w:val="auto"/>
                <w:highlight w:val="none"/>
                <w:lang w:val="en-US" w:eastAsia="zh-CN"/>
              </w:rPr>
              <w:t>灰渣由密封袋收集、转运，贮存过程中采取灰渣库密闭措施</w:t>
            </w:r>
            <w:r>
              <w:rPr>
                <w:rFonts w:hint="eastAsia"/>
                <w:color w:val="auto"/>
                <w:highlight w:val="none"/>
                <w:lang w:eastAsia="zh-CN"/>
              </w:rPr>
              <w:t>。</w:t>
            </w:r>
            <w:r>
              <w:rPr>
                <w:color w:val="auto"/>
                <w:highlight w:val="none"/>
              </w:rPr>
              <w:t>生物质灰渣含有丰富的矿质营养元素，尤其是钾、磷、钙、镁、硅等元素，这些元素是植物生长所需的重要营养素</w:t>
            </w:r>
            <w:r>
              <w:rPr>
                <w:rFonts w:hint="eastAsia"/>
                <w:color w:val="auto"/>
                <w:highlight w:val="none"/>
                <w:lang w:eastAsia="zh-CN"/>
              </w:rPr>
              <w:t>，</w:t>
            </w:r>
            <w:r>
              <w:rPr>
                <w:rFonts w:hint="eastAsia"/>
                <w:color w:val="auto"/>
                <w:highlight w:val="none"/>
                <w:lang w:val="en-US" w:eastAsia="zh-CN"/>
              </w:rPr>
              <w:t>同时可</w:t>
            </w:r>
            <w:r>
              <w:rPr>
                <w:color w:val="auto"/>
                <w:highlight w:val="none"/>
              </w:rPr>
              <w:t>提升土壤的pH值，降低交换性酸含量，还能显著提升土壤肥力</w:t>
            </w:r>
            <w:r>
              <w:rPr>
                <w:rFonts w:hint="eastAsia"/>
                <w:color w:val="auto"/>
                <w:highlight w:val="none"/>
                <w:lang w:eastAsia="zh-CN"/>
              </w:rPr>
              <w:t>，</w:t>
            </w:r>
            <w:r>
              <w:rPr>
                <w:rFonts w:hint="eastAsia"/>
                <w:color w:val="auto"/>
                <w:highlight w:val="none"/>
                <w:lang w:val="en-US" w:eastAsia="zh-CN"/>
              </w:rPr>
              <w:t>故灰渣作为肥料原料外售可行。</w:t>
            </w:r>
          </w:p>
          <w:p w14:paraId="135F93FA">
            <w:pPr>
              <w:pStyle w:val="46"/>
              <w:ind w:firstLine="480"/>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lang w:val="en-US" w:eastAsia="zh-CN"/>
              </w:rPr>
              <w:t>废布袋</w:t>
            </w:r>
          </w:p>
          <w:p w14:paraId="32A37D2D">
            <w:pPr>
              <w:pStyle w:val="46"/>
              <w:ind w:firstLine="480"/>
              <w:rPr>
                <w:rFonts w:hint="eastAsia"/>
                <w:color w:val="auto"/>
                <w:highlight w:val="none"/>
                <w:lang w:val="en-US" w:eastAsia="zh-CN"/>
              </w:rPr>
            </w:pPr>
            <w:r>
              <w:rPr>
                <w:rFonts w:hint="eastAsia"/>
                <w:color w:val="auto"/>
                <w:highlight w:val="none"/>
                <w:lang w:eastAsia="zh-CN"/>
              </w:rPr>
              <w:t>布袋除尘器</w:t>
            </w:r>
            <w:r>
              <w:rPr>
                <w:rFonts w:hint="eastAsia"/>
                <w:color w:val="auto"/>
                <w:highlight w:val="none"/>
                <w:lang w:val="en-US" w:eastAsia="zh-CN"/>
              </w:rPr>
              <w:t>产生的废布袋一般每两年更换一次，废布袋量共约</w:t>
            </w:r>
            <w:r>
              <w:rPr>
                <w:rFonts w:hint="default"/>
                <w:color w:val="auto"/>
                <w:highlight w:val="none"/>
                <w:lang w:val="en-US" w:eastAsia="zh-CN"/>
              </w:rPr>
              <w:t>0.0</w:t>
            </w:r>
            <w:r>
              <w:rPr>
                <w:rFonts w:hint="eastAsia"/>
                <w:color w:val="auto"/>
                <w:highlight w:val="none"/>
                <w:lang w:val="en-US" w:eastAsia="zh-CN"/>
              </w:rPr>
              <w:t>5</w:t>
            </w:r>
            <w:r>
              <w:rPr>
                <w:rFonts w:hint="default"/>
                <w:color w:val="auto"/>
                <w:highlight w:val="none"/>
                <w:lang w:val="en-US" w:eastAsia="zh-CN"/>
              </w:rPr>
              <w:t>t/2a</w:t>
            </w:r>
            <w:r>
              <w:rPr>
                <w:rFonts w:hint="eastAsia"/>
                <w:color w:val="auto"/>
                <w:highlight w:val="none"/>
                <w:lang w:val="en-US" w:eastAsia="zh-CN"/>
              </w:rPr>
              <w:t>，废布袋由厂家更换回收处理，厂内不暂存。</w:t>
            </w:r>
          </w:p>
          <w:p w14:paraId="5FD066E6">
            <w:pPr>
              <w:pStyle w:val="50"/>
              <w:bidi w:val="0"/>
              <w:rPr>
                <w:rFonts w:hint="default"/>
              </w:rPr>
            </w:pPr>
            <w:r>
              <w:rPr>
                <w:rFonts w:hint="default"/>
              </w:rPr>
              <w:t>表4-1</w:t>
            </w:r>
            <w:r>
              <w:rPr>
                <w:rFonts w:hint="eastAsia"/>
                <w:lang w:val="en-US" w:eastAsia="zh-CN"/>
              </w:rPr>
              <w:t>7</w:t>
            </w:r>
            <w:r>
              <w:t xml:space="preserve">   </w:t>
            </w:r>
            <w:r>
              <w:rPr>
                <w:rFonts w:hint="default"/>
              </w:rPr>
              <w:t>固体废物污染源源强核算结果及相关参数一览表</w:t>
            </w:r>
          </w:p>
          <w:tbl>
            <w:tblPr>
              <w:tblStyle w:val="3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523"/>
              <w:gridCol w:w="915"/>
              <w:gridCol w:w="760"/>
              <w:gridCol w:w="907"/>
              <w:gridCol w:w="870"/>
              <w:gridCol w:w="618"/>
              <w:gridCol w:w="707"/>
              <w:gridCol w:w="815"/>
              <w:gridCol w:w="867"/>
            </w:tblGrid>
            <w:tr w14:paraId="1029EE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restart"/>
                  <w:noWrap w:val="0"/>
                  <w:vAlign w:val="center"/>
                </w:tcPr>
                <w:p w14:paraId="3E671C00">
                  <w:pPr>
                    <w:pStyle w:val="56"/>
                    <w:bidi w:val="0"/>
                    <w:rPr>
                      <w:color w:val="auto"/>
                      <w:highlight w:val="none"/>
                    </w:rPr>
                  </w:pPr>
                  <w:r>
                    <w:rPr>
                      <w:rFonts w:hint="eastAsia"/>
                      <w:color w:val="auto"/>
                      <w:highlight w:val="none"/>
                    </w:rPr>
                    <w:t>工序/生产线</w:t>
                  </w:r>
                </w:p>
              </w:tc>
              <w:tc>
                <w:tcPr>
                  <w:tcW w:w="341" w:type="pct"/>
                  <w:vMerge w:val="restart"/>
                  <w:noWrap w:val="0"/>
                  <w:vAlign w:val="center"/>
                </w:tcPr>
                <w:p w14:paraId="49249557">
                  <w:pPr>
                    <w:pStyle w:val="56"/>
                    <w:bidi w:val="0"/>
                    <w:rPr>
                      <w:color w:val="auto"/>
                      <w:highlight w:val="none"/>
                    </w:rPr>
                  </w:pPr>
                  <w:r>
                    <w:rPr>
                      <w:rFonts w:hint="eastAsia"/>
                      <w:color w:val="auto"/>
                      <w:highlight w:val="none"/>
                    </w:rPr>
                    <w:t>装置</w:t>
                  </w:r>
                </w:p>
              </w:tc>
              <w:tc>
                <w:tcPr>
                  <w:tcW w:w="597" w:type="pct"/>
                  <w:vMerge w:val="restart"/>
                  <w:noWrap w:val="0"/>
                  <w:vAlign w:val="center"/>
                </w:tcPr>
                <w:p w14:paraId="12440DA1">
                  <w:pPr>
                    <w:pStyle w:val="56"/>
                    <w:bidi w:val="0"/>
                    <w:rPr>
                      <w:color w:val="auto"/>
                      <w:highlight w:val="none"/>
                    </w:rPr>
                  </w:pPr>
                  <w:r>
                    <w:rPr>
                      <w:rFonts w:hint="eastAsia"/>
                      <w:color w:val="auto"/>
                      <w:highlight w:val="none"/>
                    </w:rPr>
                    <w:t>固体废物名称</w:t>
                  </w:r>
                </w:p>
              </w:tc>
              <w:tc>
                <w:tcPr>
                  <w:tcW w:w="495" w:type="pct"/>
                  <w:vMerge w:val="restart"/>
                  <w:noWrap w:val="0"/>
                  <w:vAlign w:val="center"/>
                </w:tcPr>
                <w:p w14:paraId="70B23DE1">
                  <w:pPr>
                    <w:pStyle w:val="56"/>
                    <w:bidi w:val="0"/>
                    <w:rPr>
                      <w:color w:val="auto"/>
                      <w:highlight w:val="none"/>
                    </w:rPr>
                  </w:pPr>
                  <w:r>
                    <w:rPr>
                      <w:rFonts w:hint="eastAsia"/>
                      <w:color w:val="auto"/>
                      <w:highlight w:val="none"/>
                    </w:rPr>
                    <w:t>固体废物属性</w:t>
                  </w:r>
                </w:p>
              </w:tc>
              <w:tc>
                <w:tcPr>
                  <w:tcW w:w="1159" w:type="pct"/>
                  <w:gridSpan w:val="2"/>
                  <w:noWrap w:val="0"/>
                  <w:vAlign w:val="center"/>
                </w:tcPr>
                <w:p w14:paraId="3B610D92">
                  <w:pPr>
                    <w:pStyle w:val="56"/>
                    <w:bidi w:val="0"/>
                    <w:rPr>
                      <w:color w:val="auto"/>
                      <w:highlight w:val="none"/>
                    </w:rPr>
                  </w:pPr>
                  <w:r>
                    <w:rPr>
                      <w:rFonts w:hint="eastAsia"/>
                      <w:color w:val="auto"/>
                      <w:highlight w:val="none"/>
                    </w:rPr>
                    <w:t>产生情况</w:t>
                  </w:r>
                </w:p>
              </w:tc>
              <w:tc>
                <w:tcPr>
                  <w:tcW w:w="864" w:type="pct"/>
                  <w:gridSpan w:val="2"/>
                  <w:noWrap w:val="0"/>
                  <w:vAlign w:val="center"/>
                </w:tcPr>
                <w:p w14:paraId="038ABD4A">
                  <w:pPr>
                    <w:pStyle w:val="56"/>
                    <w:bidi w:val="0"/>
                    <w:rPr>
                      <w:color w:val="auto"/>
                      <w:highlight w:val="none"/>
                    </w:rPr>
                  </w:pPr>
                  <w:r>
                    <w:rPr>
                      <w:rFonts w:hint="eastAsia"/>
                      <w:color w:val="auto"/>
                      <w:highlight w:val="none"/>
                    </w:rPr>
                    <w:t>处置措施</w:t>
                  </w:r>
                </w:p>
              </w:tc>
              <w:tc>
                <w:tcPr>
                  <w:tcW w:w="531" w:type="pct"/>
                  <w:vMerge w:val="restart"/>
                  <w:noWrap w:val="0"/>
                  <w:vAlign w:val="center"/>
                </w:tcPr>
                <w:p w14:paraId="3723A28A">
                  <w:pPr>
                    <w:pStyle w:val="56"/>
                    <w:bidi w:val="0"/>
                    <w:rPr>
                      <w:color w:val="auto"/>
                      <w:highlight w:val="none"/>
                    </w:rPr>
                  </w:pPr>
                  <w:r>
                    <w:rPr>
                      <w:color w:val="auto"/>
                      <w:highlight w:val="none"/>
                    </w:rPr>
                    <w:t>固废代码</w:t>
                  </w:r>
                </w:p>
              </w:tc>
              <w:tc>
                <w:tcPr>
                  <w:tcW w:w="565" w:type="pct"/>
                  <w:vMerge w:val="restart"/>
                  <w:noWrap w:val="0"/>
                  <w:vAlign w:val="center"/>
                </w:tcPr>
                <w:p w14:paraId="19EEEEDF">
                  <w:pPr>
                    <w:pStyle w:val="56"/>
                    <w:bidi w:val="0"/>
                    <w:rPr>
                      <w:color w:val="auto"/>
                      <w:highlight w:val="none"/>
                    </w:rPr>
                  </w:pPr>
                  <w:r>
                    <w:rPr>
                      <w:rFonts w:hint="eastAsia"/>
                      <w:color w:val="auto"/>
                      <w:highlight w:val="none"/>
                    </w:rPr>
                    <w:t>最终去向</w:t>
                  </w:r>
                </w:p>
              </w:tc>
            </w:tr>
            <w:tr w14:paraId="3188D2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noWrap w:val="0"/>
                  <w:vAlign w:val="center"/>
                </w:tcPr>
                <w:p w14:paraId="5F8CEE4E">
                  <w:pPr>
                    <w:pStyle w:val="56"/>
                    <w:bidi w:val="0"/>
                    <w:rPr>
                      <w:color w:val="auto"/>
                      <w:highlight w:val="none"/>
                    </w:rPr>
                  </w:pPr>
                </w:p>
              </w:tc>
              <w:tc>
                <w:tcPr>
                  <w:tcW w:w="341" w:type="pct"/>
                  <w:vMerge w:val="continue"/>
                  <w:noWrap w:val="0"/>
                  <w:vAlign w:val="center"/>
                </w:tcPr>
                <w:p w14:paraId="02F20AFB">
                  <w:pPr>
                    <w:pStyle w:val="56"/>
                    <w:bidi w:val="0"/>
                    <w:rPr>
                      <w:color w:val="auto"/>
                      <w:highlight w:val="none"/>
                    </w:rPr>
                  </w:pPr>
                </w:p>
              </w:tc>
              <w:tc>
                <w:tcPr>
                  <w:tcW w:w="597" w:type="pct"/>
                  <w:vMerge w:val="continue"/>
                  <w:noWrap w:val="0"/>
                  <w:vAlign w:val="center"/>
                </w:tcPr>
                <w:p w14:paraId="5AF64E75">
                  <w:pPr>
                    <w:pStyle w:val="56"/>
                    <w:bidi w:val="0"/>
                    <w:rPr>
                      <w:color w:val="auto"/>
                      <w:highlight w:val="none"/>
                    </w:rPr>
                  </w:pPr>
                </w:p>
              </w:tc>
              <w:tc>
                <w:tcPr>
                  <w:tcW w:w="495" w:type="pct"/>
                  <w:vMerge w:val="continue"/>
                  <w:noWrap w:val="0"/>
                  <w:vAlign w:val="center"/>
                </w:tcPr>
                <w:p w14:paraId="481B79E1">
                  <w:pPr>
                    <w:pStyle w:val="56"/>
                    <w:bidi w:val="0"/>
                    <w:rPr>
                      <w:color w:val="auto"/>
                      <w:highlight w:val="none"/>
                    </w:rPr>
                  </w:pPr>
                </w:p>
              </w:tc>
              <w:tc>
                <w:tcPr>
                  <w:tcW w:w="591" w:type="pct"/>
                  <w:noWrap w:val="0"/>
                  <w:vAlign w:val="center"/>
                </w:tcPr>
                <w:p w14:paraId="214D3BF4">
                  <w:pPr>
                    <w:pStyle w:val="56"/>
                    <w:bidi w:val="0"/>
                    <w:rPr>
                      <w:color w:val="auto"/>
                      <w:highlight w:val="none"/>
                    </w:rPr>
                  </w:pPr>
                  <w:r>
                    <w:rPr>
                      <w:rFonts w:hint="eastAsia"/>
                      <w:color w:val="auto"/>
                      <w:highlight w:val="none"/>
                    </w:rPr>
                    <w:t>核算方法</w:t>
                  </w:r>
                </w:p>
              </w:tc>
              <w:tc>
                <w:tcPr>
                  <w:tcW w:w="567" w:type="pct"/>
                  <w:noWrap w:val="0"/>
                  <w:vAlign w:val="center"/>
                </w:tcPr>
                <w:p w14:paraId="76778B8E">
                  <w:pPr>
                    <w:pStyle w:val="56"/>
                    <w:bidi w:val="0"/>
                    <w:rPr>
                      <w:color w:val="auto"/>
                      <w:highlight w:val="none"/>
                    </w:rPr>
                  </w:pPr>
                  <w:r>
                    <w:rPr>
                      <w:rFonts w:hint="eastAsia"/>
                      <w:color w:val="auto"/>
                      <w:highlight w:val="none"/>
                    </w:rPr>
                    <w:t>产生量t/a</w:t>
                  </w:r>
                </w:p>
              </w:tc>
              <w:tc>
                <w:tcPr>
                  <w:tcW w:w="403" w:type="pct"/>
                  <w:noWrap w:val="0"/>
                  <w:vAlign w:val="center"/>
                </w:tcPr>
                <w:p w14:paraId="4F26304F">
                  <w:pPr>
                    <w:pStyle w:val="56"/>
                    <w:bidi w:val="0"/>
                    <w:rPr>
                      <w:color w:val="auto"/>
                      <w:highlight w:val="none"/>
                    </w:rPr>
                  </w:pPr>
                  <w:r>
                    <w:rPr>
                      <w:rFonts w:hint="eastAsia"/>
                      <w:color w:val="auto"/>
                      <w:highlight w:val="none"/>
                    </w:rPr>
                    <w:t>工艺</w:t>
                  </w:r>
                </w:p>
              </w:tc>
              <w:tc>
                <w:tcPr>
                  <w:tcW w:w="461" w:type="pct"/>
                  <w:noWrap w:val="0"/>
                  <w:vAlign w:val="center"/>
                </w:tcPr>
                <w:p w14:paraId="55250FC3">
                  <w:pPr>
                    <w:pStyle w:val="56"/>
                    <w:bidi w:val="0"/>
                    <w:rPr>
                      <w:color w:val="auto"/>
                      <w:highlight w:val="none"/>
                    </w:rPr>
                  </w:pPr>
                  <w:r>
                    <w:rPr>
                      <w:rFonts w:hint="eastAsia"/>
                      <w:color w:val="auto"/>
                      <w:highlight w:val="none"/>
                    </w:rPr>
                    <w:t>处置量t/a</w:t>
                  </w:r>
                </w:p>
              </w:tc>
              <w:tc>
                <w:tcPr>
                  <w:tcW w:w="531" w:type="pct"/>
                  <w:vMerge w:val="continue"/>
                  <w:noWrap w:val="0"/>
                  <w:vAlign w:val="center"/>
                </w:tcPr>
                <w:p w14:paraId="400AF814">
                  <w:pPr>
                    <w:pStyle w:val="56"/>
                    <w:bidi w:val="0"/>
                    <w:rPr>
                      <w:color w:val="auto"/>
                      <w:highlight w:val="none"/>
                    </w:rPr>
                  </w:pPr>
                </w:p>
              </w:tc>
              <w:tc>
                <w:tcPr>
                  <w:tcW w:w="565" w:type="pct"/>
                  <w:vMerge w:val="continue"/>
                  <w:noWrap w:val="0"/>
                  <w:vAlign w:val="center"/>
                </w:tcPr>
                <w:p w14:paraId="309588EC">
                  <w:pPr>
                    <w:pStyle w:val="56"/>
                    <w:bidi w:val="0"/>
                    <w:rPr>
                      <w:color w:val="auto"/>
                      <w:highlight w:val="none"/>
                    </w:rPr>
                  </w:pPr>
                </w:p>
              </w:tc>
            </w:tr>
            <w:tr w14:paraId="529672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restart"/>
                  <w:shd w:val="clear" w:color="auto" w:fill="auto"/>
                  <w:noWrap w:val="0"/>
                  <w:vAlign w:val="center"/>
                </w:tcPr>
                <w:p w14:paraId="7829F62F">
                  <w:pPr>
                    <w:pStyle w:val="56"/>
                    <w:bidi w:val="0"/>
                    <w:rPr>
                      <w:rFonts w:hint="eastAsia"/>
                      <w:color w:val="auto"/>
                      <w:highlight w:val="none"/>
                      <w:lang w:eastAsia="zh-CN"/>
                    </w:rPr>
                  </w:pPr>
                  <w:r>
                    <w:rPr>
                      <w:rFonts w:hint="eastAsia"/>
                      <w:color w:val="auto"/>
                      <w:highlight w:val="none"/>
                      <w:lang w:val="en-US" w:eastAsia="zh-CN"/>
                    </w:rPr>
                    <w:t>生产</w:t>
                  </w:r>
                </w:p>
              </w:tc>
              <w:tc>
                <w:tcPr>
                  <w:tcW w:w="341" w:type="pct"/>
                  <w:shd w:val="clear" w:color="auto" w:fill="auto"/>
                  <w:noWrap w:val="0"/>
                  <w:vAlign w:val="center"/>
                </w:tcPr>
                <w:p w14:paraId="4D808C2C">
                  <w:pPr>
                    <w:pStyle w:val="56"/>
                    <w:bidi w:val="0"/>
                    <w:rPr>
                      <w:rFonts w:hint="eastAsia"/>
                      <w:color w:val="auto"/>
                      <w:highlight w:val="none"/>
                      <w:lang w:eastAsia="zh-CN"/>
                    </w:rPr>
                  </w:pPr>
                  <w:r>
                    <w:rPr>
                      <w:rFonts w:hint="eastAsia"/>
                      <w:color w:val="auto"/>
                      <w:highlight w:val="none"/>
                      <w:lang w:eastAsia="zh-CN"/>
                    </w:rPr>
                    <w:t>布袋除尘器</w:t>
                  </w:r>
                </w:p>
              </w:tc>
              <w:tc>
                <w:tcPr>
                  <w:tcW w:w="597" w:type="pct"/>
                  <w:shd w:val="clear" w:color="auto" w:fill="auto"/>
                  <w:noWrap w:val="0"/>
                  <w:vAlign w:val="center"/>
                </w:tcPr>
                <w:p w14:paraId="66722FE1">
                  <w:pPr>
                    <w:pStyle w:val="56"/>
                    <w:bidi w:val="0"/>
                    <w:ind w:left="0" w:lef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废布袋</w:t>
                  </w:r>
                </w:p>
              </w:tc>
              <w:tc>
                <w:tcPr>
                  <w:tcW w:w="495" w:type="pct"/>
                  <w:shd w:val="clear" w:color="auto" w:fill="auto"/>
                  <w:noWrap w:val="0"/>
                  <w:vAlign w:val="center"/>
                </w:tcPr>
                <w:p w14:paraId="2BD8647D">
                  <w:pPr>
                    <w:pStyle w:val="56"/>
                    <w:bidi w:val="0"/>
                    <w:ind w:left="0" w:lef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一般固体废物</w:t>
                  </w:r>
                </w:p>
              </w:tc>
              <w:tc>
                <w:tcPr>
                  <w:tcW w:w="591" w:type="pct"/>
                  <w:shd w:val="clear" w:color="auto" w:fill="FFFFFF"/>
                  <w:noWrap w:val="0"/>
                  <w:vAlign w:val="center"/>
                </w:tcPr>
                <w:p w14:paraId="3E8E15C5">
                  <w:pPr>
                    <w:pStyle w:val="56"/>
                    <w:bidi w:val="0"/>
                    <w:ind w:left="0" w:lef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类比法</w:t>
                  </w:r>
                </w:p>
              </w:tc>
              <w:tc>
                <w:tcPr>
                  <w:tcW w:w="567" w:type="pct"/>
                  <w:shd w:val="clear" w:color="auto" w:fill="FFFFFF"/>
                  <w:noWrap w:val="0"/>
                  <w:vAlign w:val="center"/>
                </w:tcPr>
                <w:p w14:paraId="65410D07">
                  <w:pPr>
                    <w:pStyle w:val="56"/>
                    <w:bidi w:val="0"/>
                    <w:ind w:left="0" w:lef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0.05t/2a</w:t>
                  </w:r>
                </w:p>
              </w:tc>
              <w:tc>
                <w:tcPr>
                  <w:tcW w:w="403" w:type="pct"/>
                  <w:shd w:val="clear" w:color="auto" w:fill="auto"/>
                  <w:noWrap w:val="0"/>
                  <w:vAlign w:val="center"/>
                </w:tcPr>
                <w:p w14:paraId="203EEAF4">
                  <w:pPr>
                    <w:pStyle w:val="56"/>
                    <w:bidi w:val="0"/>
                    <w:ind w:left="0" w:lef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w:t>
                  </w:r>
                </w:p>
              </w:tc>
              <w:tc>
                <w:tcPr>
                  <w:tcW w:w="461" w:type="pct"/>
                  <w:shd w:val="clear" w:color="auto" w:fill="auto"/>
                  <w:noWrap w:val="0"/>
                  <w:vAlign w:val="center"/>
                </w:tcPr>
                <w:p w14:paraId="67753964">
                  <w:pPr>
                    <w:pStyle w:val="56"/>
                    <w:bidi w:val="0"/>
                    <w:ind w:left="0" w:lef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0.05t/2a</w:t>
                  </w:r>
                </w:p>
              </w:tc>
              <w:tc>
                <w:tcPr>
                  <w:tcW w:w="531" w:type="pct"/>
                  <w:shd w:val="clear" w:color="auto" w:fill="auto"/>
                  <w:noWrap w:val="0"/>
                  <w:vAlign w:val="center"/>
                </w:tcPr>
                <w:p w14:paraId="7D9970C0">
                  <w:pPr>
                    <w:pStyle w:val="56"/>
                    <w:bidi w:val="0"/>
                    <w:ind w:left="0" w:leftChars="0"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lang w:val="en-US" w:eastAsia="zh-CN"/>
                    </w:rPr>
                    <w:t>900-009-S59</w:t>
                  </w:r>
                </w:p>
              </w:tc>
              <w:tc>
                <w:tcPr>
                  <w:tcW w:w="565" w:type="pct"/>
                  <w:shd w:val="clear" w:color="auto" w:fill="auto"/>
                  <w:noWrap w:val="0"/>
                  <w:vAlign w:val="center"/>
                </w:tcPr>
                <w:p w14:paraId="4150915D">
                  <w:pPr>
                    <w:pStyle w:val="56"/>
                    <w:bidi w:val="0"/>
                    <w:ind w:left="0" w:leftChars="0"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厂家更换回收处理，厂内不暂存</w:t>
                  </w:r>
                </w:p>
              </w:tc>
            </w:tr>
            <w:tr w14:paraId="73388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shd w:val="clear" w:color="auto" w:fill="auto"/>
                  <w:noWrap w:val="0"/>
                  <w:vAlign w:val="center"/>
                </w:tcPr>
                <w:p w14:paraId="3598C8B8">
                  <w:pPr>
                    <w:pStyle w:val="56"/>
                    <w:bidi w:val="0"/>
                    <w:rPr>
                      <w:rFonts w:hint="eastAsia"/>
                      <w:color w:val="auto"/>
                      <w:highlight w:val="none"/>
                    </w:rPr>
                  </w:pPr>
                </w:p>
              </w:tc>
              <w:tc>
                <w:tcPr>
                  <w:tcW w:w="341" w:type="pct"/>
                  <w:vMerge w:val="restart"/>
                  <w:shd w:val="clear" w:color="auto" w:fill="auto"/>
                  <w:noWrap w:val="0"/>
                  <w:vAlign w:val="center"/>
                </w:tcPr>
                <w:p w14:paraId="010C5728">
                  <w:pPr>
                    <w:pStyle w:val="56"/>
                    <w:bidi w:val="0"/>
                    <w:rPr>
                      <w:rFonts w:hint="default"/>
                      <w:color w:val="auto"/>
                      <w:highlight w:val="none"/>
                      <w:lang w:val="en-US" w:eastAsia="zh-CN"/>
                    </w:rPr>
                  </w:pPr>
                  <w:r>
                    <w:rPr>
                      <w:rFonts w:hint="eastAsia"/>
                      <w:color w:val="auto"/>
                      <w:highlight w:val="none"/>
                      <w:lang w:val="en-US" w:eastAsia="zh-CN"/>
                    </w:rPr>
                    <w:t>热风炉</w:t>
                  </w:r>
                </w:p>
              </w:tc>
              <w:tc>
                <w:tcPr>
                  <w:tcW w:w="915" w:type="dxa"/>
                  <w:shd w:val="clear" w:color="auto" w:fill="auto"/>
                  <w:noWrap w:val="0"/>
                  <w:vAlign w:val="center"/>
                </w:tcPr>
                <w:p w14:paraId="6E69266B">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布袋收集飞灰</w:t>
                  </w:r>
                </w:p>
              </w:tc>
              <w:tc>
                <w:tcPr>
                  <w:tcW w:w="760" w:type="dxa"/>
                  <w:shd w:val="clear" w:color="auto" w:fill="auto"/>
                  <w:noWrap w:val="0"/>
                  <w:vAlign w:val="center"/>
                </w:tcPr>
                <w:p w14:paraId="7E89E60C">
                  <w:pPr>
                    <w:pStyle w:val="56"/>
                    <w:bidi w:val="0"/>
                    <w:ind w:left="0" w:leftChars="0" w:firstLine="0" w:firstLineChars="0"/>
                    <w:rPr>
                      <w:rFonts w:hint="eastAsia"/>
                      <w:color w:val="auto"/>
                      <w:highlight w:val="none"/>
                    </w:rPr>
                  </w:pPr>
                  <w:r>
                    <w:rPr>
                      <w:rFonts w:hint="eastAsia"/>
                      <w:color w:val="auto"/>
                      <w:highlight w:val="none"/>
                    </w:rPr>
                    <w:t>一般固体废物</w:t>
                  </w:r>
                </w:p>
              </w:tc>
              <w:tc>
                <w:tcPr>
                  <w:tcW w:w="907" w:type="dxa"/>
                  <w:shd w:val="clear" w:color="auto" w:fill="FFFFFF"/>
                  <w:noWrap w:val="0"/>
                  <w:vAlign w:val="center"/>
                </w:tcPr>
                <w:p w14:paraId="47CC4D1A">
                  <w:pPr>
                    <w:pStyle w:val="56"/>
                    <w:bidi w:val="0"/>
                    <w:ind w:left="0" w:leftChars="0" w:firstLine="0" w:firstLineChars="0"/>
                    <w:rPr>
                      <w:rFonts w:hint="default" w:eastAsia="宋体"/>
                      <w:color w:val="auto"/>
                      <w:highlight w:val="none"/>
                      <w:lang w:val="en-US" w:eastAsia="zh-CN"/>
                    </w:rPr>
                  </w:pPr>
                  <w:r>
                    <w:rPr>
                      <w:rFonts w:hint="eastAsia"/>
                      <w:color w:val="auto"/>
                      <w:highlight w:val="none"/>
                      <w:lang w:val="en-US" w:eastAsia="zh-CN"/>
                    </w:rPr>
                    <w:t>物料衡算法</w:t>
                  </w:r>
                </w:p>
              </w:tc>
              <w:tc>
                <w:tcPr>
                  <w:tcW w:w="567" w:type="pct"/>
                  <w:shd w:val="clear" w:color="auto" w:fill="FFFFFF"/>
                  <w:noWrap w:val="0"/>
                  <w:vAlign w:val="center"/>
                </w:tcPr>
                <w:p w14:paraId="15714A3E">
                  <w:pPr>
                    <w:pStyle w:val="56"/>
                    <w:bidi w:val="0"/>
                    <w:rPr>
                      <w:rFonts w:hint="default"/>
                      <w:color w:val="auto"/>
                      <w:highlight w:val="none"/>
                      <w:lang w:val="en-US" w:eastAsia="zh-CN"/>
                    </w:rPr>
                  </w:pPr>
                  <w:r>
                    <w:rPr>
                      <w:rFonts w:hint="eastAsia"/>
                      <w:color w:val="auto"/>
                      <w:highlight w:val="none"/>
                      <w:lang w:val="en-US" w:eastAsia="zh-CN"/>
                    </w:rPr>
                    <w:t>5.79</w:t>
                  </w:r>
                </w:p>
              </w:tc>
              <w:tc>
                <w:tcPr>
                  <w:tcW w:w="403" w:type="pct"/>
                  <w:noWrap w:val="0"/>
                  <w:vAlign w:val="center"/>
                </w:tcPr>
                <w:p w14:paraId="32E3B820">
                  <w:pPr>
                    <w:pStyle w:val="56"/>
                    <w:bidi w:val="0"/>
                    <w:rPr>
                      <w:rFonts w:hint="default"/>
                      <w:color w:val="auto"/>
                      <w:highlight w:val="none"/>
                      <w:lang w:val="en-US" w:eastAsia="zh-CN"/>
                    </w:rPr>
                  </w:pPr>
                  <w:r>
                    <w:rPr>
                      <w:rFonts w:hint="eastAsia"/>
                      <w:color w:val="auto"/>
                      <w:highlight w:val="none"/>
                      <w:lang w:val="en-US" w:eastAsia="zh-CN"/>
                    </w:rPr>
                    <w:t>/</w:t>
                  </w:r>
                </w:p>
              </w:tc>
              <w:tc>
                <w:tcPr>
                  <w:tcW w:w="707" w:type="dxa"/>
                  <w:noWrap w:val="0"/>
                  <w:vAlign w:val="center"/>
                </w:tcPr>
                <w:p w14:paraId="65383703">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5.79</w:t>
                  </w:r>
                </w:p>
              </w:tc>
              <w:tc>
                <w:tcPr>
                  <w:tcW w:w="815" w:type="dxa"/>
                  <w:noWrap w:val="0"/>
                  <w:vAlign w:val="center"/>
                </w:tcPr>
                <w:p w14:paraId="70A10736">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900-099-S59</w:t>
                  </w:r>
                </w:p>
              </w:tc>
              <w:tc>
                <w:tcPr>
                  <w:tcW w:w="867" w:type="dxa"/>
                  <w:noWrap w:val="0"/>
                  <w:vAlign w:val="center"/>
                </w:tcPr>
                <w:p w14:paraId="06ACBC99">
                  <w:pPr>
                    <w:pStyle w:val="56"/>
                    <w:bidi w:val="0"/>
                    <w:ind w:left="0" w:leftChars="0" w:firstLine="0" w:firstLineChars="0"/>
                    <w:rPr>
                      <w:rFonts w:hint="eastAsia"/>
                      <w:color w:val="auto"/>
                      <w:highlight w:val="none"/>
                      <w:lang w:val="en-US" w:eastAsia="zh-CN"/>
                    </w:rPr>
                  </w:pPr>
                  <w:r>
                    <w:rPr>
                      <w:rFonts w:hint="eastAsia"/>
                      <w:color w:val="auto"/>
                      <w:highlight w:val="none"/>
                    </w:rPr>
                    <w:t>外售综合利用</w:t>
                  </w:r>
                </w:p>
              </w:tc>
            </w:tr>
            <w:tr w14:paraId="396CA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shd w:val="clear" w:color="auto" w:fill="auto"/>
                  <w:noWrap w:val="0"/>
                  <w:vAlign w:val="center"/>
                </w:tcPr>
                <w:p w14:paraId="752954FD">
                  <w:pPr>
                    <w:pStyle w:val="56"/>
                    <w:bidi w:val="0"/>
                    <w:rPr>
                      <w:rFonts w:hint="eastAsia"/>
                      <w:color w:val="auto"/>
                      <w:highlight w:val="none"/>
                    </w:rPr>
                  </w:pPr>
                </w:p>
              </w:tc>
              <w:tc>
                <w:tcPr>
                  <w:tcW w:w="341" w:type="pct"/>
                  <w:vMerge w:val="continue"/>
                  <w:shd w:val="clear" w:color="auto" w:fill="auto"/>
                  <w:noWrap w:val="0"/>
                  <w:vAlign w:val="center"/>
                </w:tcPr>
                <w:p w14:paraId="7A88FEE7">
                  <w:pPr>
                    <w:pStyle w:val="56"/>
                    <w:bidi w:val="0"/>
                    <w:rPr>
                      <w:rFonts w:hint="eastAsia"/>
                      <w:color w:val="auto"/>
                      <w:highlight w:val="none"/>
                      <w:lang w:val="en-US" w:eastAsia="zh-CN"/>
                    </w:rPr>
                  </w:pPr>
                </w:p>
              </w:tc>
              <w:tc>
                <w:tcPr>
                  <w:tcW w:w="915" w:type="dxa"/>
                  <w:shd w:val="clear" w:color="auto" w:fill="auto"/>
                  <w:noWrap w:val="0"/>
                  <w:vAlign w:val="center"/>
                </w:tcPr>
                <w:p w14:paraId="3BE23F05">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炉渣</w:t>
                  </w:r>
                </w:p>
              </w:tc>
              <w:tc>
                <w:tcPr>
                  <w:tcW w:w="760" w:type="dxa"/>
                  <w:shd w:val="clear" w:color="auto" w:fill="auto"/>
                  <w:noWrap w:val="0"/>
                  <w:vAlign w:val="center"/>
                </w:tcPr>
                <w:p w14:paraId="236DF941">
                  <w:pPr>
                    <w:pStyle w:val="56"/>
                    <w:bidi w:val="0"/>
                    <w:ind w:left="0" w:leftChars="0" w:firstLine="0" w:firstLineChars="0"/>
                    <w:rPr>
                      <w:rFonts w:hint="eastAsia"/>
                      <w:color w:val="auto"/>
                      <w:highlight w:val="none"/>
                    </w:rPr>
                  </w:pPr>
                  <w:r>
                    <w:rPr>
                      <w:rFonts w:hint="eastAsia"/>
                      <w:color w:val="auto"/>
                      <w:highlight w:val="none"/>
                    </w:rPr>
                    <w:t>一般固体废物</w:t>
                  </w:r>
                </w:p>
              </w:tc>
              <w:tc>
                <w:tcPr>
                  <w:tcW w:w="907" w:type="dxa"/>
                  <w:shd w:val="clear" w:color="auto" w:fill="FFFFFF"/>
                  <w:noWrap w:val="0"/>
                  <w:vAlign w:val="center"/>
                </w:tcPr>
                <w:p w14:paraId="00B29015">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物料衡算法</w:t>
                  </w:r>
                </w:p>
              </w:tc>
              <w:tc>
                <w:tcPr>
                  <w:tcW w:w="567" w:type="pct"/>
                  <w:shd w:val="clear" w:color="auto" w:fill="FFFFFF"/>
                  <w:noWrap w:val="0"/>
                  <w:vAlign w:val="center"/>
                </w:tcPr>
                <w:p w14:paraId="1E23D30A">
                  <w:pPr>
                    <w:pStyle w:val="56"/>
                    <w:bidi w:val="0"/>
                    <w:rPr>
                      <w:rFonts w:hint="default"/>
                      <w:color w:val="auto"/>
                      <w:highlight w:val="none"/>
                      <w:lang w:val="en-US" w:eastAsia="zh-CN"/>
                    </w:rPr>
                  </w:pPr>
                  <w:r>
                    <w:rPr>
                      <w:rFonts w:hint="eastAsia"/>
                      <w:color w:val="auto"/>
                      <w:highlight w:val="none"/>
                      <w:lang w:val="en-US" w:eastAsia="zh-CN"/>
                    </w:rPr>
                    <w:t>164.24</w:t>
                  </w:r>
                </w:p>
              </w:tc>
              <w:tc>
                <w:tcPr>
                  <w:tcW w:w="403" w:type="pct"/>
                  <w:noWrap w:val="0"/>
                  <w:vAlign w:val="center"/>
                </w:tcPr>
                <w:p w14:paraId="7CB6B4F5">
                  <w:pPr>
                    <w:pStyle w:val="56"/>
                    <w:bidi w:val="0"/>
                    <w:rPr>
                      <w:rFonts w:hint="default"/>
                      <w:color w:val="auto"/>
                      <w:highlight w:val="none"/>
                      <w:lang w:val="en-US" w:eastAsia="zh-CN"/>
                    </w:rPr>
                  </w:pPr>
                  <w:r>
                    <w:rPr>
                      <w:rFonts w:hint="eastAsia"/>
                      <w:color w:val="auto"/>
                      <w:highlight w:val="none"/>
                      <w:lang w:val="en-US" w:eastAsia="zh-CN"/>
                    </w:rPr>
                    <w:t>/</w:t>
                  </w:r>
                </w:p>
              </w:tc>
              <w:tc>
                <w:tcPr>
                  <w:tcW w:w="707" w:type="dxa"/>
                  <w:noWrap w:val="0"/>
                  <w:vAlign w:val="center"/>
                </w:tcPr>
                <w:p w14:paraId="3EDEBD61">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164.24</w:t>
                  </w:r>
                </w:p>
              </w:tc>
              <w:tc>
                <w:tcPr>
                  <w:tcW w:w="815" w:type="dxa"/>
                  <w:noWrap w:val="0"/>
                  <w:vAlign w:val="center"/>
                </w:tcPr>
                <w:p w14:paraId="2F0E072F">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900-099-S03</w:t>
                  </w:r>
                </w:p>
              </w:tc>
              <w:tc>
                <w:tcPr>
                  <w:tcW w:w="867" w:type="dxa"/>
                  <w:noWrap w:val="0"/>
                  <w:vAlign w:val="center"/>
                </w:tcPr>
                <w:p w14:paraId="12C150C4">
                  <w:pPr>
                    <w:pStyle w:val="56"/>
                    <w:bidi w:val="0"/>
                    <w:ind w:left="0" w:leftChars="0" w:firstLine="0" w:firstLineChars="0"/>
                    <w:rPr>
                      <w:rFonts w:hint="eastAsia"/>
                      <w:color w:val="auto"/>
                      <w:highlight w:val="none"/>
                    </w:rPr>
                  </w:pPr>
                  <w:r>
                    <w:rPr>
                      <w:rFonts w:hint="eastAsia"/>
                      <w:color w:val="auto"/>
                      <w:highlight w:val="none"/>
                    </w:rPr>
                    <w:t>外售综合利用</w:t>
                  </w:r>
                </w:p>
              </w:tc>
            </w:tr>
            <w:tr w14:paraId="35562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shd w:val="clear" w:color="auto" w:fill="auto"/>
                  <w:noWrap w:val="0"/>
                  <w:vAlign w:val="center"/>
                </w:tcPr>
                <w:p w14:paraId="4695FAEB">
                  <w:pPr>
                    <w:pStyle w:val="56"/>
                    <w:bidi w:val="0"/>
                    <w:rPr>
                      <w:rFonts w:hint="eastAsia"/>
                      <w:color w:val="auto"/>
                      <w:highlight w:val="none"/>
                    </w:rPr>
                  </w:pPr>
                </w:p>
              </w:tc>
              <w:tc>
                <w:tcPr>
                  <w:tcW w:w="341" w:type="pct"/>
                  <w:vMerge w:val="restart"/>
                  <w:shd w:val="clear" w:color="auto" w:fill="auto"/>
                  <w:noWrap w:val="0"/>
                  <w:vAlign w:val="center"/>
                </w:tcPr>
                <w:p w14:paraId="03F5EFD1">
                  <w:pPr>
                    <w:pStyle w:val="56"/>
                    <w:bidi w:val="0"/>
                    <w:rPr>
                      <w:color w:val="auto"/>
                      <w:highlight w:val="none"/>
                    </w:rPr>
                  </w:pPr>
                  <w:r>
                    <w:rPr>
                      <w:rFonts w:hint="eastAsia"/>
                      <w:color w:val="auto"/>
                      <w:highlight w:val="none"/>
                    </w:rPr>
                    <w:t>生产</w:t>
                  </w:r>
                </w:p>
              </w:tc>
              <w:tc>
                <w:tcPr>
                  <w:tcW w:w="597" w:type="pct"/>
                  <w:shd w:val="clear" w:color="auto" w:fill="auto"/>
                  <w:noWrap w:val="0"/>
                  <w:vAlign w:val="center"/>
                </w:tcPr>
                <w:p w14:paraId="4AD7DA0A">
                  <w:pPr>
                    <w:pStyle w:val="56"/>
                    <w:bidi w:val="0"/>
                    <w:rPr>
                      <w:rFonts w:hint="eastAsia" w:eastAsia="宋体"/>
                      <w:color w:val="auto"/>
                      <w:highlight w:val="none"/>
                      <w:lang w:val="en-US" w:eastAsia="zh-CN"/>
                    </w:rPr>
                  </w:pPr>
                  <w:r>
                    <w:rPr>
                      <w:rFonts w:hint="eastAsia"/>
                      <w:color w:val="auto"/>
                      <w:highlight w:val="none"/>
                      <w:lang w:eastAsia="zh-CN"/>
                    </w:rPr>
                    <w:t>装卸、输送、筛分收集粉尘</w:t>
                  </w:r>
                </w:p>
              </w:tc>
              <w:tc>
                <w:tcPr>
                  <w:tcW w:w="495" w:type="pct"/>
                  <w:shd w:val="clear" w:color="auto" w:fill="auto"/>
                  <w:noWrap w:val="0"/>
                  <w:vAlign w:val="center"/>
                </w:tcPr>
                <w:p w14:paraId="61B8E657">
                  <w:pPr>
                    <w:pStyle w:val="56"/>
                    <w:bidi w:val="0"/>
                    <w:rPr>
                      <w:rFonts w:hint="eastAsia"/>
                      <w:color w:val="auto"/>
                      <w:highlight w:val="none"/>
                    </w:rPr>
                  </w:pPr>
                  <w:r>
                    <w:rPr>
                      <w:rFonts w:hint="eastAsia"/>
                      <w:color w:val="auto"/>
                      <w:highlight w:val="none"/>
                    </w:rPr>
                    <w:t>一般固体废物</w:t>
                  </w:r>
                </w:p>
              </w:tc>
              <w:tc>
                <w:tcPr>
                  <w:tcW w:w="591" w:type="pct"/>
                  <w:shd w:val="clear" w:color="auto" w:fill="FFFFFF"/>
                  <w:noWrap w:val="0"/>
                  <w:vAlign w:val="center"/>
                </w:tcPr>
                <w:p w14:paraId="5275A787">
                  <w:pPr>
                    <w:pStyle w:val="56"/>
                    <w:bidi w:val="0"/>
                    <w:rPr>
                      <w:rFonts w:hint="default" w:eastAsia="宋体"/>
                      <w:color w:val="auto"/>
                      <w:highlight w:val="none"/>
                      <w:lang w:val="en-US" w:eastAsia="zh-CN"/>
                    </w:rPr>
                  </w:pPr>
                  <w:r>
                    <w:rPr>
                      <w:rFonts w:hint="eastAsia"/>
                      <w:color w:val="auto"/>
                      <w:highlight w:val="none"/>
                      <w:lang w:val="en-US" w:eastAsia="zh-CN"/>
                    </w:rPr>
                    <w:t>产物系数、物料衡算</w:t>
                  </w:r>
                </w:p>
              </w:tc>
              <w:tc>
                <w:tcPr>
                  <w:tcW w:w="567" w:type="pct"/>
                  <w:shd w:val="clear" w:color="auto" w:fill="FFFFFF"/>
                  <w:noWrap w:val="0"/>
                  <w:vAlign w:val="center"/>
                </w:tcPr>
                <w:p w14:paraId="6A229732">
                  <w:pPr>
                    <w:pStyle w:val="56"/>
                    <w:bidi w:val="0"/>
                    <w:rPr>
                      <w:rFonts w:hint="default"/>
                      <w:color w:val="auto"/>
                      <w:highlight w:val="none"/>
                      <w:lang w:val="en-US" w:eastAsia="zh-CN"/>
                    </w:rPr>
                  </w:pPr>
                  <w:r>
                    <w:rPr>
                      <w:rFonts w:hint="eastAsia"/>
                      <w:color w:val="auto"/>
                      <w:highlight w:val="none"/>
                      <w:lang w:val="en-US" w:eastAsia="zh-CN"/>
                    </w:rPr>
                    <w:t>6.70</w:t>
                  </w:r>
                </w:p>
              </w:tc>
              <w:tc>
                <w:tcPr>
                  <w:tcW w:w="403" w:type="pct"/>
                  <w:noWrap w:val="0"/>
                  <w:vAlign w:val="center"/>
                </w:tcPr>
                <w:p w14:paraId="16C173D5">
                  <w:pPr>
                    <w:pStyle w:val="56"/>
                    <w:bidi w:val="0"/>
                    <w:rPr>
                      <w:rFonts w:hint="default"/>
                      <w:color w:val="auto"/>
                      <w:highlight w:val="none"/>
                      <w:lang w:val="en-US" w:eastAsia="zh-CN"/>
                    </w:rPr>
                  </w:pPr>
                  <w:r>
                    <w:rPr>
                      <w:rFonts w:hint="eastAsia"/>
                      <w:color w:val="auto"/>
                      <w:highlight w:val="none"/>
                      <w:lang w:val="en-US" w:eastAsia="zh-CN"/>
                    </w:rPr>
                    <w:t>/</w:t>
                  </w:r>
                </w:p>
              </w:tc>
              <w:tc>
                <w:tcPr>
                  <w:tcW w:w="461" w:type="pct"/>
                  <w:noWrap w:val="0"/>
                  <w:vAlign w:val="center"/>
                </w:tcPr>
                <w:p w14:paraId="2E154255">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6.70</w:t>
                  </w:r>
                </w:p>
              </w:tc>
              <w:tc>
                <w:tcPr>
                  <w:tcW w:w="531" w:type="pct"/>
                  <w:noWrap w:val="0"/>
                  <w:vAlign w:val="center"/>
                </w:tcPr>
                <w:p w14:paraId="136E5235">
                  <w:pPr>
                    <w:pStyle w:val="56"/>
                    <w:bidi w:val="0"/>
                    <w:rPr>
                      <w:rFonts w:hint="eastAsia"/>
                      <w:color w:val="auto"/>
                      <w:highlight w:val="none"/>
                      <w:lang w:val="en-US" w:eastAsia="zh-CN"/>
                    </w:rPr>
                  </w:pPr>
                  <w:r>
                    <w:rPr>
                      <w:rFonts w:hint="eastAsia"/>
                      <w:color w:val="auto"/>
                      <w:highlight w:val="none"/>
                      <w:lang w:val="en-US" w:eastAsia="zh-CN"/>
                    </w:rPr>
                    <w:t>900-099-S59</w:t>
                  </w:r>
                </w:p>
              </w:tc>
              <w:tc>
                <w:tcPr>
                  <w:tcW w:w="565" w:type="pct"/>
                  <w:noWrap w:val="0"/>
                  <w:vAlign w:val="center"/>
                </w:tcPr>
                <w:p w14:paraId="3E531B48">
                  <w:pPr>
                    <w:pStyle w:val="56"/>
                    <w:bidi w:val="0"/>
                    <w:rPr>
                      <w:rFonts w:hint="eastAsia"/>
                      <w:color w:val="auto"/>
                      <w:highlight w:val="none"/>
                      <w:lang w:val="en-US" w:eastAsia="zh-CN"/>
                    </w:rPr>
                  </w:pPr>
                  <w:r>
                    <w:rPr>
                      <w:rFonts w:hint="eastAsia"/>
                      <w:color w:val="auto"/>
                      <w:highlight w:val="none"/>
                    </w:rPr>
                    <w:t>外售综合利用</w:t>
                  </w:r>
                </w:p>
              </w:tc>
            </w:tr>
            <w:tr w14:paraId="4121B3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shd w:val="clear" w:color="auto" w:fill="auto"/>
                  <w:noWrap w:val="0"/>
                  <w:vAlign w:val="center"/>
                </w:tcPr>
                <w:p w14:paraId="7F0E4E55">
                  <w:pPr>
                    <w:pStyle w:val="56"/>
                    <w:bidi w:val="0"/>
                    <w:rPr>
                      <w:rFonts w:hint="eastAsia"/>
                      <w:color w:val="auto"/>
                      <w:highlight w:val="none"/>
                    </w:rPr>
                  </w:pPr>
                </w:p>
              </w:tc>
              <w:tc>
                <w:tcPr>
                  <w:tcW w:w="341" w:type="pct"/>
                  <w:vMerge w:val="continue"/>
                  <w:shd w:val="clear" w:color="auto" w:fill="auto"/>
                  <w:noWrap w:val="0"/>
                  <w:vAlign w:val="center"/>
                </w:tcPr>
                <w:p w14:paraId="2D9DCDFD">
                  <w:pPr>
                    <w:pStyle w:val="56"/>
                    <w:bidi w:val="0"/>
                    <w:rPr>
                      <w:rFonts w:hint="eastAsia"/>
                      <w:color w:val="auto"/>
                      <w:highlight w:val="none"/>
                    </w:rPr>
                  </w:pPr>
                </w:p>
              </w:tc>
              <w:tc>
                <w:tcPr>
                  <w:tcW w:w="597" w:type="pct"/>
                  <w:shd w:val="clear" w:color="auto" w:fill="auto"/>
                  <w:noWrap w:val="0"/>
                  <w:vAlign w:val="center"/>
                </w:tcPr>
                <w:p w14:paraId="3457C88B">
                  <w:pPr>
                    <w:pStyle w:val="56"/>
                    <w:bidi w:val="0"/>
                    <w:rPr>
                      <w:rFonts w:hint="eastAsia"/>
                      <w:color w:val="auto"/>
                      <w:highlight w:val="none"/>
                      <w:lang w:val="en-US" w:eastAsia="zh-CN"/>
                    </w:rPr>
                  </w:pPr>
                  <w:r>
                    <w:rPr>
                      <w:color w:val="auto"/>
                      <w:highlight w:val="none"/>
                    </w:rPr>
                    <w:t>烘干塔</w:t>
                  </w:r>
                  <w:r>
                    <w:rPr>
                      <w:rFonts w:hint="eastAsia"/>
                      <w:color w:val="auto"/>
                      <w:highlight w:val="none"/>
                      <w:lang w:val="en-US" w:eastAsia="zh-CN"/>
                    </w:rPr>
                    <w:t>收集</w:t>
                  </w:r>
                  <w:r>
                    <w:rPr>
                      <w:color w:val="auto"/>
                      <w:highlight w:val="none"/>
                    </w:rPr>
                    <w:t>粉尘</w:t>
                  </w:r>
                </w:p>
              </w:tc>
              <w:tc>
                <w:tcPr>
                  <w:tcW w:w="495" w:type="pct"/>
                  <w:shd w:val="clear" w:color="auto" w:fill="auto"/>
                  <w:noWrap w:val="0"/>
                  <w:vAlign w:val="center"/>
                </w:tcPr>
                <w:p w14:paraId="7505DF78">
                  <w:pPr>
                    <w:pStyle w:val="56"/>
                    <w:bidi w:val="0"/>
                    <w:ind w:left="0" w:leftChars="0" w:firstLine="0" w:firstLineChars="0"/>
                    <w:rPr>
                      <w:rFonts w:hint="eastAsia"/>
                      <w:color w:val="auto"/>
                      <w:highlight w:val="none"/>
                    </w:rPr>
                  </w:pPr>
                  <w:r>
                    <w:rPr>
                      <w:rFonts w:hint="eastAsia"/>
                      <w:color w:val="auto"/>
                      <w:highlight w:val="none"/>
                    </w:rPr>
                    <w:t>一般固体废物</w:t>
                  </w:r>
                </w:p>
              </w:tc>
              <w:tc>
                <w:tcPr>
                  <w:tcW w:w="591" w:type="pct"/>
                  <w:shd w:val="clear" w:color="auto" w:fill="FFFFFF"/>
                  <w:noWrap w:val="0"/>
                  <w:vAlign w:val="center"/>
                </w:tcPr>
                <w:p w14:paraId="7CCF2A3A">
                  <w:pPr>
                    <w:pStyle w:val="56"/>
                    <w:bidi w:val="0"/>
                    <w:ind w:left="0" w:leftChars="0" w:firstLine="0" w:firstLineChars="0"/>
                    <w:rPr>
                      <w:rFonts w:hint="eastAsia"/>
                      <w:color w:val="auto"/>
                      <w:highlight w:val="none"/>
                    </w:rPr>
                  </w:pPr>
                  <w:r>
                    <w:rPr>
                      <w:rFonts w:hint="eastAsia"/>
                      <w:color w:val="auto"/>
                      <w:highlight w:val="none"/>
                      <w:lang w:val="en-US" w:eastAsia="zh-CN"/>
                    </w:rPr>
                    <w:t>产物系数、物料衡算</w:t>
                  </w:r>
                </w:p>
              </w:tc>
              <w:tc>
                <w:tcPr>
                  <w:tcW w:w="567" w:type="pct"/>
                  <w:shd w:val="clear" w:color="auto" w:fill="FFFFFF"/>
                  <w:noWrap w:val="0"/>
                  <w:vAlign w:val="center"/>
                </w:tcPr>
                <w:p w14:paraId="187FAD60">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6.29</w:t>
                  </w:r>
                </w:p>
              </w:tc>
              <w:tc>
                <w:tcPr>
                  <w:tcW w:w="403" w:type="pct"/>
                  <w:noWrap w:val="0"/>
                  <w:vAlign w:val="center"/>
                </w:tcPr>
                <w:p w14:paraId="7110ECF4">
                  <w:pPr>
                    <w:pStyle w:val="56"/>
                    <w:bidi w:val="0"/>
                    <w:ind w:left="0" w:leftChars="0" w:firstLine="0" w:firstLineChars="0"/>
                    <w:rPr>
                      <w:rFonts w:hint="eastAsia"/>
                      <w:color w:val="auto"/>
                      <w:highlight w:val="none"/>
                      <w:lang w:val="en-US" w:eastAsia="zh-CN"/>
                    </w:rPr>
                  </w:pPr>
                  <w:r>
                    <w:rPr>
                      <w:rFonts w:hint="eastAsia"/>
                      <w:color w:val="auto"/>
                      <w:highlight w:val="none"/>
                      <w:lang w:val="en-US" w:eastAsia="zh-CN"/>
                    </w:rPr>
                    <w:t>/</w:t>
                  </w:r>
                </w:p>
              </w:tc>
              <w:tc>
                <w:tcPr>
                  <w:tcW w:w="461" w:type="pct"/>
                  <w:noWrap w:val="0"/>
                  <w:vAlign w:val="center"/>
                </w:tcPr>
                <w:p w14:paraId="31D27DF1">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6.29</w:t>
                  </w:r>
                </w:p>
              </w:tc>
              <w:tc>
                <w:tcPr>
                  <w:tcW w:w="531" w:type="pct"/>
                  <w:noWrap w:val="0"/>
                  <w:vAlign w:val="center"/>
                </w:tcPr>
                <w:p w14:paraId="1C0D348A">
                  <w:pPr>
                    <w:pStyle w:val="60"/>
                    <w:bidi w:val="0"/>
                    <w:rPr>
                      <w:rFonts w:hint="eastAsia"/>
                      <w:color w:val="auto"/>
                      <w:highlight w:val="none"/>
                      <w:lang w:val="en-US" w:eastAsia="zh-CN"/>
                    </w:rPr>
                  </w:pPr>
                  <w:r>
                    <w:rPr>
                      <w:rFonts w:hint="eastAsia"/>
                      <w:color w:val="auto"/>
                      <w:highlight w:val="none"/>
                      <w:lang w:val="en-US" w:eastAsia="zh-CN"/>
                    </w:rPr>
                    <w:t>900-099-S59</w:t>
                  </w:r>
                </w:p>
              </w:tc>
              <w:tc>
                <w:tcPr>
                  <w:tcW w:w="565" w:type="pct"/>
                  <w:noWrap w:val="0"/>
                  <w:vAlign w:val="center"/>
                </w:tcPr>
                <w:p w14:paraId="39BAAB3C">
                  <w:pPr>
                    <w:pStyle w:val="56"/>
                    <w:bidi w:val="0"/>
                    <w:ind w:left="0" w:leftChars="0" w:firstLine="0" w:firstLineChars="0"/>
                    <w:rPr>
                      <w:rFonts w:hint="eastAsia"/>
                      <w:color w:val="auto"/>
                      <w:highlight w:val="none"/>
                    </w:rPr>
                  </w:pPr>
                  <w:r>
                    <w:rPr>
                      <w:rFonts w:hint="eastAsia"/>
                      <w:color w:val="auto"/>
                      <w:highlight w:val="none"/>
                    </w:rPr>
                    <w:t>外售综合利用</w:t>
                  </w:r>
                </w:p>
              </w:tc>
            </w:tr>
            <w:tr w14:paraId="7F0F0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vMerge w:val="continue"/>
                  <w:shd w:val="clear" w:color="auto" w:fill="auto"/>
                  <w:noWrap w:val="0"/>
                  <w:vAlign w:val="center"/>
                </w:tcPr>
                <w:p w14:paraId="7305AD06">
                  <w:pPr>
                    <w:pStyle w:val="56"/>
                    <w:bidi w:val="0"/>
                    <w:rPr>
                      <w:color w:val="auto"/>
                      <w:highlight w:val="none"/>
                    </w:rPr>
                  </w:pPr>
                </w:p>
              </w:tc>
              <w:tc>
                <w:tcPr>
                  <w:tcW w:w="341" w:type="pct"/>
                  <w:vMerge w:val="continue"/>
                  <w:shd w:val="clear" w:color="auto" w:fill="auto"/>
                  <w:noWrap w:val="0"/>
                  <w:vAlign w:val="center"/>
                </w:tcPr>
                <w:p w14:paraId="72236F2B">
                  <w:pPr>
                    <w:pStyle w:val="56"/>
                    <w:bidi w:val="0"/>
                    <w:rPr>
                      <w:color w:val="auto"/>
                      <w:highlight w:val="none"/>
                    </w:rPr>
                  </w:pPr>
                </w:p>
              </w:tc>
              <w:tc>
                <w:tcPr>
                  <w:tcW w:w="597" w:type="pct"/>
                  <w:shd w:val="clear" w:color="auto" w:fill="auto"/>
                  <w:noWrap w:val="0"/>
                  <w:vAlign w:val="center"/>
                </w:tcPr>
                <w:p w14:paraId="1507A1E4">
                  <w:pPr>
                    <w:pStyle w:val="56"/>
                    <w:bidi w:val="0"/>
                    <w:rPr>
                      <w:color w:val="auto"/>
                      <w:highlight w:val="none"/>
                    </w:rPr>
                  </w:pPr>
                  <w:r>
                    <w:rPr>
                      <w:rFonts w:hint="eastAsia"/>
                      <w:color w:val="auto"/>
                      <w:highlight w:val="none"/>
                    </w:rPr>
                    <w:t>杂质</w:t>
                  </w:r>
                </w:p>
              </w:tc>
              <w:tc>
                <w:tcPr>
                  <w:tcW w:w="495" w:type="pct"/>
                  <w:shd w:val="clear" w:color="auto" w:fill="auto"/>
                  <w:noWrap w:val="0"/>
                  <w:vAlign w:val="center"/>
                </w:tcPr>
                <w:p w14:paraId="3C7DD303">
                  <w:pPr>
                    <w:pStyle w:val="56"/>
                    <w:bidi w:val="0"/>
                    <w:rPr>
                      <w:color w:val="auto"/>
                      <w:highlight w:val="none"/>
                    </w:rPr>
                  </w:pPr>
                  <w:r>
                    <w:rPr>
                      <w:rFonts w:hint="eastAsia"/>
                      <w:color w:val="auto"/>
                      <w:highlight w:val="none"/>
                    </w:rPr>
                    <w:t>一般固体废物</w:t>
                  </w:r>
                </w:p>
              </w:tc>
              <w:tc>
                <w:tcPr>
                  <w:tcW w:w="591" w:type="pct"/>
                  <w:shd w:val="clear" w:color="auto" w:fill="FFFFFF"/>
                  <w:noWrap w:val="0"/>
                  <w:vAlign w:val="center"/>
                </w:tcPr>
                <w:p w14:paraId="477878FF">
                  <w:pPr>
                    <w:pStyle w:val="56"/>
                    <w:bidi w:val="0"/>
                    <w:rPr>
                      <w:color w:val="auto"/>
                      <w:highlight w:val="none"/>
                    </w:rPr>
                  </w:pPr>
                  <w:r>
                    <w:rPr>
                      <w:rFonts w:hint="eastAsia"/>
                      <w:color w:val="auto"/>
                      <w:highlight w:val="none"/>
                    </w:rPr>
                    <w:t>类比法</w:t>
                  </w:r>
                </w:p>
              </w:tc>
              <w:tc>
                <w:tcPr>
                  <w:tcW w:w="567" w:type="pct"/>
                  <w:shd w:val="clear" w:color="auto" w:fill="FFFFFF"/>
                  <w:noWrap w:val="0"/>
                  <w:vAlign w:val="center"/>
                </w:tcPr>
                <w:p w14:paraId="4A112773">
                  <w:pPr>
                    <w:pStyle w:val="56"/>
                    <w:bidi w:val="0"/>
                    <w:rPr>
                      <w:rFonts w:hint="default"/>
                      <w:color w:val="auto"/>
                      <w:highlight w:val="none"/>
                      <w:lang w:val="en-US" w:eastAsia="zh-CN"/>
                    </w:rPr>
                  </w:pPr>
                  <w:r>
                    <w:rPr>
                      <w:rFonts w:hint="eastAsia"/>
                      <w:color w:val="auto"/>
                      <w:highlight w:val="none"/>
                      <w:lang w:val="en-US" w:eastAsia="zh-CN"/>
                    </w:rPr>
                    <w:t>36</w:t>
                  </w:r>
                </w:p>
              </w:tc>
              <w:tc>
                <w:tcPr>
                  <w:tcW w:w="403" w:type="pct"/>
                  <w:noWrap w:val="0"/>
                  <w:vAlign w:val="center"/>
                </w:tcPr>
                <w:p w14:paraId="7115247E">
                  <w:pPr>
                    <w:pStyle w:val="56"/>
                    <w:bidi w:val="0"/>
                    <w:rPr>
                      <w:color w:val="auto"/>
                      <w:highlight w:val="none"/>
                    </w:rPr>
                  </w:pPr>
                  <w:r>
                    <w:rPr>
                      <w:rFonts w:hint="eastAsia"/>
                      <w:color w:val="auto"/>
                      <w:highlight w:val="none"/>
                    </w:rPr>
                    <w:t>/</w:t>
                  </w:r>
                </w:p>
              </w:tc>
              <w:tc>
                <w:tcPr>
                  <w:tcW w:w="461" w:type="pct"/>
                  <w:noWrap w:val="0"/>
                  <w:vAlign w:val="center"/>
                </w:tcPr>
                <w:p w14:paraId="00C87010">
                  <w:pPr>
                    <w:pStyle w:val="56"/>
                    <w:bidi w:val="0"/>
                    <w:ind w:left="0" w:leftChars="0" w:firstLine="0" w:firstLineChars="0"/>
                    <w:rPr>
                      <w:rFonts w:hint="default"/>
                      <w:color w:val="auto"/>
                      <w:highlight w:val="none"/>
                      <w:lang w:val="en-US" w:eastAsia="zh-CN"/>
                    </w:rPr>
                  </w:pPr>
                  <w:r>
                    <w:rPr>
                      <w:rFonts w:hint="eastAsia"/>
                      <w:color w:val="auto"/>
                      <w:highlight w:val="none"/>
                      <w:lang w:val="en-US" w:eastAsia="zh-CN"/>
                    </w:rPr>
                    <w:t>36</w:t>
                  </w:r>
                </w:p>
              </w:tc>
              <w:tc>
                <w:tcPr>
                  <w:tcW w:w="531" w:type="pct"/>
                  <w:noWrap w:val="0"/>
                  <w:vAlign w:val="center"/>
                </w:tcPr>
                <w:p w14:paraId="1B2BCBD9">
                  <w:pPr>
                    <w:pStyle w:val="60"/>
                    <w:bidi w:val="0"/>
                    <w:rPr>
                      <w:color w:val="auto"/>
                      <w:highlight w:val="none"/>
                    </w:rPr>
                  </w:pPr>
                  <w:r>
                    <w:rPr>
                      <w:rFonts w:hint="eastAsia"/>
                      <w:color w:val="auto"/>
                      <w:highlight w:val="none"/>
                      <w:lang w:val="en-US" w:eastAsia="zh-CN"/>
                    </w:rPr>
                    <w:t>900-099-S59</w:t>
                  </w:r>
                </w:p>
              </w:tc>
              <w:tc>
                <w:tcPr>
                  <w:tcW w:w="565" w:type="pct"/>
                  <w:noWrap w:val="0"/>
                  <w:vAlign w:val="center"/>
                </w:tcPr>
                <w:p w14:paraId="2464807A">
                  <w:pPr>
                    <w:pStyle w:val="56"/>
                    <w:bidi w:val="0"/>
                    <w:rPr>
                      <w:color w:val="auto"/>
                      <w:highlight w:val="none"/>
                    </w:rPr>
                  </w:pPr>
                  <w:r>
                    <w:rPr>
                      <w:rFonts w:hint="eastAsia"/>
                      <w:color w:val="auto"/>
                      <w:highlight w:val="none"/>
                    </w:rPr>
                    <w:t>外售综合利用</w:t>
                  </w:r>
                </w:p>
              </w:tc>
            </w:tr>
            <w:tr w14:paraId="7574D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shd w:val="clear" w:color="auto" w:fill="auto"/>
                  <w:noWrap w:val="0"/>
                  <w:vAlign w:val="center"/>
                </w:tcPr>
                <w:p w14:paraId="7CCA1728">
                  <w:pPr>
                    <w:pStyle w:val="56"/>
                    <w:bidi w:val="0"/>
                    <w:rPr>
                      <w:color w:val="auto"/>
                      <w:highlight w:val="none"/>
                    </w:rPr>
                  </w:pPr>
                  <w:r>
                    <w:rPr>
                      <w:rFonts w:hint="eastAsia"/>
                      <w:color w:val="auto"/>
                      <w:highlight w:val="none"/>
                    </w:rPr>
                    <w:t>办公室</w:t>
                  </w:r>
                </w:p>
              </w:tc>
              <w:tc>
                <w:tcPr>
                  <w:tcW w:w="341" w:type="pct"/>
                  <w:shd w:val="clear" w:color="auto" w:fill="auto"/>
                  <w:noWrap w:val="0"/>
                  <w:vAlign w:val="center"/>
                </w:tcPr>
                <w:p w14:paraId="42A27D5A">
                  <w:pPr>
                    <w:pStyle w:val="56"/>
                    <w:bidi w:val="0"/>
                    <w:rPr>
                      <w:color w:val="auto"/>
                      <w:highlight w:val="none"/>
                    </w:rPr>
                  </w:pPr>
                  <w:r>
                    <w:rPr>
                      <w:rFonts w:hint="eastAsia"/>
                      <w:color w:val="auto"/>
                      <w:highlight w:val="none"/>
                    </w:rPr>
                    <w:t>垃圾箱</w:t>
                  </w:r>
                </w:p>
              </w:tc>
              <w:tc>
                <w:tcPr>
                  <w:tcW w:w="597" w:type="pct"/>
                  <w:shd w:val="clear" w:color="auto" w:fill="auto"/>
                  <w:noWrap w:val="0"/>
                  <w:vAlign w:val="center"/>
                </w:tcPr>
                <w:p w14:paraId="1231ABB3">
                  <w:pPr>
                    <w:pStyle w:val="56"/>
                    <w:bidi w:val="0"/>
                    <w:rPr>
                      <w:color w:val="auto"/>
                      <w:highlight w:val="none"/>
                    </w:rPr>
                  </w:pPr>
                  <w:r>
                    <w:rPr>
                      <w:rFonts w:hint="eastAsia"/>
                      <w:color w:val="auto"/>
                      <w:highlight w:val="none"/>
                    </w:rPr>
                    <w:t>生活垃圾</w:t>
                  </w:r>
                </w:p>
              </w:tc>
              <w:tc>
                <w:tcPr>
                  <w:tcW w:w="495" w:type="pct"/>
                  <w:shd w:val="clear" w:color="auto" w:fill="auto"/>
                  <w:noWrap w:val="0"/>
                  <w:vAlign w:val="center"/>
                </w:tcPr>
                <w:p w14:paraId="44FD4BFC">
                  <w:pPr>
                    <w:pStyle w:val="56"/>
                    <w:bidi w:val="0"/>
                    <w:rPr>
                      <w:color w:val="auto"/>
                      <w:highlight w:val="none"/>
                    </w:rPr>
                  </w:pPr>
                  <w:r>
                    <w:rPr>
                      <w:rFonts w:hint="eastAsia"/>
                      <w:color w:val="auto"/>
                      <w:highlight w:val="none"/>
                    </w:rPr>
                    <w:t>生活垃圾</w:t>
                  </w:r>
                </w:p>
              </w:tc>
              <w:tc>
                <w:tcPr>
                  <w:tcW w:w="591" w:type="pct"/>
                  <w:shd w:val="clear" w:color="auto" w:fill="FFFFFF"/>
                  <w:noWrap w:val="0"/>
                  <w:vAlign w:val="center"/>
                </w:tcPr>
                <w:p w14:paraId="6628B9A8">
                  <w:pPr>
                    <w:pStyle w:val="56"/>
                    <w:bidi w:val="0"/>
                    <w:rPr>
                      <w:color w:val="auto"/>
                      <w:highlight w:val="none"/>
                    </w:rPr>
                  </w:pPr>
                  <w:r>
                    <w:rPr>
                      <w:rFonts w:hint="eastAsia"/>
                      <w:color w:val="auto"/>
                      <w:highlight w:val="none"/>
                    </w:rPr>
                    <w:t>类比法</w:t>
                  </w:r>
                </w:p>
              </w:tc>
              <w:tc>
                <w:tcPr>
                  <w:tcW w:w="567" w:type="pct"/>
                  <w:shd w:val="clear" w:color="auto" w:fill="FFFFFF"/>
                  <w:noWrap w:val="0"/>
                  <w:vAlign w:val="center"/>
                </w:tcPr>
                <w:p w14:paraId="18164FCF">
                  <w:pPr>
                    <w:pStyle w:val="56"/>
                    <w:bidi w:val="0"/>
                    <w:rPr>
                      <w:rFonts w:hint="default" w:eastAsia="宋体"/>
                      <w:color w:val="auto"/>
                      <w:highlight w:val="none"/>
                      <w:lang w:val="en-US" w:eastAsia="zh-CN"/>
                    </w:rPr>
                  </w:pPr>
                  <w:r>
                    <w:rPr>
                      <w:rFonts w:hint="eastAsia"/>
                      <w:color w:val="auto"/>
                      <w:highlight w:val="none"/>
                      <w:lang w:val="en-US" w:eastAsia="zh-CN"/>
                    </w:rPr>
                    <w:t>0.24</w:t>
                  </w:r>
                </w:p>
              </w:tc>
              <w:tc>
                <w:tcPr>
                  <w:tcW w:w="403" w:type="pct"/>
                  <w:noWrap w:val="0"/>
                  <w:vAlign w:val="center"/>
                </w:tcPr>
                <w:p w14:paraId="46E18BFE">
                  <w:pPr>
                    <w:pStyle w:val="56"/>
                    <w:bidi w:val="0"/>
                    <w:rPr>
                      <w:color w:val="auto"/>
                      <w:highlight w:val="none"/>
                    </w:rPr>
                  </w:pPr>
                  <w:r>
                    <w:rPr>
                      <w:rFonts w:hint="eastAsia"/>
                      <w:color w:val="auto"/>
                      <w:highlight w:val="none"/>
                    </w:rPr>
                    <w:t>/</w:t>
                  </w:r>
                </w:p>
              </w:tc>
              <w:tc>
                <w:tcPr>
                  <w:tcW w:w="461" w:type="pct"/>
                  <w:noWrap w:val="0"/>
                  <w:vAlign w:val="center"/>
                </w:tcPr>
                <w:p w14:paraId="098808D3">
                  <w:pPr>
                    <w:pStyle w:val="56"/>
                    <w:bidi w:val="0"/>
                    <w:rPr>
                      <w:rFonts w:hint="default" w:eastAsia="宋体"/>
                      <w:color w:val="auto"/>
                      <w:highlight w:val="none"/>
                      <w:lang w:val="en-US" w:eastAsia="zh-CN"/>
                    </w:rPr>
                  </w:pPr>
                  <w:r>
                    <w:rPr>
                      <w:rFonts w:hint="eastAsia"/>
                      <w:color w:val="auto"/>
                      <w:highlight w:val="none"/>
                      <w:lang w:val="en-US" w:eastAsia="zh-CN"/>
                    </w:rPr>
                    <w:t>0.24</w:t>
                  </w:r>
                </w:p>
              </w:tc>
              <w:tc>
                <w:tcPr>
                  <w:tcW w:w="531" w:type="pct"/>
                  <w:noWrap w:val="0"/>
                  <w:vAlign w:val="center"/>
                </w:tcPr>
                <w:p w14:paraId="18942158">
                  <w:pPr>
                    <w:pStyle w:val="56"/>
                    <w:bidi w:val="0"/>
                    <w:rPr>
                      <w:color w:val="auto"/>
                      <w:highlight w:val="none"/>
                    </w:rPr>
                  </w:pPr>
                  <w:r>
                    <w:rPr>
                      <w:rFonts w:hint="eastAsia"/>
                      <w:color w:val="auto"/>
                      <w:highlight w:val="none"/>
                      <w:lang w:val="en-US" w:eastAsia="zh-CN"/>
                    </w:rPr>
                    <w:t>900-099-S64</w:t>
                  </w:r>
                </w:p>
              </w:tc>
              <w:tc>
                <w:tcPr>
                  <w:tcW w:w="565" w:type="pct"/>
                  <w:noWrap w:val="0"/>
                  <w:vAlign w:val="center"/>
                </w:tcPr>
                <w:p w14:paraId="23773C2B">
                  <w:pPr>
                    <w:pStyle w:val="56"/>
                    <w:bidi w:val="0"/>
                    <w:rPr>
                      <w:color w:val="auto"/>
                      <w:highlight w:val="none"/>
                    </w:rPr>
                  </w:pPr>
                  <w:r>
                    <w:rPr>
                      <w:rFonts w:hint="eastAsia"/>
                      <w:color w:val="auto"/>
                      <w:highlight w:val="none"/>
                    </w:rPr>
                    <w:t>交由市政环卫部门统一处理</w:t>
                  </w:r>
                </w:p>
              </w:tc>
            </w:tr>
          </w:tbl>
          <w:p w14:paraId="1070FF37">
            <w:pPr>
              <w:pStyle w:val="52"/>
              <w:bidi w:val="0"/>
              <w:rPr>
                <w:b/>
                <w:bCs/>
                <w:color w:val="auto"/>
                <w:highlight w:val="none"/>
              </w:rPr>
            </w:pPr>
            <w:r>
              <w:rPr>
                <w:rFonts w:hint="eastAsia"/>
                <w:b/>
                <w:bCs/>
                <w:color w:val="auto"/>
                <w:highlight w:val="none"/>
                <w:lang w:eastAsia="zh-CN"/>
              </w:rPr>
              <w:t>2.</w:t>
            </w:r>
            <w:r>
              <w:rPr>
                <w:b/>
                <w:bCs/>
                <w:color w:val="auto"/>
                <w:highlight w:val="none"/>
              </w:rPr>
              <w:t>处置去向及环境管理要求</w:t>
            </w:r>
          </w:p>
          <w:p w14:paraId="55099042">
            <w:pPr>
              <w:pStyle w:val="46"/>
              <w:ind w:firstLine="48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生活垃圾暂存于垃圾桶内，统一收集后送当地环卫部门指定地点处理。</w:t>
            </w:r>
          </w:p>
          <w:p w14:paraId="0A22C208">
            <w:pPr>
              <w:pStyle w:val="46"/>
              <w:ind w:firstLine="48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工业固体废物管理要求：</w:t>
            </w:r>
          </w:p>
          <w:p w14:paraId="2DC20CF0">
            <w:pPr>
              <w:pStyle w:val="46"/>
              <w:ind w:firstLine="480"/>
              <w:rPr>
                <w:color w:val="auto"/>
                <w:highlight w:val="none"/>
              </w:rPr>
            </w:pPr>
            <w:r>
              <w:rPr>
                <w:color w:val="auto"/>
                <w:highlight w:val="none"/>
              </w:rPr>
              <w:t>①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1C96B70A">
            <w:pPr>
              <w:pStyle w:val="46"/>
              <w:ind w:firstLine="480"/>
              <w:rPr>
                <w:color w:val="auto"/>
                <w:highlight w:val="none"/>
              </w:rPr>
            </w:pPr>
            <w:r>
              <w:rPr>
                <w:color w:val="auto"/>
                <w:highlight w:val="none"/>
              </w:rPr>
              <w:t>②禁止向生活垃圾收集设施中投放工业固体废物。</w:t>
            </w:r>
          </w:p>
          <w:p w14:paraId="10F4F02C">
            <w:pPr>
              <w:pStyle w:val="46"/>
              <w:ind w:firstLine="480"/>
              <w:rPr>
                <w:color w:val="auto"/>
                <w:highlight w:val="none"/>
              </w:rPr>
            </w:pPr>
            <w:r>
              <w:rPr>
                <w:color w:val="auto"/>
                <w:highlight w:val="none"/>
              </w:rPr>
              <w:t>③产生工业固体废物的单位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产生工业固体废物的单位。</w:t>
            </w:r>
          </w:p>
          <w:p w14:paraId="7E9CF90A">
            <w:pPr>
              <w:pStyle w:val="46"/>
              <w:ind w:firstLine="480"/>
              <w:rPr>
                <w:color w:val="auto"/>
                <w:highlight w:val="none"/>
              </w:rPr>
            </w:pPr>
            <w:r>
              <w:rPr>
                <w:color w:val="auto"/>
                <w:highlight w:val="none"/>
              </w:rPr>
              <w:t>综上所述，只要在营运后做好固废的分类收集、管理及处置工作，并加强对委托代处理单位的有效监督，该项目产生的固废不会造成二次污染。本项目营运期固废均能得到妥善处理处置，对环境影响很小。</w:t>
            </w:r>
          </w:p>
          <w:p w14:paraId="3ECEFBD7">
            <w:pPr>
              <w:pStyle w:val="46"/>
              <w:ind w:firstLine="482"/>
              <w:rPr>
                <w:b/>
                <w:bCs/>
                <w:color w:val="auto"/>
                <w:highlight w:val="none"/>
              </w:rPr>
            </w:pPr>
            <w:r>
              <w:rPr>
                <w:b/>
                <w:bCs/>
                <w:color w:val="auto"/>
                <w:highlight w:val="none"/>
              </w:rPr>
              <w:t>五、地下水、土壤</w:t>
            </w:r>
          </w:p>
          <w:p w14:paraId="67C6633F">
            <w:pPr>
              <w:pStyle w:val="46"/>
              <w:bidi w:val="0"/>
              <w:rPr>
                <w:rFonts w:hint="eastAsia"/>
                <w:color w:val="auto"/>
                <w:highlight w:val="none"/>
                <w:lang w:eastAsia="zh-CN"/>
              </w:rPr>
            </w:pPr>
            <w:r>
              <w:rPr>
                <w:rFonts w:hint="eastAsia"/>
                <w:color w:val="auto"/>
                <w:highlight w:val="none"/>
                <w:lang w:val="en-US" w:eastAsia="zh-CN"/>
              </w:rPr>
              <w:t>本项目</w:t>
            </w:r>
            <w:r>
              <w:rPr>
                <w:rFonts w:hint="default"/>
                <w:color w:val="auto"/>
                <w:highlight w:val="none"/>
                <w:lang w:val="en-US" w:eastAsia="zh-CN"/>
              </w:rPr>
              <w:t>防渗旱厕采取</w:t>
            </w:r>
            <w:r>
              <w:rPr>
                <w:rFonts w:hint="default"/>
                <w:color w:val="auto"/>
                <w:highlight w:val="none"/>
              </w:rPr>
              <w:t>一般防渗</w:t>
            </w:r>
            <w:r>
              <w:rPr>
                <w:rFonts w:hint="default"/>
                <w:color w:val="auto"/>
                <w:highlight w:val="none"/>
                <w:lang w:val="en-US" w:eastAsia="zh-CN"/>
              </w:rPr>
              <w:t>处理</w:t>
            </w:r>
            <w:r>
              <w:rPr>
                <w:rFonts w:hint="default"/>
                <w:color w:val="auto"/>
                <w:highlight w:val="none"/>
              </w:rPr>
              <w:t>，防渗技术要求满足等效黏土防渗层厚度Mb≥1.5m，渗透系数K≤1×10</w:t>
            </w:r>
            <w:r>
              <w:rPr>
                <w:rFonts w:hint="default"/>
                <w:color w:val="auto"/>
                <w:highlight w:val="none"/>
                <w:vertAlign w:val="superscript"/>
              </w:rPr>
              <w:t>-7</w:t>
            </w:r>
            <w:r>
              <w:rPr>
                <w:rFonts w:hint="default"/>
                <w:color w:val="auto"/>
                <w:highlight w:val="none"/>
              </w:rPr>
              <w:t>cm/s</w:t>
            </w:r>
            <w:r>
              <w:rPr>
                <w:rFonts w:hint="default"/>
                <w:color w:val="auto"/>
                <w:highlight w:val="none"/>
                <w:lang w:eastAsia="zh-CN"/>
              </w:rPr>
              <w:t>。</w:t>
            </w:r>
            <w:r>
              <w:rPr>
                <w:rFonts w:hint="eastAsia"/>
                <w:color w:val="auto"/>
                <w:highlight w:val="none"/>
                <w:lang w:val="en-US" w:eastAsia="zh-CN"/>
              </w:rPr>
              <w:t>其他区域</w:t>
            </w:r>
            <w:r>
              <w:rPr>
                <w:rFonts w:hint="default"/>
                <w:color w:val="auto"/>
                <w:highlight w:val="none"/>
                <w:lang w:val="en-US" w:eastAsia="zh-CN"/>
              </w:rPr>
              <w:t>地面均进行简单防渗处理，进行一般</w:t>
            </w:r>
            <w:r>
              <w:rPr>
                <w:rFonts w:hint="default"/>
                <w:color w:val="auto"/>
                <w:highlight w:val="none"/>
              </w:rPr>
              <w:t>地面水泥硬化</w:t>
            </w:r>
            <w:r>
              <w:rPr>
                <w:rFonts w:hint="eastAsia"/>
                <w:color w:val="auto"/>
                <w:highlight w:val="none"/>
                <w:lang w:eastAsia="zh-CN"/>
              </w:rPr>
              <w:t>。</w:t>
            </w:r>
          </w:p>
          <w:p w14:paraId="4B8A89C8">
            <w:pPr>
              <w:pStyle w:val="46"/>
              <w:ind w:firstLine="480"/>
              <w:textAlignment w:val="center"/>
              <w:rPr>
                <w:color w:val="auto"/>
                <w:highlight w:val="none"/>
              </w:rPr>
            </w:pPr>
            <w:r>
              <w:rPr>
                <w:rFonts w:hint="default" w:ascii="Times New Roman" w:hAnsi="Times New Roman" w:cs="Times New Roman"/>
                <w:color w:val="auto"/>
                <w:highlight w:val="none"/>
              </w:rPr>
              <w:t>因此，本项目不会因垂直入渗、地表漫流途径对土壤环境造成污染影响，</w:t>
            </w:r>
            <w:r>
              <w:rPr>
                <w:color w:val="auto"/>
                <w:highlight w:val="none"/>
              </w:rPr>
              <w:t>不存在土壤、地下水环境污染途径，运营期无地下水、土壤跟踪监测要求。</w:t>
            </w:r>
          </w:p>
          <w:p w14:paraId="6A7E5921">
            <w:pPr>
              <w:pStyle w:val="46"/>
              <w:ind w:firstLine="482"/>
              <w:rPr>
                <w:b/>
                <w:bCs/>
                <w:color w:val="auto"/>
                <w:highlight w:val="none"/>
              </w:rPr>
            </w:pPr>
            <w:r>
              <w:rPr>
                <w:b/>
                <w:bCs/>
                <w:color w:val="auto"/>
                <w:highlight w:val="none"/>
              </w:rPr>
              <w:t>六、生态</w:t>
            </w:r>
          </w:p>
          <w:p w14:paraId="3C1722C2">
            <w:pPr>
              <w:pStyle w:val="46"/>
              <w:ind w:firstLine="480"/>
              <w:rPr>
                <w:color w:val="auto"/>
                <w:highlight w:val="none"/>
              </w:rPr>
            </w:pPr>
            <w:r>
              <w:rPr>
                <w:color w:val="auto"/>
                <w:highlight w:val="none"/>
              </w:rPr>
              <w:t>本项目占地范围内无特殊生态敏感区及重要生态敏感区等生态环境保护目标，对周边生态环境影响较小，</w:t>
            </w:r>
            <w:r>
              <w:rPr>
                <w:rFonts w:hint="eastAsia"/>
                <w:color w:val="auto"/>
                <w:highlight w:val="none"/>
                <w:lang w:eastAsia="zh-CN"/>
              </w:rPr>
              <w:t>无须设置</w:t>
            </w:r>
            <w:r>
              <w:rPr>
                <w:color w:val="auto"/>
                <w:highlight w:val="none"/>
              </w:rPr>
              <w:t>相应生态环境保护措施。</w:t>
            </w:r>
          </w:p>
          <w:p w14:paraId="0327DA4B">
            <w:pPr>
              <w:pStyle w:val="46"/>
              <w:ind w:firstLine="482"/>
              <w:rPr>
                <w:b/>
                <w:bCs/>
                <w:color w:val="auto"/>
                <w:highlight w:val="none"/>
              </w:rPr>
            </w:pPr>
            <w:r>
              <w:rPr>
                <w:b/>
                <w:bCs/>
                <w:color w:val="auto"/>
                <w:highlight w:val="none"/>
              </w:rPr>
              <w:t>七、环境风险</w:t>
            </w:r>
          </w:p>
          <w:p w14:paraId="782D07E8">
            <w:pPr>
              <w:pStyle w:val="46"/>
              <w:bidi w:val="0"/>
              <w:rPr>
                <w:rFonts w:hint="default"/>
                <w:lang w:val="en-US" w:eastAsia="zh-CN"/>
              </w:rPr>
            </w:pPr>
            <w:r>
              <w:rPr>
                <w:rFonts w:hint="default"/>
                <w:lang w:val="en-US" w:eastAsia="zh-CN"/>
              </w:rPr>
              <w:t>根据《建设项目环境风险评价技术导则》HJ169-2018中附录B，</w:t>
            </w:r>
            <w:r>
              <w:rPr>
                <w:rFonts w:hint="eastAsia"/>
                <w:lang w:val="en-US" w:eastAsia="zh-CN"/>
              </w:rPr>
              <w:t>本项目</w:t>
            </w:r>
            <w:r>
              <w:rPr>
                <w:rFonts w:hint="default"/>
                <w:lang w:val="en-US" w:eastAsia="zh-CN"/>
              </w:rPr>
              <w:t>不涉及有毒有害及易燃易爆等危险物质和风险源，确定本项目环境风险评价等级为简单分析。</w:t>
            </w:r>
            <w:r>
              <w:rPr>
                <w:rFonts w:hint="eastAsia"/>
                <w:lang w:val="en-US" w:eastAsia="zh-CN"/>
              </w:rPr>
              <w:t>本项目燃料为易燃物质，所以存在火灾风险</w:t>
            </w:r>
            <w:r>
              <w:rPr>
                <w:rFonts w:hint="default"/>
                <w:lang w:val="en-US" w:eastAsia="zh-CN"/>
              </w:rPr>
              <w:t>。</w:t>
            </w:r>
            <w:r>
              <w:rPr>
                <w:rFonts w:hint="eastAsia"/>
                <w:lang w:val="en-US" w:eastAsia="zh-CN"/>
              </w:rPr>
              <w:t>应针对火灾风险做以下防范措施：</w:t>
            </w:r>
          </w:p>
          <w:p w14:paraId="3CFBF283">
            <w:pPr>
              <w:pStyle w:val="46"/>
              <w:bidi w:val="0"/>
              <w:rPr>
                <w:rFonts w:hint="default"/>
                <w:lang w:val="en-US" w:eastAsia="zh-CN"/>
              </w:rPr>
            </w:pPr>
            <w:r>
              <w:rPr>
                <w:rFonts w:hint="eastAsia"/>
                <w:lang w:val="en-US" w:eastAsia="zh-CN"/>
              </w:rPr>
              <w:t>1.在厂区设置灭火器等消防设施并定期检查；</w:t>
            </w:r>
          </w:p>
          <w:p w14:paraId="5754E1B9">
            <w:pPr>
              <w:pStyle w:val="46"/>
              <w:bidi w:val="0"/>
              <w:rPr>
                <w:rFonts w:hint="default"/>
                <w:lang w:val="en-US" w:eastAsia="zh-CN"/>
              </w:rPr>
            </w:pPr>
            <w:r>
              <w:rPr>
                <w:rFonts w:hint="eastAsia"/>
                <w:lang w:val="en-US" w:eastAsia="zh-CN"/>
              </w:rPr>
              <w:t>2.经常检查，及时发现火灾隐患并做出正确处理；</w:t>
            </w:r>
          </w:p>
          <w:p w14:paraId="67A03AC4">
            <w:pPr>
              <w:pStyle w:val="46"/>
              <w:bidi w:val="0"/>
              <w:rPr>
                <w:rFonts w:hint="default"/>
                <w:lang w:val="en-US" w:eastAsia="zh-CN"/>
              </w:rPr>
            </w:pPr>
            <w:r>
              <w:rPr>
                <w:rFonts w:hint="eastAsia"/>
                <w:lang w:val="en-US" w:eastAsia="zh-CN"/>
              </w:rPr>
              <w:t>3.禁止携带易燃易爆物品、火种进入现场；</w:t>
            </w:r>
          </w:p>
          <w:p w14:paraId="3934ABA6">
            <w:pPr>
              <w:pStyle w:val="46"/>
              <w:bidi w:val="0"/>
              <w:rPr>
                <w:rFonts w:hint="default"/>
                <w:lang w:val="en-US" w:eastAsia="zh-CN"/>
              </w:rPr>
            </w:pPr>
            <w:r>
              <w:rPr>
                <w:rFonts w:hint="eastAsia"/>
                <w:lang w:val="en-US" w:eastAsia="zh-CN"/>
              </w:rPr>
              <w:t>4.电动机具不允许超负荷运转，随时对电路进行检查，经常清除附着在机具上的可燃污垢等。</w:t>
            </w:r>
          </w:p>
          <w:p w14:paraId="3A63FF2C">
            <w:pPr>
              <w:pStyle w:val="46"/>
              <w:bidi w:val="0"/>
              <w:rPr>
                <w:rFonts w:hint="default"/>
                <w:b/>
                <w:bCs/>
              </w:rPr>
            </w:pPr>
            <w:r>
              <w:rPr>
                <w:rFonts w:hint="eastAsia"/>
                <w:b/>
                <w:bCs/>
                <w:lang w:val="en-US" w:eastAsia="zh-CN"/>
              </w:rPr>
              <w:t>八</w:t>
            </w:r>
            <w:r>
              <w:rPr>
                <w:rFonts w:hint="default"/>
                <w:b/>
                <w:bCs/>
              </w:rPr>
              <w:t>、排污许可证制度衔接</w:t>
            </w:r>
          </w:p>
          <w:p w14:paraId="3B11D463">
            <w:pPr>
              <w:keepNext w:val="0"/>
              <w:keepLines w:val="0"/>
              <w:pageBreakBefore w:val="0"/>
              <w:widowControl w:val="0"/>
              <w:suppressLineNumbers w:val="0"/>
              <w:kinsoku/>
              <w:overflowPunct/>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应严格按照国家排污许可证改革的要求，推进刷卡排污及污染源“一证式”管理工作，并作为建设单位在生产运营期接受环境监管和环境保护部门实施监管的主要法律文书，单位依法申领排污许可证，按证排污，自证守法。环境保护部门基于企事业单位守法承诺，依法发放排污许可证，依证强化事中事后监管，对违法排污行为实施严厉打击。</w:t>
            </w:r>
          </w:p>
          <w:p w14:paraId="4353C964">
            <w:pPr>
              <w:pStyle w:val="46"/>
              <w:keepNext w:val="0"/>
              <w:keepLines w:val="0"/>
              <w:pageBreakBefore w:val="0"/>
              <w:widowControl w:val="0"/>
              <w:kinsoku/>
              <w:overflowPunct/>
              <w:bidi w:val="0"/>
              <w:spacing w:line="360" w:lineRule="auto"/>
              <w:textAlignment w:val="auto"/>
              <w:rPr>
                <w:rFonts w:hint="eastAsia"/>
                <w:color w:val="auto"/>
                <w:highlight w:val="none"/>
                <w:lang w:val="en-US" w:eastAsia="zh-CN"/>
              </w:rPr>
            </w:pPr>
            <w:r>
              <w:rPr>
                <w:rFonts w:hint="default" w:ascii="Times New Roman" w:hAnsi="Times New Roman" w:eastAsia="宋体" w:cs="Times New Roman"/>
                <w:color w:val="auto"/>
                <w:kern w:val="0"/>
                <w:sz w:val="24"/>
                <w:highlight w:val="none"/>
              </w:rPr>
              <w:t>根据</w:t>
            </w:r>
            <w:r>
              <w:rPr>
                <w:rFonts w:hint="eastAsia"/>
                <w:color w:val="auto"/>
                <w:highlight w:val="none"/>
                <w:lang w:val="en-US" w:eastAsia="zh-CN"/>
              </w:rPr>
              <w:t>《排污许可证申请与核发技术规范 工业炉窑》（HJ1121—2020）中关于国家和地方污染物排放标准，按从严原则确定许可排放浓度。工业炉窑排污单位应在全国排污许可证管理信息平台申报系统中写明申请的许可排放量计算过程。排污单位承诺的排放浓度严于本标准要求的，应在排污许可证中载明。</w:t>
            </w:r>
          </w:p>
          <w:p w14:paraId="443A2F02">
            <w:pPr>
              <w:pStyle w:val="46"/>
              <w:keepNext w:val="0"/>
              <w:keepLines w:val="0"/>
              <w:pageBreakBefore w:val="0"/>
              <w:widowControl w:val="0"/>
              <w:kinsoku/>
              <w:overflowPunct/>
              <w:bidi w:val="0"/>
              <w:spacing w:line="360" w:lineRule="auto"/>
              <w:textAlignment w:val="auto"/>
              <w:rPr>
                <w:rFonts w:hint="eastAsia"/>
                <w:color w:val="auto"/>
                <w:highlight w:val="none"/>
                <w:lang w:val="en-US" w:eastAsia="zh-CN"/>
              </w:rPr>
            </w:pPr>
          </w:p>
          <w:p w14:paraId="6ADCEF8B">
            <w:pPr>
              <w:pStyle w:val="46"/>
              <w:keepNext w:val="0"/>
              <w:keepLines w:val="0"/>
              <w:pageBreakBefore w:val="0"/>
              <w:widowControl w:val="0"/>
              <w:kinsoku/>
              <w:overflowPunct/>
              <w:bidi w:val="0"/>
              <w:spacing w:line="360" w:lineRule="auto"/>
              <w:textAlignment w:val="auto"/>
              <w:rPr>
                <w:rFonts w:hint="eastAsia"/>
                <w:color w:val="auto"/>
                <w:highlight w:val="none"/>
                <w:lang w:val="en-US" w:eastAsia="zh-CN"/>
              </w:rPr>
            </w:pPr>
          </w:p>
          <w:p w14:paraId="6F9F0BB0">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595F42B5">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63867DD8">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52527C7D">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64CD7883">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5815F35C">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2A596987">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4EF9F49B">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47C3173F">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18858E56">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3E99667D">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629513BD">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52010FDC">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7448B45F">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1097A102">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74E62A5B">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363380E3">
            <w:pPr>
              <w:pStyle w:val="46"/>
              <w:keepNext w:val="0"/>
              <w:keepLines w:val="0"/>
              <w:pageBreakBefore w:val="0"/>
              <w:widowControl w:val="0"/>
              <w:kinsoku/>
              <w:overflowPunct/>
              <w:bidi w:val="0"/>
              <w:spacing w:line="360" w:lineRule="auto"/>
              <w:ind w:left="0" w:leftChars="0" w:firstLine="0" w:firstLineChars="0"/>
              <w:textAlignment w:val="auto"/>
              <w:rPr>
                <w:rFonts w:hint="eastAsia"/>
                <w:color w:val="auto"/>
                <w:highlight w:val="none"/>
                <w:lang w:val="en-US" w:eastAsia="zh-CN"/>
              </w:rPr>
            </w:pPr>
          </w:p>
          <w:p w14:paraId="53D1116E">
            <w:pPr>
              <w:pStyle w:val="46"/>
              <w:keepNext w:val="0"/>
              <w:keepLines w:val="0"/>
              <w:pageBreakBefore w:val="0"/>
              <w:widowControl w:val="0"/>
              <w:kinsoku/>
              <w:overflowPunct/>
              <w:bidi w:val="0"/>
              <w:spacing w:line="360" w:lineRule="auto"/>
              <w:ind w:left="0" w:leftChars="0" w:firstLine="0" w:firstLineChars="0"/>
              <w:textAlignment w:val="auto"/>
              <w:rPr>
                <w:rFonts w:hint="default"/>
                <w:color w:val="auto"/>
                <w:highlight w:val="none"/>
                <w:lang w:val="en-US" w:eastAsia="zh-CN"/>
              </w:rPr>
            </w:pPr>
          </w:p>
        </w:tc>
      </w:tr>
    </w:tbl>
    <w:p w14:paraId="4D26714E">
      <w:pPr>
        <w:adjustRightInd w:val="0"/>
        <w:snapToGrid w:val="0"/>
        <w:rPr>
          <w:rFonts w:hint="default" w:ascii="Times New Roman" w:hAnsi="Times New Roman" w:cs="Times New Roman"/>
          <w:b/>
          <w:color w:val="auto"/>
          <w:kern w:val="0"/>
          <w:sz w:val="28"/>
          <w:szCs w:val="28"/>
          <w:highlight w:val="none"/>
        </w:rPr>
        <w:sectPr>
          <w:pgSz w:w="11907" w:h="16840"/>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14:paraId="14D846BA">
      <w:pPr>
        <w:wordWrap w:val="0"/>
        <w:topLinePunct/>
        <w:jc w:val="center"/>
        <w:outlineLvl w:val="0"/>
        <w:rPr>
          <w:rFonts w:hint="default" w:ascii="Times New Roman" w:hAnsi="Times New Roman" w:cs="Times New Roman"/>
          <w:b/>
          <w:snapToGrid w:val="0"/>
          <w:color w:val="auto"/>
          <w:sz w:val="30"/>
          <w:szCs w:val="30"/>
          <w:highlight w:val="none"/>
        </w:rPr>
      </w:pPr>
      <w:bookmarkStart w:id="19" w:name="_Toc280"/>
      <w:r>
        <w:rPr>
          <w:rFonts w:hint="default" w:ascii="Times New Roman" w:hAnsi="Times New Roman" w:cs="Times New Roman"/>
          <w:b/>
          <w:snapToGrid w:val="0"/>
          <w:color w:val="auto"/>
          <w:sz w:val="30"/>
          <w:szCs w:val="30"/>
          <w:highlight w:val="none"/>
        </w:rPr>
        <w:t>五、</w:t>
      </w:r>
      <w:bookmarkStart w:id="20" w:name="_Hlk54167917"/>
      <w:r>
        <w:rPr>
          <w:rFonts w:hint="default" w:ascii="Times New Roman" w:hAnsi="Times New Roman" w:cs="Times New Roman"/>
          <w:b/>
          <w:snapToGrid w:val="0"/>
          <w:color w:val="auto"/>
          <w:sz w:val="30"/>
          <w:szCs w:val="30"/>
          <w:highlight w:val="none"/>
        </w:rPr>
        <w:t>环境保护措施监督检查清单</w:t>
      </w:r>
      <w:bookmarkEnd w:id="19"/>
      <w:bookmarkEnd w:id="20"/>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1511"/>
        <w:gridCol w:w="1269"/>
        <w:gridCol w:w="1877"/>
        <w:gridCol w:w="2814"/>
      </w:tblGrid>
      <w:tr w14:paraId="14750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1051" w:type="dxa"/>
            <w:tcBorders>
              <w:tl2br w:val="single" w:color="auto" w:sz="4" w:space="0"/>
            </w:tcBorders>
            <w:noWrap w:val="0"/>
            <w:vAlign w:val="top"/>
          </w:tcPr>
          <w:p w14:paraId="00717773">
            <w:pPr>
              <w:pStyle w:val="60"/>
              <w:bidi w:val="0"/>
              <w:jc w:val="righ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内容</w:t>
            </w:r>
          </w:p>
          <w:p w14:paraId="707D14DB">
            <w:pPr>
              <w:pStyle w:val="60"/>
              <w:bidi w:val="0"/>
              <w:rPr>
                <w:rFonts w:hint="default" w:ascii="Times New Roman" w:hAnsi="Times New Roman" w:cs="Times New Roman"/>
                <w:b/>
                <w:bCs/>
                <w:color w:val="auto"/>
                <w:sz w:val="24"/>
                <w:szCs w:val="24"/>
                <w:highlight w:val="none"/>
              </w:rPr>
            </w:pPr>
          </w:p>
          <w:p w14:paraId="065D8E69">
            <w:pPr>
              <w:pStyle w:val="60"/>
              <w:bidi w:val="0"/>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要素</w:t>
            </w:r>
          </w:p>
        </w:tc>
        <w:tc>
          <w:tcPr>
            <w:tcW w:w="1511" w:type="dxa"/>
            <w:noWrap w:val="0"/>
            <w:vAlign w:val="center"/>
          </w:tcPr>
          <w:p w14:paraId="45150D9B">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排放口(编号、名称</w:t>
            </w:r>
            <w:r>
              <w:rPr>
                <w:rFonts w:hint="eastAsia"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rPr>
              <w:t>/污染源</w:t>
            </w:r>
          </w:p>
        </w:tc>
        <w:tc>
          <w:tcPr>
            <w:tcW w:w="1269" w:type="dxa"/>
            <w:noWrap w:val="0"/>
            <w:vAlign w:val="center"/>
          </w:tcPr>
          <w:p w14:paraId="116E98E2">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污染物项目</w:t>
            </w:r>
          </w:p>
        </w:tc>
        <w:tc>
          <w:tcPr>
            <w:tcW w:w="1877" w:type="dxa"/>
            <w:noWrap w:val="0"/>
            <w:vAlign w:val="center"/>
          </w:tcPr>
          <w:p w14:paraId="694599EF">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环境保护措施</w:t>
            </w:r>
          </w:p>
        </w:tc>
        <w:tc>
          <w:tcPr>
            <w:tcW w:w="2814" w:type="dxa"/>
            <w:noWrap w:val="0"/>
            <w:vAlign w:val="center"/>
          </w:tcPr>
          <w:p w14:paraId="2666A949">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执行标准</w:t>
            </w:r>
          </w:p>
        </w:tc>
      </w:tr>
      <w:tr w14:paraId="31B61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51" w:type="dxa"/>
            <w:vMerge w:val="restart"/>
            <w:noWrap w:val="0"/>
            <w:vAlign w:val="center"/>
          </w:tcPr>
          <w:p w14:paraId="0CC20062">
            <w:pPr>
              <w:pStyle w:val="60"/>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大气环境</w:t>
            </w:r>
          </w:p>
        </w:tc>
        <w:tc>
          <w:tcPr>
            <w:tcW w:w="1511" w:type="dxa"/>
            <w:vMerge w:val="restart"/>
            <w:shd w:val="clear" w:color="auto" w:fill="auto"/>
            <w:noWrap w:val="0"/>
            <w:vAlign w:val="center"/>
          </w:tcPr>
          <w:p w14:paraId="2231F718">
            <w:pPr>
              <w:pStyle w:val="60"/>
              <w:bidi w:val="0"/>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热风炉烟囱</w:t>
            </w:r>
            <w:r>
              <w:rPr>
                <w:rFonts w:hint="default" w:ascii="Times New Roman" w:hAnsi="Times New Roman" w:cs="Times New Roman"/>
                <w:color w:val="auto"/>
                <w:sz w:val="24"/>
                <w:szCs w:val="24"/>
                <w:highlight w:val="none"/>
                <w:lang w:val="en-US" w:eastAsia="zh-CN"/>
              </w:rPr>
              <w:t>DA001</w:t>
            </w:r>
          </w:p>
        </w:tc>
        <w:tc>
          <w:tcPr>
            <w:tcW w:w="1269" w:type="dxa"/>
            <w:shd w:val="clear" w:color="auto" w:fill="auto"/>
            <w:noWrap w:val="0"/>
            <w:vAlign w:val="center"/>
          </w:tcPr>
          <w:p w14:paraId="56398E27">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烟尘</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二氧化硫</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烟气黑度</w:t>
            </w:r>
          </w:p>
        </w:tc>
        <w:tc>
          <w:tcPr>
            <w:tcW w:w="1877" w:type="dxa"/>
            <w:vMerge w:val="restart"/>
            <w:shd w:val="clear" w:color="auto" w:fill="auto"/>
            <w:noWrap w:val="0"/>
            <w:vAlign w:val="center"/>
          </w:tcPr>
          <w:p w14:paraId="2D64DE91">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布袋除尘器（除尘效率99%）</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15m高烟囱</w:t>
            </w:r>
          </w:p>
        </w:tc>
        <w:tc>
          <w:tcPr>
            <w:tcW w:w="2814" w:type="dxa"/>
            <w:shd w:val="clear" w:color="auto" w:fill="auto"/>
            <w:noWrap w:val="0"/>
            <w:vAlign w:val="center"/>
          </w:tcPr>
          <w:p w14:paraId="10599429">
            <w:pPr>
              <w:pStyle w:val="49"/>
              <w:keepNext w:val="0"/>
              <w:keepLines w:val="0"/>
              <w:pageBreakBefore w:val="0"/>
              <w:widowControl w:val="0"/>
              <w:kinsoku/>
              <w:wordWrap w:val="0"/>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《工业炉窑大气污染物排放标准》（GB9078-1996）表2、表4中二级标准限值要求</w:t>
            </w:r>
          </w:p>
        </w:tc>
      </w:tr>
      <w:tr w14:paraId="44BEF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8" w:hRule="atLeast"/>
          <w:jc w:val="center"/>
        </w:trPr>
        <w:tc>
          <w:tcPr>
            <w:tcW w:w="1051" w:type="dxa"/>
            <w:vMerge w:val="continue"/>
            <w:noWrap w:val="0"/>
            <w:vAlign w:val="center"/>
          </w:tcPr>
          <w:p w14:paraId="673840E3">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sz w:val="24"/>
                <w:szCs w:val="24"/>
                <w:highlight w:val="none"/>
              </w:rPr>
            </w:pPr>
          </w:p>
        </w:tc>
        <w:tc>
          <w:tcPr>
            <w:tcW w:w="1511" w:type="dxa"/>
            <w:vMerge w:val="continue"/>
            <w:shd w:val="clear" w:color="auto" w:fill="auto"/>
            <w:noWrap w:val="0"/>
            <w:vAlign w:val="center"/>
          </w:tcPr>
          <w:p w14:paraId="67C08979">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sz w:val="24"/>
                <w:szCs w:val="24"/>
                <w:highlight w:val="none"/>
              </w:rPr>
            </w:pPr>
          </w:p>
        </w:tc>
        <w:tc>
          <w:tcPr>
            <w:tcW w:w="1269" w:type="dxa"/>
            <w:shd w:val="clear" w:color="auto" w:fill="auto"/>
            <w:noWrap w:val="0"/>
            <w:vAlign w:val="center"/>
          </w:tcPr>
          <w:p w14:paraId="742612C9">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氮氧化物</w:t>
            </w:r>
          </w:p>
        </w:tc>
        <w:tc>
          <w:tcPr>
            <w:tcW w:w="1877" w:type="dxa"/>
            <w:vMerge w:val="continue"/>
            <w:shd w:val="clear" w:color="auto" w:fill="auto"/>
            <w:noWrap w:val="0"/>
            <w:vAlign w:val="center"/>
          </w:tcPr>
          <w:p w14:paraId="48337DD7">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sz w:val="24"/>
                <w:szCs w:val="24"/>
                <w:highlight w:val="none"/>
              </w:rPr>
            </w:pPr>
          </w:p>
        </w:tc>
        <w:tc>
          <w:tcPr>
            <w:tcW w:w="2814" w:type="dxa"/>
            <w:shd w:val="clear" w:color="auto" w:fill="auto"/>
            <w:noWrap w:val="0"/>
            <w:vAlign w:val="center"/>
          </w:tcPr>
          <w:p w14:paraId="41A39D07">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088D8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9" w:hRule="atLeast"/>
          <w:jc w:val="center"/>
        </w:trPr>
        <w:tc>
          <w:tcPr>
            <w:tcW w:w="1051" w:type="dxa"/>
            <w:vMerge w:val="continue"/>
            <w:noWrap w:val="0"/>
            <w:vAlign w:val="center"/>
          </w:tcPr>
          <w:p w14:paraId="30A6D379">
            <w:pPr>
              <w:pStyle w:val="60"/>
              <w:bidi w:val="0"/>
              <w:rPr>
                <w:rFonts w:hint="default" w:ascii="Times New Roman" w:hAnsi="Times New Roman" w:cs="Times New Roman"/>
                <w:color w:val="auto"/>
                <w:sz w:val="24"/>
                <w:szCs w:val="24"/>
                <w:highlight w:val="none"/>
              </w:rPr>
            </w:pPr>
          </w:p>
        </w:tc>
        <w:tc>
          <w:tcPr>
            <w:tcW w:w="1511" w:type="dxa"/>
            <w:noWrap w:val="0"/>
            <w:vAlign w:val="center"/>
          </w:tcPr>
          <w:p w14:paraId="3F63D2F7">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热风炉周边</w:t>
            </w:r>
          </w:p>
        </w:tc>
        <w:tc>
          <w:tcPr>
            <w:tcW w:w="1269" w:type="dxa"/>
            <w:noWrap w:val="0"/>
            <w:vAlign w:val="center"/>
          </w:tcPr>
          <w:p w14:paraId="0AF18E36">
            <w:pPr>
              <w:pStyle w:val="60"/>
              <w:bidi w:val="0"/>
              <w:ind w:firstLine="0" w:firstLineChars="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颗粒物</w:t>
            </w:r>
          </w:p>
        </w:tc>
        <w:tc>
          <w:tcPr>
            <w:tcW w:w="1877" w:type="dxa"/>
            <w:noWrap w:val="0"/>
            <w:vAlign w:val="center"/>
          </w:tcPr>
          <w:p w14:paraId="0602D369">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燃料库、灰渣库均位于热风炉房内并采取密闭措施</w:t>
            </w:r>
          </w:p>
        </w:tc>
        <w:tc>
          <w:tcPr>
            <w:tcW w:w="2814" w:type="dxa"/>
            <w:noWrap w:val="0"/>
            <w:vAlign w:val="center"/>
          </w:tcPr>
          <w:p w14:paraId="61E948C0">
            <w:pPr>
              <w:pStyle w:val="60"/>
              <w:bidi w:val="0"/>
              <w:ind w:firstLine="0" w:firstLineChars="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《工业炉窑大气污染物排放标准》（GB9078-1996）中的表3中标准限值</w:t>
            </w:r>
          </w:p>
        </w:tc>
      </w:tr>
      <w:tr w14:paraId="06A30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5" w:hRule="atLeast"/>
          <w:jc w:val="center"/>
        </w:trPr>
        <w:tc>
          <w:tcPr>
            <w:tcW w:w="1051" w:type="dxa"/>
            <w:vMerge w:val="continue"/>
            <w:noWrap w:val="0"/>
            <w:vAlign w:val="center"/>
          </w:tcPr>
          <w:p w14:paraId="766C7276">
            <w:pPr>
              <w:pStyle w:val="60"/>
              <w:bidi w:val="0"/>
              <w:rPr>
                <w:rFonts w:hint="default" w:ascii="Times New Roman" w:hAnsi="Times New Roman" w:cs="Times New Roman"/>
                <w:color w:val="auto"/>
                <w:sz w:val="24"/>
                <w:szCs w:val="24"/>
                <w:highlight w:val="none"/>
              </w:rPr>
            </w:pPr>
          </w:p>
        </w:tc>
        <w:tc>
          <w:tcPr>
            <w:tcW w:w="1511" w:type="dxa"/>
            <w:noWrap w:val="0"/>
            <w:vAlign w:val="center"/>
          </w:tcPr>
          <w:p w14:paraId="6002C982">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厂界</w:t>
            </w:r>
          </w:p>
        </w:tc>
        <w:tc>
          <w:tcPr>
            <w:tcW w:w="1269" w:type="dxa"/>
            <w:noWrap w:val="0"/>
            <w:vAlign w:val="center"/>
          </w:tcPr>
          <w:p w14:paraId="136D0668">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颗粒物</w:t>
            </w:r>
          </w:p>
        </w:tc>
        <w:tc>
          <w:tcPr>
            <w:tcW w:w="1877" w:type="dxa"/>
            <w:noWrap w:val="0"/>
            <w:vAlign w:val="center"/>
          </w:tcPr>
          <w:p w14:paraId="7FFBE9DC">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w:t>
            </w:r>
            <w:r>
              <w:rPr>
                <w:rFonts w:hint="eastAsia" w:cs="Times New Roman"/>
                <w:color w:val="auto"/>
                <w:sz w:val="24"/>
                <w:szCs w:val="24"/>
                <w:highlight w:val="none"/>
                <w:lang w:val="en-US" w:eastAsia="zh-CN"/>
              </w:rPr>
              <w:t>装卸过程中采取车间封闭</w:t>
            </w:r>
            <w:r>
              <w:rPr>
                <w:rFonts w:hint="default" w:ascii="Times New Roman" w:hAnsi="Times New Roman" w:cs="Times New Roman"/>
                <w:color w:val="auto"/>
                <w:sz w:val="24"/>
                <w:szCs w:val="24"/>
                <w:highlight w:val="none"/>
                <w:lang w:val="en-US" w:eastAsia="zh-CN"/>
              </w:rPr>
              <w:t>+减小装卸高度、清选工艺采用封闭式清理筛、烘</w:t>
            </w:r>
            <w:r>
              <w:rPr>
                <w:rFonts w:hint="eastAsia" w:ascii="Times New Roman" w:hAnsi="Times New Roman" w:cs="Times New Roman"/>
                <w:color w:val="auto"/>
                <w:sz w:val="24"/>
                <w:szCs w:val="24"/>
                <w:highlight w:val="none"/>
                <w:lang w:val="en-US" w:eastAsia="zh-CN"/>
              </w:rPr>
              <w:t>干塔塔体两侧排气孔设置折流挡板</w:t>
            </w:r>
          </w:p>
        </w:tc>
        <w:tc>
          <w:tcPr>
            <w:tcW w:w="2814" w:type="dxa"/>
            <w:noWrap w:val="0"/>
            <w:vAlign w:val="center"/>
          </w:tcPr>
          <w:p w14:paraId="18480C7D">
            <w:pPr>
              <w:pStyle w:val="60"/>
              <w:keepNext w:val="0"/>
              <w:keepLines w:val="0"/>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大气污染物综合排放标准》（GB16297-1996）表2无组织排放浓度限值</w:t>
            </w:r>
          </w:p>
        </w:tc>
      </w:tr>
      <w:tr w14:paraId="7846E2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1051" w:type="dxa"/>
            <w:noWrap w:val="0"/>
            <w:vAlign w:val="center"/>
          </w:tcPr>
          <w:p w14:paraId="524FE81A">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地表水环境</w:t>
            </w:r>
          </w:p>
        </w:tc>
        <w:tc>
          <w:tcPr>
            <w:tcW w:w="1511" w:type="dxa"/>
            <w:noWrap w:val="0"/>
            <w:vAlign w:val="center"/>
          </w:tcPr>
          <w:p w14:paraId="19E60B11">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宋体"/>
                <w:color w:val="auto"/>
                <w:sz w:val="24"/>
                <w:szCs w:val="24"/>
                <w:highlight w:val="none"/>
                <w:lang w:val="en-US" w:eastAsia="zh-CN"/>
              </w:rPr>
              <w:t>生活污水</w:t>
            </w:r>
          </w:p>
        </w:tc>
        <w:tc>
          <w:tcPr>
            <w:tcW w:w="1269" w:type="dxa"/>
            <w:noWrap w:val="0"/>
            <w:vAlign w:val="center"/>
          </w:tcPr>
          <w:p w14:paraId="0FC96FED">
            <w:pPr>
              <w:pStyle w:val="60"/>
              <w:bidi w:val="0"/>
              <w:ind w:firstLine="0" w:firstLineChars="0"/>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lang w:val="en-US" w:eastAsia="zh-CN"/>
              </w:rPr>
              <w:t>COD、NH</w:t>
            </w:r>
            <w:r>
              <w:rPr>
                <w:rFonts w:hint="eastAsia"/>
                <w:color w:val="auto"/>
                <w:sz w:val="24"/>
                <w:szCs w:val="24"/>
                <w:highlight w:val="none"/>
                <w:vertAlign w:val="subscript"/>
                <w:lang w:val="en-US" w:eastAsia="zh-CN"/>
              </w:rPr>
              <w:t>3</w:t>
            </w:r>
            <w:r>
              <w:rPr>
                <w:rFonts w:hint="eastAsia"/>
                <w:color w:val="auto"/>
                <w:sz w:val="24"/>
                <w:szCs w:val="24"/>
                <w:highlight w:val="none"/>
                <w:lang w:val="en-US" w:eastAsia="zh-CN"/>
              </w:rPr>
              <w:t>-N</w:t>
            </w:r>
          </w:p>
        </w:tc>
        <w:tc>
          <w:tcPr>
            <w:tcW w:w="1877" w:type="dxa"/>
            <w:noWrap w:val="0"/>
            <w:vAlign w:val="center"/>
          </w:tcPr>
          <w:p w14:paraId="045BA007">
            <w:pPr>
              <w:pStyle w:val="60"/>
              <w:bidi w:val="0"/>
              <w:rPr>
                <w:rFonts w:hint="default"/>
                <w:color w:val="auto"/>
                <w:sz w:val="24"/>
                <w:szCs w:val="24"/>
                <w:highlight w:val="none"/>
                <w:lang w:val="en-US" w:eastAsia="zh-CN"/>
              </w:rPr>
            </w:pPr>
            <w:r>
              <w:rPr>
                <w:color w:val="auto"/>
                <w:sz w:val="24"/>
                <w:szCs w:val="24"/>
                <w:highlight w:val="none"/>
              </w:rPr>
              <w:t>排入厂内防渗旱厕，定期清掏，堆肥处置</w:t>
            </w:r>
          </w:p>
        </w:tc>
        <w:tc>
          <w:tcPr>
            <w:tcW w:w="2814" w:type="dxa"/>
            <w:noWrap w:val="0"/>
            <w:vAlign w:val="center"/>
          </w:tcPr>
          <w:p w14:paraId="76F0C75D">
            <w:pPr>
              <w:pStyle w:val="60"/>
              <w:bidi w:val="0"/>
              <w:rPr>
                <w:rFonts w:hint="default"/>
                <w:color w:val="auto"/>
                <w:sz w:val="24"/>
                <w:szCs w:val="24"/>
                <w:highlight w:val="none"/>
                <w:lang w:val="en-US" w:eastAsia="zh-CN"/>
              </w:rPr>
            </w:pPr>
            <w:r>
              <w:rPr>
                <w:color w:val="auto"/>
                <w:sz w:val="24"/>
                <w:szCs w:val="24"/>
                <w:highlight w:val="none"/>
              </w:rPr>
              <w:t>/</w:t>
            </w:r>
          </w:p>
        </w:tc>
      </w:tr>
      <w:tr w14:paraId="33163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51" w:type="dxa"/>
            <w:noWrap w:val="0"/>
            <w:vAlign w:val="center"/>
          </w:tcPr>
          <w:p w14:paraId="7D4C5534">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1511" w:type="dxa"/>
            <w:noWrap w:val="0"/>
            <w:vAlign w:val="center"/>
          </w:tcPr>
          <w:p w14:paraId="62D21CD5">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设备噪声</w:t>
            </w:r>
          </w:p>
        </w:tc>
        <w:tc>
          <w:tcPr>
            <w:tcW w:w="1269" w:type="dxa"/>
            <w:noWrap w:val="0"/>
            <w:vAlign w:val="center"/>
          </w:tcPr>
          <w:p w14:paraId="2F0E6ED5">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噪声</w:t>
            </w:r>
          </w:p>
        </w:tc>
        <w:tc>
          <w:tcPr>
            <w:tcW w:w="1877" w:type="dxa"/>
            <w:noWrap w:val="0"/>
            <w:vAlign w:val="center"/>
          </w:tcPr>
          <w:p w14:paraId="07B3F34F">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选用低噪声设备，合理布局噪声源，并设置减振底座进行降噪处理</w:t>
            </w:r>
          </w:p>
        </w:tc>
        <w:tc>
          <w:tcPr>
            <w:tcW w:w="2814" w:type="dxa"/>
            <w:noWrap w:val="0"/>
            <w:vAlign w:val="center"/>
          </w:tcPr>
          <w:p w14:paraId="67E4E3BD">
            <w:pPr>
              <w:pStyle w:val="60"/>
              <w:bidi w:val="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《工业企业厂界环境噪声排放标准》（GB12348-2008）</w:t>
            </w:r>
            <w:r>
              <w:rPr>
                <w:rFonts w:hint="eastAsia" w:cs="Times New Roman"/>
                <w:color w:val="auto"/>
                <w:sz w:val="24"/>
                <w:szCs w:val="24"/>
                <w:highlight w:val="none"/>
                <w:lang w:val="en-US" w:eastAsia="zh-CN"/>
              </w:rPr>
              <w:t>2类</w:t>
            </w:r>
            <w:r>
              <w:rPr>
                <w:rFonts w:hint="default" w:ascii="Times New Roman" w:hAnsi="Times New Roman" w:cs="Times New Roman"/>
                <w:color w:val="auto"/>
                <w:sz w:val="24"/>
                <w:szCs w:val="24"/>
                <w:highlight w:val="none"/>
              </w:rPr>
              <w:t>标准</w:t>
            </w:r>
          </w:p>
        </w:tc>
      </w:tr>
      <w:tr w14:paraId="383D34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51" w:type="dxa"/>
            <w:noWrap w:val="0"/>
            <w:vAlign w:val="center"/>
          </w:tcPr>
          <w:p w14:paraId="2127F301">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1511" w:type="dxa"/>
            <w:noWrap w:val="0"/>
            <w:vAlign w:val="center"/>
          </w:tcPr>
          <w:p w14:paraId="1CFB99D5">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c>
          <w:tcPr>
            <w:tcW w:w="1269" w:type="dxa"/>
            <w:noWrap w:val="0"/>
            <w:vAlign w:val="center"/>
          </w:tcPr>
          <w:p w14:paraId="34AA481E">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c>
          <w:tcPr>
            <w:tcW w:w="1877" w:type="dxa"/>
            <w:noWrap w:val="0"/>
            <w:vAlign w:val="center"/>
          </w:tcPr>
          <w:p w14:paraId="69FB349D">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c>
          <w:tcPr>
            <w:tcW w:w="2814" w:type="dxa"/>
            <w:noWrap w:val="0"/>
            <w:vAlign w:val="center"/>
          </w:tcPr>
          <w:p w14:paraId="47DEDD47">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r>
      <w:tr w14:paraId="1CC36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6" w:hRule="atLeast"/>
          <w:jc w:val="center"/>
        </w:trPr>
        <w:tc>
          <w:tcPr>
            <w:tcW w:w="1051" w:type="dxa"/>
            <w:noWrap w:val="0"/>
            <w:vAlign w:val="center"/>
          </w:tcPr>
          <w:p w14:paraId="0BECCADF">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7471" w:type="dxa"/>
            <w:gridSpan w:val="4"/>
            <w:noWrap w:val="0"/>
            <w:vAlign w:val="center"/>
          </w:tcPr>
          <w:p w14:paraId="3EE957C1">
            <w:pPr>
              <w:pStyle w:val="49"/>
              <w:bidi w:val="0"/>
              <w:rPr>
                <w:rFonts w:hint="eastAsia"/>
                <w:color w:val="auto"/>
                <w:sz w:val="24"/>
                <w:szCs w:val="24"/>
                <w:highlight w:val="none"/>
                <w:lang w:eastAsia="zh-CN"/>
              </w:rPr>
            </w:pPr>
            <w:r>
              <w:rPr>
                <w:color w:val="auto"/>
                <w:sz w:val="24"/>
                <w:szCs w:val="24"/>
                <w:highlight w:val="none"/>
              </w:rPr>
              <w:t>生活垃圾集中收集，</w:t>
            </w:r>
            <w:r>
              <w:rPr>
                <w:rFonts w:hint="eastAsia"/>
                <w:color w:val="auto"/>
                <w:sz w:val="24"/>
                <w:szCs w:val="24"/>
                <w:highlight w:val="none"/>
              </w:rPr>
              <w:t>由市政环卫部门统一处理</w:t>
            </w:r>
            <w:r>
              <w:rPr>
                <w:rFonts w:hint="eastAsia"/>
                <w:color w:val="auto"/>
                <w:sz w:val="24"/>
                <w:szCs w:val="24"/>
                <w:highlight w:val="none"/>
                <w:lang w:eastAsia="zh-CN"/>
              </w:rPr>
              <w:t>；</w:t>
            </w:r>
          </w:p>
          <w:p w14:paraId="1EEDA0DB">
            <w:pPr>
              <w:pStyle w:val="49"/>
              <w:bidi w:val="0"/>
              <w:rPr>
                <w:rFonts w:hint="default"/>
                <w:sz w:val="24"/>
                <w:szCs w:val="24"/>
                <w:highlight w:val="none"/>
              </w:rPr>
            </w:pPr>
            <w:r>
              <w:rPr>
                <w:rFonts w:hint="eastAsia"/>
                <w:color w:val="auto"/>
                <w:sz w:val="24"/>
                <w:szCs w:val="24"/>
                <w:highlight w:val="none"/>
              </w:rPr>
              <w:t>杂质中主要为不合格原粮，少部分为石子、泥沙等废物，分别收集，暂存于</w:t>
            </w:r>
            <w:r>
              <w:rPr>
                <w:rFonts w:hint="eastAsia"/>
                <w:color w:val="auto"/>
                <w:sz w:val="24"/>
                <w:szCs w:val="24"/>
                <w:highlight w:val="none"/>
                <w:lang w:val="en-US" w:eastAsia="zh-CN"/>
              </w:rPr>
              <w:t>一般固废暂存间</w:t>
            </w:r>
            <w:r>
              <w:rPr>
                <w:rFonts w:hint="eastAsia"/>
                <w:color w:val="auto"/>
                <w:sz w:val="24"/>
                <w:szCs w:val="24"/>
                <w:highlight w:val="none"/>
              </w:rPr>
              <w:t>内，</w:t>
            </w:r>
            <w:r>
              <w:rPr>
                <w:rFonts w:hint="eastAsia"/>
                <w:color w:val="auto"/>
                <w:sz w:val="24"/>
                <w:szCs w:val="24"/>
                <w:highlight w:val="none"/>
                <w:lang w:eastAsia="zh-CN"/>
              </w:rPr>
              <w:t>不合格原粮</w:t>
            </w:r>
            <w:r>
              <w:rPr>
                <w:rFonts w:hint="eastAsia"/>
                <w:color w:val="auto"/>
                <w:sz w:val="24"/>
                <w:szCs w:val="24"/>
                <w:highlight w:val="none"/>
                <w:lang w:val="en-US" w:eastAsia="zh-CN"/>
              </w:rPr>
              <w:t>与</w:t>
            </w:r>
            <w:r>
              <w:rPr>
                <w:rFonts w:hint="eastAsia"/>
                <w:color w:val="auto"/>
                <w:sz w:val="24"/>
                <w:szCs w:val="24"/>
                <w:highlight w:val="none"/>
                <w:lang w:eastAsia="zh-CN"/>
              </w:rPr>
              <w:t>装卸、输送、筛分、</w:t>
            </w:r>
            <w:r>
              <w:rPr>
                <w:color w:val="auto"/>
                <w:sz w:val="24"/>
                <w:szCs w:val="24"/>
                <w:highlight w:val="none"/>
              </w:rPr>
              <w:t>烘干塔</w:t>
            </w:r>
            <w:r>
              <w:rPr>
                <w:rFonts w:hint="eastAsia"/>
                <w:color w:val="auto"/>
                <w:sz w:val="24"/>
                <w:szCs w:val="24"/>
                <w:highlight w:val="none"/>
                <w:lang w:val="en-US" w:eastAsia="zh-CN"/>
              </w:rPr>
              <w:t>收集</w:t>
            </w:r>
            <w:r>
              <w:rPr>
                <w:color w:val="auto"/>
                <w:sz w:val="24"/>
                <w:szCs w:val="24"/>
                <w:highlight w:val="none"/>
              </w:rPr>
              <w:t>粉尘</w:t>
            </w:r>
            <w:r>
              <w:rPr>
                <w:rFonts w:hint="eastAsia"/>
                <w:color w:val="auto"/>
                <w:sz w:val="24"/>
                <w:szCs w:val="24"/>
                <w:highlight w:val="none"/>
              </w:rPr>
              <w:t>外售</w:t>
            </w:r>
            <w:r>
              <w:rPr>
                <w:rFonts w:hint="eastAsia"/>
                <w:color w:val="auto"/>
                <w:sz w:val="24"/>
                <w:szCs w:val="24"/>
                <w:highlight w:val="none"/>
                <w:lang w:val="en-US" w:eastAsia="zh-CN"/>
              </w:rPr>
              <w:t>饲料加工企业作为原料使用</w:t>
            </w:r>
            <w:r>
              <w:rPr>
                <w:rFonts w:hint="eastAsia"/>
                <w:color w:val="auto"/>
                <w:sz w:val="24"/>
                <w:szCs w:val="24"/>
                <w:highlight w:val="none"/>
              </w:rPr>
              <w:t>，石子、泥沙等废物</w:t>
            </w:r>
            <w:r>
              <w:rPr>
                <w:rFonts w:hint="eastAsia"/>
                <w:color w:val="auto"/>
                <w:sz w:val="24"/>
                <w:szCs w:val="24"/>
                <w:highlight w:val="none"/>
                <w:lang w:val="en-US" w:eastAsia="zh-CN"/>
              </w:rPr>
              <w:t>外售建材公司作为原料使用；热风炉灰渣</w:t>
            </w:r>
            <w:r>
              <w:rPr>
                <w:color w:val="auto"/>
                <w:sz w:val="24"/>
                <w:szCs w:val="24"/>
                <w:highlight w:val="none"/>
              </w:rPr>
              <w:t>集中收集，</w:t>
            </w:r>
            <w:r>
              <w:rPr>
                <w:rFonts w:hint="eastAsia"/>
                <w:color w:val="auto"/>
                <w:sz w:val="24"/>
                <w:szCs w:val="24"/>
                <w:highlight w:val="none"/>
              </w:rPr>
              <w:t>外售</w:t>
            </w:r>
            <w:r>
              <w:rPr>
                <w:rFonts w:hint="eastAsia"/>
                <w:color w:val="auto"/>
                <w:sz w:val="24"/>
                <w:szCs w:val="24"/>
                <w:highlight w:val="none"/>
                <w:lang w:val="en-US" w:eastAsia="zh-CN"/>
              </w:rPr>
              <w:t>有机肥料企业作为原料使用</w:t>
            </w:r>
            <w:r>
              <w:rPr>
                <w:rFonts w:hint="eastAsia"/>
                <w:color w:val="auto"/>
                <w:sz w:val="24"/>
                <w:szCs w:val="24"/>
                <w:highlight w:val="none"/>
              </w:rPr>
              <w:t>。</w:t>
            </w:r>
            <w:r>
              <w:rPr>
                <w:rFonts w:hint="eastAsia"/>
                <w:color w:val="auto"/>
                <w:sz w:val="24"/>
                <w:szCs w:val="24"/>
                <w:highlight w:val="none"/>
                <w:lang w:eastAsia="zh-CN"/>
              </w:rPr>
              <w:t>布袋除尘器</w:t>
            </w:r>
            <w:r>
              <w:rPr>
                <w:rFonts w:hint="eastAsia"/>
                <w:color w:val="auto"/>
                <w:sz w:val="24"/>
                <w:szCs w:val="24"/>
                <w:highlight w:val="none"/>
                <w:lang w:val="en-US" w:eastAsia="zh-CN"/>
              </w:rPr>
              <w:t>产生的废布袋一般每两年更换一次，废布袋由厂家更换回收处理，厂内不暂存。</w:t>
            </w:r>
          </w:p>
        </w:tc>
      </w:tr>
      <w:tr w14:paraId="4FE6E2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051" w:type="dxa"/>
            <w:noWrap w:val="0"/>
            <w:vAlign w:val="center"/>
          </w:tcPr>
          <w:p w14:paraId="4A3F4AC9">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土壤及地下水污染防治措施</w:t>
            </w:r>
          </w:p>
        </w:tc>
        <w:tc>
          <w:tcPr>
            <w:tcW w:w="7471" w:type="dxa"/>
            <w:gridSpan w:val="4"/>
            <w:noWrap w:val="0"/>
            <w:vAlign w:val="center"/>
          </w:tcPr>
          <w:p w14:paraId="64931738">
            <w:pPr>
              <w:pStyle w:val="46"/>
              <w:keepNext w:val="0"/>
              <w:keepLines w:val="0"/>
              <w:pageBreakBefore w:val="0"/>
              <w:widowControl w:val="0"/>
              <w:kinsoku/>
              <w:wordWrap w:val="0"/>
              <w:overflowPunct/>
              <w:topLinePunct/>
              <w:autoSpaceDE/>
              <w:autoSpaceDN/>
              <w:bidi w:val="0"/>
              <w:adjustRightInd/>
              <w:snapToGrid/>
              <w:spacing w:line="240" w:lineRule="auto"/>
              <w:textAlignment w:val="auto"/>
              <w:rPr>
                <w:rFonts w:hint="default" w:ascii="Times New Roman" w:hAnsi="Times New Roman" w:cs="Times New Roman"/>
                <w:color w:val="auto"/>
                <w:sz w:val="24"/>
                <w:szCs w:val="24"/>
                <w:highlight w:val="none"/>
              </w:rPr>
            </w:pPr>
            <w:r>
              <w:rPr>
                <w:rFonts w:hint="eastAsia"/>
                <w:color w:val="auto"/>
                <w:sz w:val="24"/>
                <w:szCs w:val="24"/>
                <w:highlight w:val="none"/>
                <w:lang w:val="en-US" w:eastAsia="zh-CN"/>
              </w:rPr>
              <w:t>本项目</w:t>
            </w:r>
            <w:r>
              <w:rPr>
                <w:rFonts w:hint="default"/>
                <w:color w:val="auto"/>
                <w:sz w:val="24"/>
                <w:szCs w:val="24"/>
                <w:highlight w:val="none"/>
                <w:lang w:val="en-US" w:eastAsia="zh-CN"/>
              </w:rPr>
              <w:t>防渗旱厕采取</w:t>
            </w:r>
            <w:r>
              <w:rPr>
                <w:rFonts w:hint="default"/>
                <w:color w:val="auto"/>
                <w:sz w:val="24"/>
                <w:szCs w:val="24"/>
                <w:highlight w:val="none"/>
              </w:rPr>
              <w:t>一般防渗</w:t>
            </w:r>
            <w:r>
              <w:rPr>
                <w:rFonts w:hint="default"/>
                <w:color w:val="auto"/>
                <w:sz w:val="24"/>
                <w:szCs w:val="24"/>
                <w:highlight w:val="none"/>
                <w:lang w:val="en-US" w:eastAsia="zh-CN"/>
              </w:rPr>
              <w:t>处理</w:t>
            </w:r>
            <w:r>
              <w:rPr>
                <w:rFonts w:hint="default"/>
                <w:color w:val="auto"/>
                <w:sz w:val="24"/>
                <w:szCs w:val="24"/>
                <w:highlight w:val="none"/>
              </w:rPr>
              <w:t>，防渗技术要求满足等效黏土防渗层厚度Mb≥1.5m，渗透系数K≤1×10</w:t>
            </w:r>
            <w:r>
              <w:rPr>
                <w:rFonts w:hint="default"/>
                <w:color w:val="auto"/>
                <w:sz w:val="24"/>
                <w:szCs w:val="24"/>
                <w:highlight w:val="none"/>
                <w:vertAlign w:val="superscript"/>
              </w:rPr>
              <w:t>-7</w:t>
            </w:r>
            <w:r>
              <w:rPr>
                <w:rFonts w:hint="default"/>
                <w:color w:val="auto"/>
                <w:sz w:val="24"/>
                <w:szCs w:val="24"/>
                <w:highlight w:val="none"/>
              </w:rPr>
              <w:t>cm/s</w:t>
            </w:r>
            <w:r>
              <w:rPr>
                <w:rFonts w:hint="default"/>
                <w:color w:val="auto"/>
                <w:sz w:val="24"/>
                <w:szCs w:val="24"/>
                <w:highlight w:val="none"/>
                <w:lang w:eastAsia="zh-CN"/>
              </w:rPr>
              <w:t>。</w:t>
            </w:r>
            <w:r>
              <w:rPr>
                <w:rFonts w:hint="eastAsia"/>
                <w:color w:val="auto"/>
                <w:sz w:val="24"/>
                <w:szCs w:val="24"/>
                <w:highlight w:val="none"/>
                <w:lang w:val="en-US" w:eastAsia="zh-CN"/>
              </w:rPr>
              <w:t>其他区域</w:t>
            </w:r>
            <w:r>
              <w:rPr>
                <w:rFonts w:hint="default"/>
                <w:color w:val="auto"/>
                <w:sz w:val="24"/>
                <w:szCs w:val="24"/>
                <w:highlight w:val="none"/>
                <w:lang w:val="en-US" w:eastAsia="zh-CN"/>
              </w:rPr>
              <w:t>地面均进行简单防渗处理，进行一般</w:t>
            </w:r>
            <w:r>
              <w:rPr>
                <w:rFonts w:hint="default"/>
                <w:color w:val="auto"/>
                <w:sz w:val="24"/>
                <w:szCs w:val="24"/>
                <w:highlight w:val="none"/>
              </w:rPr>
              <w:t>地面水泥硬化</w:t>
            </w:r>
            <w:r>
              <w:rPr>
                <w:rFonts w:hint="eastAsia"/>
                <w:color w:val="auto"/>
                <w:sz w:val="24"/>
                <w:szCs w:val="24"/>
                <w:highlight w:val="none"/>
                <w:lang w:eastAsia="zh-CN"/>
              </w:rPr>
              <w:t>。</w:t>
            </w:r>
          </w:p>
        </w:tc>
      </w:tr>
      <w:tr w14:paraId="796E5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51" w:type="dxa"/>
            <w:noWrap w:val="0"/>
            <w:vAlign w:val="center"/>
          </w:tcPr>
          <w:p w14:paraId="690F200D">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7471" w:type="dxa"/>
            <w:gridSpan w:val="4"/>
            <w:noWrap w:val="0"/>
            <w:vAlign w:val="center"/>
          </w:tcPr>
          <w:p w14:paraId="67A00921">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r>
      <w:tr w14:paraId="240D0C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1051" w:type="dxa"/>
            <w:noWrap w:val="0"/>
            <w:vAlign w:val="center"/>
          </w:tcPr>
          <w:p w14:paraId="684C36C7">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环境风险防范措施</w:t>
            </w:r>
          </w:p>
        </w:tc>
        <w:tc>
          <w:tcPr>
            <w:tcW w:w="7471" w:type="dxa"/>
            <w:gridSpan w:val="4"/>
            <w:noWrap w:val="0"/>
            <w:vAlign w:val="center"/>
          </w:tcPr>
          <w:p w14:paraId="55605E21">
            <w:pPr>
              <w:pStyle w:val="49"/>
              <w:keepNext w:val="0"/>
              <w:keepLines w:val="0"/>
              <w:pageBreakBefore w:val="0"/>
              <w:widowControl w:val="0"/>
              <w:kinsoku/>
              <w:wordWrap w:val="0"/>
              <w:overflowPunct/>
              <w:topLinePunct/>
              <w:autoSpaceDE/>
              <w:autoSpaceDN/>
              <w:bidi w:val="0"/>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①建设单位应按消防设计要求，建设消防设施，如消火栓、灭火器、报警器等。</w:t>
            </w:r>
          </w:p>
          <w:p w14:paraId="7E0DE588">
            <w:pPr>
              <w:pStyle w:val="49"/>
              <w:keepNext w:val="0"/>
              <w:keepLines w:val="0"/>
              <w:pageBreakBefore w:val="0"/>
              <w:widowControl w:val="0"/>
              <w:kinsoku/>
              <w:wordWrap w:val="0"/>
              <w:overflowPunct/>
              <w:topLinePunct/>
              <w:autoSpaceDE/>
              <w:autoSpaceDN/>
              <w:bidi w:val="0"/>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②项目投入运营后，单位应加强监督和管理，定期检查消防设施是否正常，并配合消防部门对厂区消防设施的例行检查。</w:t>
            </w:r>
          </w:p>
          <w:p w14:paraId="2972ADE0">
            <w:pPr>
              <w:pStyle w:val="49"/>
              <w:keepNext w:val="0"/>
              <w:keepLines w:val="0"/>
              <w:pageBreakBefore w:val="0"/>
              <w:widowControl w:val="0"/>
              <w:kinsoku/>
              <w:wordWrap w:val="0"/>
              <w:overflowPunct/>
              <w:topLinePunct/>
              <w:autoSpaceDE/>
              <w:autoSpaceDN/>
              <w:bidi w:val="0"/>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③企业应加强设备管理，确保设备完好。</w:t>
            </w:r>
          </w:p>
          <w:p w14:paraId="79553B8F">
            <w:pPr>
              <w:pStyle w:val="49"/>
              <w:keepNext w:val="0"/>
              <w:keepLines w:val="0"/>
              <w:pageBreakBefore w:val="0"/>
              <w:widowControl w:val="0"/>
              <w:kinsoku/>
              <w:wordWrap w:val="0"/>
              <w:overflowPunct/>
              <w:topLinePunct/>
              <w:autoSpaceDE/>
              <w:autoSpaceDN/>
              <w:bidi w:val="0"/>
              <w:spacing w:line="24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④对库房和成品库房贴上明确的防火标识，严禁烟火，必须配备必要的消防设施。</w:t>
            </w:r>
          </w:p>
        </w:tc>
      </w:tr>
      <w:tr w14:paraId="21D87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7" w:hRule="atLeast"/>
          <w:jc w:val="center"/>
        </w:trPr>
        <w:tc>
          <w:tcPr>
            <w:tcW w:w="1051" w:type="dxa"/>
            <w:noWrap w:val="0"/>
            <w:vAlign w:val="center"/>
          </w:tcPr>
          <w:p w14:paraId="75437F9C">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其他环境管理要求</w:t>
            </w:r>
          </w:p>
        </w:tc>
        <w:tc>
          <w:tcPr>
            <w:tcW w:w="7471" w:type="dxa"/>
            <w:gridSpan w:val="4"/>
            <w:noWrap w:val="0"/>
            <w:vAlign w:val="center"/>
          </w:tcPr>
          <w:p w14:paraId="58702030">
            <w:pPr>
              <w:pStyle w:val="49"/>
              <w:keepNext w:val="0"/>
              <w:keepLines w:val="0"/>
              <w:pageBreakBefore w:val="0"/>
              <w:widowControl w:val="0"/>
              <w:kinsoku/>
              <w:wordWrap w:val="0"/>
              <w:overflowPunct/>
              <w:topLinePunct/>
              <w:autoSpaceDE/>
              <w:autoSpaceDN/>
              <w:bidi w:val="0"/>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工作区内需指定专门的人员，在本项目实施时严格执行“三同时”制度，保证项目运营时三废均能得到有效处理后达标排放。在日常生产中，应加强环保管理，大力推行清洁生产，并加强职工对污染要以“</w:t>
            </w:r>
            <w:r>
              <w:rPr>
                <w:rFonts w:hint="eastAsia" w:cs="Times New Roman"/>
                <w:color w:val="auto"/>
                <w:sz w:val="24"/>
                <w:szCs w:val="24"/>
                <w:highlight w:val="none"/>
                <w:lang w:val="en-US" w:eastAsia="zh-CN"/>
              </w:rPr>
              <w:t>预</w:t>
            </w:r>
            <w:r>
              <w:rPr>
                <w:rFonts w:hint="default" w:ascii="Times New Roman" w:hAnsi="Times New Roman" w:cs="Times New Roman"/>
                <w:color w:val="auto"/>
                <w:sz w:val="24"/>
                <w:szCs w:val="24"/>
                <w:highlight w:val="none"/>
              </w:rPr>
              <w:t>防为主，防治结合”的认识。另外，应加强对设备运行状况的检查，对三废处理装置要定期检修，以确保污染物达标排放。</w:t>
            </w:r>
          </w:p>
          <w:p w14:paraId="5AAB5CA9">
            <w:pPr>
              <w:pStyle w:val="46"/>
              <w:keepNext w:val="0"/>
              <w:keepLines w:val="0"/>
              <w:pageBreakBefore w:val="0"/>
              <w:widowControl w:val="0"/>
              <w:kinsoku/>
              <w:wordWrap w:val="0"/>
              <w:overflowPunct/>
              <w:topLinePunct/>
              <w:autoSpaceDE/>
              <w:autoSpaceDN/>
              <w:bidi w:val="0"/>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排污许可制度衔接情况及管理要求：建设单位按照《环境保护信息公开办法》进行相关信息的公开根据《关于做好环境影响评价制度与排污许可</w:t>
            </w:r>
            <w:r>
              <w:rPr>
                <w:rFonts w:hint="eastAsia" w:cs="Times New Roman"/>
                <w:color w:val="auto"/>
                <w:sz w:val="24"/>
                <w:szCs w:val="24"/>
                <w:highlight w:val="none"/>
                <w:lang w:eastAsia="zh-CN"/>
              </w:rPr>
              <w:t>制度</w:t>
            </w:r>
            <w:r>
              <w:rPr>
                <w:rFonts w:hint="default" w:ascii="Times New Roman" w:hAnsi="Times New Roman" w:cs="Times New Roman"/>
                <w:color w:val="auto"/>
                <w:sz w:val="24"/>
                <w:szCs w:val="24"/>
                <w:highlight w:val="none"/>
              </w:rPr>
              <w:t>衔接相关工作的通知》（环办环评</w:t>
            </w:r>
            <w:r>
              <w:rPr>
                <w:rFonts w:hint="eastAsia" w:cs="Times New Roman"/>
                <w:color w:val="auto"/>
                <w:sz w:val="24"/>
                <w:szCs w:val="24"/>
                <w:highlight w:val="none"/>
                <w:lang w:eastAsia="zh-CN"/>
              </w:rPr>
              <w:t>〔2017〕84号</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，在</w:t>
            </w:r>
            <w:r>
              <w:rPr>
                <w:rFonts w:hint="default" w:ascii="Times New Roman" w:hAnsi="Times New Roman" w:cs="Times New Roman"/>
                <w:color w:val="auto"/>
                <w:sz w:val="24"/>
                <w:szCs w:val="24"/>
                <w:highlight w:val="none"/>
              </w:rPr>
              <w:t>建设项目发生实际排污行为之前，排污单位应当按照国家环境保护相关法律法规以及排污许可证申请与核发技术规范要求申请排污许可证，不得无证排污或不按证排污。</w:t>
            </w:r>
          </w:p>
          <w:p w14:paraId="2A58009F">
            <w:pPr>
              <w:pStyle w:val="46"/>
              <w:keepNext w:val="0"/>
              <w:keepLines w:val="0"/>
              <w:pageBreakBefore w:val="0"/>
              <w:widowControl w:val="0"/>
              <w:kinsoku/>
              <w:wordWrap w:val="0"/>
              <w:overflowPunct/>
              <w:topLinePunct/>
              <w:autoSpaceDE/>
              <w:autoSpaceDN/>
              <w:bidi w:val="0"/>
              <w:spacing w:line="24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对排污口进行规范化管理，在正确的排放点位设置标识，以便进行自行验收和规范化管理，按照《排污许可管理办法（试行）》（环境保护部令48号）和《固定污染源排污许可分类管理名录</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2019版</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》相关要求，在规定时间内取得排污许可证，按证排污。并做好环境管理台账记录，上报季度、年度执行报告等相关要求。</w:t>
            </w:r>
          </w:p>
        </w:tc>
      </w:tr>
    </w:tbl>
    <w:p w14:paraId="0E00CF6E">
      <w:pPr>
        <w:jc w:val="center"/>
        <w:outlineLvl w:val="0"/>
        <w:rPr>
          <w:rFonts w:hint="default" w:ascii="Times New Roman" w:hAnsi="Times New Roman" w:cs="Times New Roman"/>
          <w:color w:val="auto"/>
          <w:highlight w:val="none"/>
        </w:rPr>
      </w:pPr>
      <w:r>
        <w:rPr>
          <w:rFonts w:hint="default" w:ascii="Times New Roman" w:hAnsi="Times New Roman" w:cs="Times New Roman"/>
          <w:snapToGrid w:val="0"/>
          <w:color w:val="auto"/>
          <w:highlight w:val="none"/>
        </w:rPr>
        <w:br w:type="page"/>
      </w:r>
      <w:bookmarkStart w:id="21" w:name="_Toc3037"/>
      <w:r>
        <w:rPr>
          <w:rFonts w:hint="default" w:ascii="Times New Roman" w:hAnsi="Times New Roman" w:cs="Times New Roman"/>
          <w:b/>
          <w:snapToGrid w:val="0"/>
          <w:color w:val="auto"/>
          <w:sz w:val="30"/>
          <w:szCs w:val="30"/>
          <w:highlight w:val="none"/>
        </w:rPr>
        <w:t>六、结论</w:t>
      </w:r>
      <w:bookmarkEnd w:id="21"/>
    </w:p>
    <w:tbl>
      <w:tblPr>
        <w:tblStyle w:val="3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FDD3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6" w:hRule="atLeast"/>
          <w:jc w:val="center"/>
        </w:trPr>
        <w:tc>
          <w:tcPr>
            <w:tcW w:w="5000" w:type="pct"/>
            <w:noWrap w:val="0"/>
            <w:vAlign w:val="top"/>
          </w:tcPr>
          <w:p w14:paraId="199C28C8">
            <w:pPr>
              <w:pStyle w:val="59"/>
              <w:spacing w:before="120" w:beforeLines="50"/>
              <w:ind w:firstLine="480"/>
              <w:rPr>
                <w:rFonts w:hint="default" w:ascii="Times New Roman" w:hAnsi="Times New Roman" w:cs="Times New Roman"/>
                <w:color w:val="auto"/>
                <w:highlight w:val="none"/>
              </w:rPr>
            </w:pPr>
            <w:r>
              <w:rPr>
                <w:rFonts w:hint="eastAsia" w:cs="Times New Roman"/>
                <w:color w:val="auto"/>
                <w:highlight w:val="none"/>
                <w:lang w:val="en-US" w:eastAsia="zh-CN"/>
              </w:rPr>
              <w:t>本</w:t>
            </w:r>
            <w:r>
              <w:rPr>
                <w:rFonts w:hint="default" w:ascii="Times New Roman" w:hAnsi="Times New Roman" w:cs="Times New Roman"/>
                <w:color w:val="auto"/>
                <w:highlight w:val="none"/>
              </w:rPr>
              <w:t>项目建设符合国家产业政策要求，项目平面布局基本合理可行。在严格落实本环评报告提出的各项污染物防治措施的前提下，污染物能实现达标排放，不会对周围环境质量造成明显不利影响。从环保角度分析，项目建设是可行的。</w:t>
            </w:r>
          </w:p>
          <w:p w14:paraId="4F3636A8">
            <w:pPr>
              <w:rPr>
                <w:rFonts w:hint="default" w:ascii="Times New Roman" w:hAnsi="Times New Roman" w:cs="Times New Roman"/>
                <w:color w:val="auto"/>
                <w:highlight w:val="none"/>
              </w:rPr>
            </w:pPr>
          </w:p>
        </w:tc>
      </w:tr>
    </w:tbl>
    <w:p w14:paraId="35EC9F89">
      <w:pPr>
        <w:rPr>
          <w:rFonts w:hint="default" w:ascii="Times New Roman" w:hAnsi="Times New Roman" w:cs="Times New Roman"/>
          <w:color w:val="auto"/>
          <w:highlight w:val="none"/>
        </w:rPr>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14:paraId="64F1B3E0">
      <w:pPr>
        <w:wordWrap w:val="0"/>
        <w:topLinePunct/>
        <w:jc w:val="left"/>
        <w:outlineLvl w:val="0"/>
        <w:rPr>
          <w:rFonts w:hint="default" w:ascii="Times New Roman" w:hAnsi="Times New Roman" w:cs="Times New Roman"/>
          <w:b/>
          <w:snapToGrid w:val="0"/>
          <w:color w:val="auto"/>
          <w:sz w:val="30"/>
          <w:szCs w:val="30"/>
          <w:highlight w:val="none"/>
        </w:rPr>
      </w:pPr>
      <w:bookmarkStart w:id="22" w:name="_Toc5264"/>
      <w:r>
        <w:rPr>
          <w:rFonts w:hint="default" w:ascii="Times New Roman" w:hAnsi="Times New Roman" w:cs="Times New Roman"/>
          <w:b/>
          <w:snapToGrid w:val="0"/>
          <w:color w:val="auto"/>
          <w:sz w:val="30"/>
          <w:szCs w:val="30"/>
          <w:highlight w:val="none"/>
        </w:rPr>
        <w:t>附表：建设项目污染物排放量汇总表</w:t>
      </w:r>
      <w:bookmarkEnd w:id="22"/>
    </w:p>
    <w:p w14:paraId="1781BE0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cs="Times New Roman"/>
          <w:b/>
          <w:snapToGrid w:val="0"/>
          <w:color w:val="auto"/>
          <w:sz w:val="36"/>
          <w:szCs w:val="36"/>
          <w:highlight w:val="none"/>
        </w:rPr>
      </w:pPr>
      <w:r>
        <w:rPr>
          <w:rFonts w:hint="default" w:ascii="Times New Roman" w:hAnsi="Times New Roman" w:cs="Times New Roman"/>
          <w:b/>
          <w:snapToGrid w:val="0"/>
          <w:color w:val="auto"/>
          <w:sz w:val="36"/>
          <w:szCs w:val="36"/>
          <w:highlight w:val="none"/>
        </w:rPr>
        <w:t>建设项目污染物排放量汇总表</w:t>
      </w:r>
    </w:p>
    <w:p w14:paraId="21C23154">
      <w:pPr>
        <w:wordWrap w:val="0"/>
        <w:topLinePunct/>
        <w:spacing w:line="240" w:lineRule="auto"/>
        <w:jc w:val="right"/>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单位：t/a</w:t>
      </w:r>
    </w:p>
    <w:tbl>
      <w:tblPr>
        <w:tblStyle w:val="38"/>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579"/>
        <w:gridCol w:w="1701"/>
        <w:gridCol w:w="1276"/>
        <w:gridCol w:w="1701"/>
        <w:gridCol w:w="1559"/>
        <w:gridCol w:w="1761"/>
        <w:gridCol w:w="1630"/>
        <w:gridCol w:w="1155"/>
      </w:tblGrid>
      <w:tr w14:paraId="64E16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tcBorders>
              <w:tl2br w:val="single" w:color="auto" w:sz="4" w:space="0"/>
            </w:tcBorders>
            <w:noWrap w:val="0"/>
            <w:tcMar>
              <w:left w:w="28" w:type="dxa"/>
              <w:right w:w="28" w:type="dxa"/>
            </w:tcMar>
            <w:vAlign w:val="center"/>
          </w:tcPr>
          <w:p w14:paraId="046B128F">
            <w:pPr>
              <w:pStyle w:val="60"/>
              <w:bidi w:val="0"/>
              <w:jc w:val="righ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w:t>
            </w:r>
          </w:p>
          <w:p w14:paraId="35F8D49C">
            <w:pPr>
              <w:pStyle w:val="45"/>
              <w:rPr>
                <w:rFonts w:hint="default" w:ascii="Times New Roman" w:hAnsi="Times New Roman" w:cs="Times New Roman"/>
                <w:b/>
                <w:bCs/>
                <w:color w:val="auto"/>
                <w:sz w:val="24"/>
                <w:szCs w:val="24"/>
                <w:highlight w:val="none"/>
              </w:rPr>
            </w:pPr>
          </w:p>
          <w:p w14:paraId="4C3970C8">
            <w:pPr>
              <w:pStyle w:val="60"/>
              <w:bidi w:val="0"/>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分类</w:t>
            </w:r>
          </w:p>
        </w:tc>
        <w:tc>
          <w:tcPr>
            <w:tcW w:w="1579" w:type="dxa"/>
            <w:noWrap w:val="0"/>
            <w:tcMar>
              <w:left w:w="28" w:type="dxa"/>
              <w:right w:w="28" w:type="dxa"/>
            </w:tcMar>
            <w:vAlign w:val="center"/>
          </w:tcPr>
          <w:p w14:paraId="43AAD2CC">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污染物名称</w:t>
            </w:r>
          </w:p>
        </w:tc>
        <w:tc>
          <w:tcPr>
            <w:tcW w:w="1701" w:type="dxa"/>
            <w:noWrap w:val="0"/>
            <w:tcMar>
              <w:left w:w="28" w:type="dxa"/>
              <w:right w:w="28" w:type="dxa"/>
            </w:tcMar>
            <w:vAlign w:val="center"/>
          </w:tcPr>
          <w:p w14:paraId="176643F2">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现有工程</w:t>
            </w:r>
          </w:p>
          <w:p w14:paraId="1370BBCF">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排放量（固体废物产生量）</w:t>
            </w: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1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①</w:t>
            </w:r>
            <w:r>
              <w:rPr>
                <w:rFonts w:hint="default" w:ascii="Times New Roman" w:hAnsi="Times New Roman" w:cs="Times New Roman"/>
                <w:b/>
                <w:bCs/>
                <w:color w:val="auto"/>
                <w:sz w:val="24"/>
                <w:szCs w:val="24"/>
                <w:highlight w:val="none"/>
              </w:rPr>
              <w:fldChar w:fldCharType="end"/>
            </w:r>
          </w:p>
        </w:tc>
        <w:tc>
          <w:tcPr>
            <w:tcW w:w="1276" w:type="dxa"/>
            <w:noWrap w:val="0"/>
            <w:tcMar>
              <w:left w:w="28" w:type="dxa"/>
              <w:right w:w="28" w:type="dxa"/>
            </w:tcMar>
            <w:vAlign w:val="center"/>
          </w:tcPr>
          <w:p w14:paraId="2819C562">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现有工程</w:t>
            </w:r>
          </w:p>
          <w:p w14:paraId="09E08D68">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许可排放量</w:t>
            </w:r>
          </w:p>
          <w:p w14:paraId="0869F864">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2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②</w:t>
            </w:r>
            <w:r>
              <w:rPr>
                <w:rFonts w:hint="default" w:ascii="Times New Roman" w:hAnsi="Times New Roman" w:cs="Times New Roman"/>
                <w:b/>
                <w:bCs/>
                <w:color w:val="auto"/>
                <w:sz w:val="24"/>
                <w:szCs w:val="24"/>
                <w:highlight w:val="none"/>
              </w:rPr>
              <w:fldChar w:fldCharType="end"/>
            </w:r>
          </w:p>
        </w:tc>
        <w:tc>
          <w:tcPr>
            <w:tcW w:w="1701" w:type="dxa"/>
            <w:noWrap w:val="0"/>
            <w:tcMar>
              <w:left w:w="28" w:type="dxa"/>
              <w:right w:w="28" w:type="dxa"/>
            </w:tcMar>
            <w:vAlign w:val="center"/>
          </w:tcPr>
          <w:p w14:paraId="5BBD7DC0">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在建工程</w:t>
            </w:r>
          </w:p>
          <w:p w14:paraId="341B6267">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排放量（固体废物产生量）</w:t>
            </w: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3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③</w:t>
            </w:r>
            <w:r>
              <w:rPr>
                <w:rFonts w:hint="default" w:ascii="Times New Roman" w:hAnsi="Times New Roman" w:cs="Times New Roman"/>
                <w:b/>
                <w:bCs/>
                <w:color w:val="auto"/>
                <w:sz w:val="24"/>
                <w:szCs w:val="24"/>
                <w:highlight w:val="none"/>
              </w:rPr>
              <w:fldChar w:fldCharType="end"/>
            </w:r>
          </w:p>
        </w:tc>
        <w:tc>
          <w:tcPr>
            <w:tcW w:w="1559" w:type="dxa"/>
            <w:noWrap w:val="0"/>
            <w:tcMar>
              <w:left w:w="28" w:type="dxa"/>
              <w:right w:w="28" w:type="dxa"/>
            </w:tcMar>
            <w:vAlign w:val="center"/>
          </w:tcPr>
          <w:p w14:paraId="02B6DD76">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本项目</w:t>
            </w:r>
          </w:p>
          <w:p w14:paraId="1E05A50D">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排放量（固体废物产生量）</w:t>
            </w: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4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④</w:t>
            </w:r>
            <w:r>
              <w:rPr>
                <w:rFonts w:hint="default" w:ascii="Times New Roman" w:hAnsi="Times New Roman" w:cs="Times New Roman"/>
                <w:b/>
                <w:bCs/>
                <w:color w:val="auto"/>
                <w:sz w:val="24"/>
                <w:szCs w:val="24"/>
                <w:highlight w:val="none"/>
              </w:rPr>
              <w:fldChar w:fldCharType="end"/>
            </w:r>
          </w:p>
        </w:tc>
        <w:tc>
          <w:tcPr>
            <w:tcW w:w="1761" w:type="dxa"/>
            <w:noWrap w:val="0"/>
            <w:tcMar>
              <w:left w:w="28" w:type="dxa"/>
              <w:right w:w="28" w:type="dxa"/>
            </w:tcMar>
            <w:vAlign w:val="center"/>
          </w:tcPr>
          <w:p w14:paraId="3FFF5D62">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以新带老削减量</w:t>
            </w:r>
          </w:p>
          <w:p w14:paraId="796523F6">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（新建项目不填）</w:t>
            </w: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5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⑤</w:t>
            </w:r>
            <w:r>
              <w:rPr>
                <w:rFonts w:hint="default" w:ascii="Times New Roman" w:hAnsi="Times New Roman" w:cs="Times New Roman"/>
                <w:b/>
                <w:bCs/>
                <w:color w:val="auto"/>
                <w:sz w:val="24"/>
                <w:szCs w:val="24"/>
                <w:highlight w:val="none"/>
              </w:rPr>
              <w:fldChar w:fldCharType="end"/>
            </w:r>
          </w:p>
        </w:tc>
        <w:tc>
          <w:tcPr>
            <w:tcW w:w="1630" w:type="dxa"/>
            <w:noWrap w:val="0"/>
            <w:tcMar>
              <w:left w:w="28" w:type="dxa"/>
              <w:right w:w="28" w:type="dxa"/>
            </w:tcMar>
            <w:vAlign w:val="center"/>
          </w:tcPr>
          <w:p w14:paraId="5BC9118B">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本项目建成后</w:t>
            </w:r>
          </w:p>
          <w:p w14:paraId="4A9E5589">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全厂排放量（固体废物产生量）</w:t>
            </w: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6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⑥</w:t>
            </w:r>
            <w:r>
              <w:rPr>
                <w:rFonts w:hint="default" w:ascii="Times New Roman" w:hAnsi="Times New Roman" w:cs="Times New Roman"/>
                <w:b/>
                <w:bCs/>
                <w:color w:val="auto"/>
                <w:sz w:val="24"/>
                <w:szCs w:val="24"/>
                <w:highlight w:val="none"/>
              </w:rPr>
              <w:fldChar w:fldCharType="end"/>
            </w:r>
          </w:p>
        </w:tc>
        <w:tc>
          <w:tcPr>
            <w:tcW w:w="1155" w:type="dxa"/>
            <w:noWrap w:val="0"/>
            <w:tcMar>
              <w:left w:w="28" w:type="dxa"/>
              <w:right w:w="28" w:type="dxa"/>
            </w:tcMar>
            <w:vAlign w:val="center"/>
          </w:tcPr>
          <w:p w14:paraId="12D77DEE">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变化量</w:t>
            </w:r>
          </w:p>
          <w:p w14:paraId="31B3DBFA">
            <w:pPr>
              <w:pStyle w:val="60"/>
              <w:bidi w:val="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fldChar w:fldCharType="begin"/>
            </w:r>
            <w:r>
              <w:rPr>
                <w:rFonts w:hint="default" w:ascii="Times New Roman" w:hAnsi="Times New Roman" w:cs="Times New Roman"/>
                <w:b/>
                <w:bCs/>
                <w:color w:val="auto"/>
                <w:sz w:val="24"/>
                <w:szCs w:val="24"/>
                <w:highlight w:val="none"/>
              </w:rPr>
              <w:instrText xml:space="preserve"> = 7 \* GB3 \* MERGEFORMAT </w:instrText>
            </w:r>
            <w:r>
              <w:rPr>
                <w:rFonts w:hint="default" w:ascii="Times New Roman" w:hAnsi="Times New Roman" w:cs="Times New Roman"/>
                <w:b/>
                <w:bCs/>
                <w:color w:val="auto"/>
                <w:sz w:val="24"/>
                <w:szCs w:val="24"/>
                <w:highlight w:val="none"/>
              </w:rPr>
              <w:fldChar w:fldCharType="separate"/>
            </w:r>
            <w:r>
              <w:rPr>
                <w:rFonts w:hint="default" w:ascii="Times New Roman" w:hAnsi="Times New Roman" w:cs="Times New Roman"/>
                <w:b/>
                <w:bCs/>
                <w:color w:val="auto"/>
                <w:sz w:val="24"/>
                <w:szCs w:val="24"/>
                <w:highlight w:val="none"/>
              </w:rPr>
              <w:t>⑦</w:t>
            </w:r>
            <w:r>
              <w:rPr>
                <w:rFonts w:hint="default" w:ascii="Times New Roman" w:hAnsi="Times New Roman" w:cs="Times New Roman"/>
                <w:b/>
                <w:bCs/>
                <w:color w:val="auto"/>
                <w:sz w:val="24"/>
                <w:szCs w:val="24"/>
                <w:highlight w:val="none"/>
              </w:rPr>
              <w:fldChar w:fldCharType="end"/>
            </w:r>
          </w:p>
        </w:tc>
      </w:tr>
      <w:tr w14:paraId="37296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restart"/>
            <w:noWrap w:val="0"/>
            <w:vAlign w:val="center"/>
          </w:tcPr>
          <w:p w14:paraId="72CD17B3">
            <w:pPr>
              <w:pStyle w:val="60"/>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废气</w:t>
            </w:r>
          </w:p>
        </w:tc>
        <w:tc>
          <w:tcPr>
            <w:tcW w:w="1579" w:type="dxa"/>
            <w:shd w:val="clear" w:color="auto" w:fill="auto"/>
            <w:noWrap w:val="0"/>
            <w:vAlign w:val="center"/>
          </w:tcPr>
          <w:p w14:paraId="1DECC754">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颗粒物</w:t>
            </w:r>
          </w:p>
        </w:tc>
        <w:tc>
          <w:tcPr>
            <w:tcW w:w="1701" w:type="dxa"/>
            <w:shd w:val="clear" w:color="auto" w:fill="auto"/>
            <w:noWrap w:val="0"/>
            <w:vAlign w:val="center"/>
          </w:tcPr>
          <w:p w14:paraId="6F56FF37">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shd w:val="clear" w:color="auto" w:fill="auto"/>
            <w:noWrap w:val="0"/>
            <w:vAlign w:val="center"/>
          </w:tcPr>
          <w:p w14:paraId="5A2FE815">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shd w:val="clear" w:color="auto" w:fill="auto"/>
            <w:noWrap w:val="0"/>
            <w:vAlign w:val="center"/>
          </w:tcPr>
          <w:p w14:paraId="04A03845">
            <w:pPr>
              <w:pStyle w:val="60"/>
              <w:bidi w:val="0"/>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1559" w:type="dxa"/>
            <w:shd w:val="clear" w:color="auto" w:fill="auto"/>
            <w:noWrap w:val="0"/>
            <w:vAlign w:val="center"/>
          </w:tcPr>
          <w:p w14:paraId="005758D7">
            <w:pPr>
              <w:pStyle w:val="48"/>
              <w:bidi w:val="0"/>
              <w:rPr>
                <w:rFonts w:hint="default"/>
                <w:sz w:val="24"/>
                <w:szCs w:val="24"/>
                <w:highlight w:val="none"/>
                <w:lang w:val="en-US" w:eastAsia="zh-CN"/>
              </w:rPr>
            </w:pPr>
            <w:r>
              <w:rPr>
                <w:rFonts w:hint="eastAsia"/>
                <w:sz w:val="24"/>
                <w:szCs w:val="24"/>
                <w:highlight w:val="none"/>
                <w:lang w:val="en-US" w:eastAsia="zh-CN"/>
              </w:rPr>
              <w:t>0.0585</w:t>
            </w:r>
          </w:p>
        </w:tc>
        <w:tc>
          <w:tcPr>
            <w:tcW w:w="1761" w:type="dxa"/>
            <w:shd w:val="clear" w:color="auto" w:fill="auto"/>
            <w:noWrap w:val="0"/>
            <w:vAlign w:val="center"/>
          </w:tcPr>
          <w:p w14:paraId="59550CE1">
            <w:pPr>
              <w:pStyle w:val="48"/>
              <w:bidi w:val="0"/>
              <w:rPr>
                <w:rFonts w:hint="default"/>
                <w:sz w:val="24"/>
                <w:szCs w:val="24"/>
                <w:highlight w:val="none"/>
                <w:lang w:val="en-US" w:eastAsia="zh-CN"/>
              </w:rPr>
            </w:pPr>
            <w:r>
              <w:rPr>
                <w:rFonts w:hint="default"/>
                <w:sz w:val="24"/>
                <w:szCs w:val="24"/>
                <w:highlight w:val="none"/>
                <w:lang w:val="en-US" w:eastAsia="zh-CN"/>
              </w:rPr>
              <w:t>/</w:t>
            </w:r>
          </w:p>
        </w:tc>
        <w:tc>
          <w:tcPr>
            <w:tcW w:w="1630" w:type="dxa"/>
            <w:shd w:val="clear" w:color="auto" w:fill="auto"/>
            <w:noWrap w:val="0"/>
            <w:vAlign w:val="center"/>
          </w:tcPr>
          <w:p w14:paraId="268A84F4">
            <w:pPr>
              <w:pStyle w:val="48"/>
              <w:bidi w:val="0"/>
              <w:rPr>
                <w:rFonts w:hint="default"/>
                <w:sz w:val="24"/>
                <w:szCs w:val="24"/>
                <w:highlight w:val="none"/>
                <w:lang w:val="en-US" w:eastAsia="zh-CN"/>
              </w:rPr>
            </w:pPr>
            <w:r>
              <w:rPr>
                <w:rFonts w:hint="eastAsia"/>
                <w:sz w:val="24"/>
                <w:szCs w:val="24"/>
                <w:highlight w:val="none"/>
                <w:lang w:val="en-US" w:eastAsia="zh-CN"/>
              </w:rPr>
              <w:t>0.0585</w:t>
            </w:r>
          </w:p>
        </w:tc>
        <w:tc>
          <w:tcPr>
            <w:tcW w:w="1155" w:type="dxa"/>
            <w:shd w:val="clear" w:color="auto" w:fill="auto"/>
            <w:noWrap w:val="0"/>
            <w:vAlign w:val="center"/>
          </w:tcPr>
          <w:p w14:paraId="63D7EDF1">
            <w:pPr>
              <w:pStyle w:val="48"/>
              <w:bidi w:val="0"/>
              <w:rPr>
                <w:rFonts w:hint="default"/>
                <w:sz w:val="24"/>
                <w:szCs w:val="24"/>
                <w:highlight w:val="none"/>
                <w:lang w:val="en-US" w:eastAsia="zh-CN"/>
              </w:rPr>
            </w:pPr>
            <w:r>
              <w:rPr>
                <w:rFonts w:hint="eastAsia"/>
                <w:sz w:val="24"/>
                <w:szCs w:val="24"/>
                <w:highlight w:val="none"/>
                <w:lang w:val="en-US" w:eastAsia="zh-CN"/>
              </w:rPr>
              <w:t>+0.0585</w:t>
            </w:r>
          </w:p>
        </w:tc>
      </w:tr>
      <w:tr w14:paraId="6A18DE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2ACE7540">
            <w:pPr>
              <w:pStyle w:val="60"/>
              <w:bidi w:val="0"/>
              <w:rPr>
                <w:rFonts w:hint="default" w:ascii="Times New Roman" w:hAnsi="Times New Roman" w:cs="Times New Roman"/>
                <w:color w:val="auto"/>
                <w:sz w:val="24"/>
                <w:szCs w:val="24"/>
                <w:highlight w:val="none"/>
                <w:lang w:val="en-US" w:eastAsia="zh-CN"/>
              </w:rPr>
            </w:pPr>
          </w:p>
        </w:tc>
        <w:tc>
          <w:tcPr>
            <w:tcW w:w="1579" w:type="dxa"/>
            <w:shd w:val="clear" w:color="auto" w:fill="auto"/>
            <w:noWrap w:val="0"/>
            <w:vAlign w:val="center"/>
          </w:tcPr>
          <w:p w14:paraId="4CAB95EE">
            <w:pPr>
              <w:pStyle w:val="60"/>
              <w:bidi w:val="0"/>
              <w:rPr>
                <w:rFonts w:hint="default"/>
                <w:color w:val="auto"/>
                <w:sz w:val="24"/>
                <w:szCs w:val="24"/>
                <w:highlight w:val="none"/>
                <w:lang w:eastAsia="zh-CN"/>
              </w:rPr>
            </w:pPr>
            <w:r>
              <w:rPr>
                <w:rFonts w:hint="eastAsia"/>
                <w:color w:val="auto"/>
                <w:sz w:val="24"/>
                <w:szCs w:val="24"/>
                <w:highlight w:val="none"/>
                <w:lang w:val="en-US" w:eastAsia="zh-CN"/>
              </w:rPr>
              <w:t>二氧化硫</w:t>
            </w:r>
          </w:p>
        </w:tc>
        <w:tc>
          <w:tcPr>
            <w:tcW w:w="1701" w:type="dxa"/>
            <w:shd w:val="clear" w:color="auto" w:fill="auto"/>
            <w:noWrap w:val="0"/>
            <w:vAlign w:val="center"/>
          </w:tcPr>
          <w:p w14:paraId="1DBBB598">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shd w:val="clear" w:color="auto" w:fill="auto"/>
            <w:noWrap w:val="0"/>
            <w:vAlign w:val="center"/>
          </w:tcPr>
          <w:p w14:paraId="375D48D0">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shd w:val="clear" w:color="auto" w:fill="auto"/>
            <w:noWrap w:val="0"/>
            <w:vAlign w:val="center"/>
          </w:tcPr>
          <w:p w14:paraId="62EE3D1B">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shd w:val="clear" w:color="auto" w:fill="auto"/>
            <w:noWrap w:val="0"/>
            <w:vAlign w:val="center"/>
          </w:tcPr>
          <w:p w14:paraId="2B8742A2">
            <w:pPr>
              <w:pStyle w:val="48"/>
              <w:bidi w:val="0"/>
              <w:rPr>
                <w:rFonts w:hint="default"/>
                <w:sz w:val="24"/>
                <w:szCs w:val="24"/>
                <w:highlight w:val="none"/>
                <w:lang w:val="en-US" w:eastAsia="zh-CN"/>
              </w:rPr>
            </w:pPr>
            <w:r>
              <w:rPr>
                <w:rFonts w:hint="eastAsia"/>
                <w:sz w:val="24"/>
                <w:szCs w:val="24"/>
                <w:highlight w:val="none"/>
                <w:lang w:val="en-US" w:eastAsia="zh-CN"/>
              </w:rPr>
              <w:t>1.0980</w:t>
            </w:r>
          </w:p>
        </w:tc>
        <w:tc>
          <w:tcPr>
            <w:tcW w:w="1761" w:type="dxa"/>
            <w:shd w:val="clear" w:color="auto" w:fill="auto"/>
            <w:noWrap w:val="0"/>
            <w:vAlign w:val="center"/>
          </w:tcPr>
          <w:p w14:paraId="44E3130B">
            <w:pPr>
              <w:pStyle w:val="48"/>
              <w:bidi w:val="0"/>
              <w:rPr>
                <w:rFonts w:hint="default"/>
                <w:sz w:val="24"/>
                <w:szCs w:val="24"/>
                <w:highlight w:val="none"/>
                <w:lang w:val="en-US" w:eastAsia="zh-CN"/>
              </w:rPr>
            </w:pPr>
            <w:r>
              <w:rPr>
                <w:rFonts w:hint="default"/>
                <w:sz w:val="24"/>
                <w:szCs w:val="24"/>
                <w:highlight w:val="none"/>
                <w:lang w:val="en-US" w:eastAsia="zh-CN"/>
              </w:rPr>
              <w:t>/</w:t>
            </w:r>
          </w:p>
        </w:tc>
        <w:tc>
          <w:tcPr>
            <w:tcW w:w="1630" w:type="dxa"/>
            <w:shd w:val="clear" w:color="auto" w:fill="auto"/>
            <w:noWrap w:val="0"/>
            <w:vAlign w:val="center"/>
          </w:tcPr>
          <w:p w14:paraId="2208E03E">
            <w:pPr>
              <w:pStyle w:val="48"/>
              <w:bidi w:val="0"/>
              <w:rPr>
                <w:rFonts w:hint="default"/>
                <w:sz w:val="24"/>
                <w:szCs w:val="24"/>
                <w:highlight w:val="none"/>
                <w:lang w:val="en-US" w:eastAsia="zh-CN"/>
              </w:rPr>
            </w:pPr>
            <w:r>
              <w:rPr>
                <w:rFonts w:hint="eastAsia"/>
                <w:sz w:val="24"/>
                <w:szCs w:val="24"/>
                <w:highlight w:val="none"/>
                <w:lang w:val="en-US" w:eastAsia="zh-CN"/>
              </w:rPr>
              <w:t>1.0980</w:t>
            </w:r>
          </w:p>
        </w:tc>
        <w:tc>
          <w:tcPr>
            <w:tcW w:w="1155" w:type="dxa"/>
            <w:shd w:val="clear" w:color="auto" w:fill="auto"/>
            <w:noWrap w:val="0"/>
            <w:vAlign w:val="center"/>
          </w:tcPr>
          <w:p w14:paraId="6D613667">
            <w:pPr>
              <w:pStyle w:val="48"/>
              <w:bidi w:val="0"/>
              <w:rPr>
                <w:rFonts w:hint="default"/>
                <w:sz w:val="24"/>
                <w:szCs w:val="24"/>
                <w:highlight w:val="none"/>
                <w:lang w:val="en-US" w:eastAsia="zh-CN"/>
              </w:rPr>
            </w:pPr>
            <w:r>
              <w:rPr>
                <w:rFonts w:hint="eastAsia"/>
                <w:sz w:val="24"/>
                <w:szCs w:val="24"/>
                <w:highlight w:val="none"/>
                <w:lang w:val="en-US" w:eastAsia="zh-CN"/>
              </w:rPr>
              <w:t>+1.0980</w:t>
            </w:r>
          </w:p>
        </w:tc>
      </w:tr>
      <w:tr w14:paraId="06431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7847F16C">
            <w:pPr>
              <w:pStyle w:val="60"/>
              <w:bidi w:val="0"/>
              <w:rPr>
                <w:rFonts w:hint="default" w:ascii="Times New Roman" w:hAnsi="Times New Roman" w:cs="Times New Roman"/>
                <w:color w:val="auto"/>
                <w:sz w:val="24"/>
                <w:szCs w:val="24"/>
                <w:highlight w:val="none"/>
                <w:lang w:val="en-US" w:eastAsia="zh-CN"/>
              </w:rPr>
            </w:pPr>
          </w:p>
        </w:tc>
        <w:tc>
          <w:tcPr>
            <w:tcW w:w="1579" w:type="dxa"/>
            <w:shd w:val="clear" w:color="auto" w:fill="auto"/>
            <w:noWrap w:val="0"/>
            <w:vAlign w:val="center"/>
          </w:tcPr>
          <w:p w14:paraId="21788E41">
            <w:pPr>
              <w:pStyle w:val="60"/>
              <w:bidi w:val="0"/>
              <w:rPr>
                <w:rFonts w:hint="default"/>
                <w:color w:val="auto"/>
                <w:sz w:val="24"/>
                <w:szCs w:val="24"/>
                <w:highlight w:val="none"/>
                <w:lang w:eastAsia="zh-CN"/>
              </w:rPr>
            </w:pPr>
            <w:r>
              <w:rPr>
                <w:rFonts w:hint="eastAsia"/>
                <w:color w:val="auto"/>
                <w:sz w:val="24"/>
                <w:szCs w:val="24"/>
                <w:highlight w:val="none"/>
                <w:lang w:val="en-US" w:eastAsia="zh-CN"/>
              </w:rPr>
              <w:t>氮氧化物</w:t>
            </w:r>
          </w:p>
        </w:tc>
        <w:tc>
          <w:tcPr>
            <w:tcW w:w="1701" w:type="dxa"/>
            <w:shd w:val="clear" w:color="auto" w:fill="auto"/>
            <w:noWrap w:val="0"/>
            <w:vAlign w:val="center"/>
          </w:tcPr>
          <w:p w14:paraId="27004755">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shd w:val="clear" w:color="auto" w:fill="auto"/>
            <w:noWrap w:val="0"/>
            <w:vAlign w:val="center"/>
          </w:tcPr>
          <w:p w14:paraId="2283502D">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shd w:val="clear" w:color="auto" w:fill="auto"/>
            <w:noWrap w:val="0"/>
            <w:vAlign w:val="center"/>
          </w:tcPr>
          <w:p w14:paraId="19F304A8">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shd w:val="clear" w:color="auto" w:fill="auto"/>
            <w:noWrap w:val="0"/>
            <w:vAlign w:val="center"/>
          </w:tcPr>
          <w:p w14:paraId="700D4A84">
            <w:pPr>
              <w:pStyle w:val="48"/>
              <w:bidi w:val="0"/>
              <w:rPr>
                <w:rFonts w:hint="default"/>
                <w:sz w:val="24"/>
                <w:szCs w:val="24"/>
                <w:highlight w:val="none"/>
                <w:lang w:val="en-US" w:eastAsia="zh-CN"/>
              </w:rPr>
            </w:pPr>
            <w:r>
              <w:rPr>
                <w:rFonts w:hint="eastAsia"/>
                <w:sz w:val="24"/>
                <w:szCs w:val="24"/>
                <w:highlight w:val="none"/>
                <w:lang w:val="en-US" w:eastAsia="zh-CN"/>
              </w:rPr>
              <w:t>3.1111</w:t>
            </w:r>
          </w:p>
        </w:tc>
        <w:tc>
          <w:tcPr>
            <w:tcW w:w="1761" w:type="dxa"/>
            <w:shd w:val="clear" w:color="auto" w:fill="auto"/>
            <w:noWrap w:val="0"/>
            <w:vAlign w:val="center"/>
          </w:tcPr>
          <w:p w14:paraId="79F8A6A8">
            <w:pPr>
              <w:pStyle w:val="48"/>
              <w:bidi w:val="0"/>
              <w:rPr>
                <w:rFonts w:hint="default"/>
                <w:sz w:val="24"/>
                <w:szCs w:val="24"/>
                <w:highlight w:val="none"/>
                <w:lang w:val="en-US" w:eastAsia="zh-CN"/>
              </w:rPr>
            </w:pPr>
            <w:r>
              <w:rPr>
                <w:rFonts w:hint="default"/>
                <w:sz w:val="24"/>
                <w:szCs w:val="24"/>
                <w:highlight w:val="none"/>
                <w:lang w:val="en-US" w:eastAsia="zh-CN"/>
              </w:rPr>
              <w:t>/</w:t>
            </w:r>
          </w:p>
        </w:tc>
        <w:tc>
          <w:tcPr>
            <w:tcW w:w="1630" w:type="dxa"/>
            <w:shd w:val="clear" w:color="auto" w:fill="auto"/>
            <w:noWrap w:val="0"/>
            <w:vAlign w:val="center"/>
          </w:tcPr>
          <w:p w14:paraId="5C2D5EBC">
            <w:pPr>
              <w:pStyle w:val="48"/>
              <w:bidi w:val="0"/>
              <w:rPr>
                <w:rFonts w:hint="default"/>
                <w:sz w:val="24"/>
                <w:szCs w:val="24"/>
                <w:highlight w:val="none"/>
                <w:lang w:val="en-US" w:eastAsia="zh-CN"/>
              </w:rPr>
            </w:pPr>
            <w:r>
              <w:rPr>
                <w:rFonts w:hint="eastAsia"/>
                <w:sz w:val="24"/>
                <w:szCs w:val="24"/>
                <w:highlight w:val="none"/>
                <w:lang w:val="en-US" w:eastAsia="zh-CN"/>
              </w:rPr>
              <w:t>3.1111</w:t>
            </w:r>
          </w:p>
        </w:tc>
        <w:tc>
          <w:tcPr>
            <w:tcW w:w="1155" w:type="dxa"/>
            <w:shd w:val="clear" w:color="auto" w:fill="auto"/>
            <w:noWrap w:val="0"/>
            <w:vAlign w:val="center"/>
          </w:tcPr>
          <w:p w14:paraId="78AE72CC">
            <w:pPr>
              <w:pStyle w:val="48"/>
              <w:bidi w:val="0"/>
              <w:rPr>
                <w:rFonts w:hint="default"/>
                <w:sz w:val="24"/>
                <w:szCs w:val="24"/>
                <w:highlight w:val="none"/>
                <w:lang w:val="en-US" w:eastAsia="zh-CN"/>
              </w:rPr>
            </w:pPr>
            <w:r>
              <w:rPr>
                <w:rFonts w:hint="eastAsia"/>
                <w:sz w:val="24"/>
                <w:szCs w:val="24"/>
                <w:highlight w:val="none"/>
                <w:lang w:val="en-US" w:eastAsia="zh-CN"/>
              </w:rPr>
              <w:t>+3.1111</w:t>
            </w:r>
          </w:p>
        </w:tc>
      </w:tr>
      <w:tr w14:paraId="7187E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noWrap w:val="0"/>
            <w:vAlign w:val="center"/>
          </w:tcPr>
          <w:p w14:paraId="593F1CCB">
            <w:pPr>
              <w:pStyle w:val="60"/>
              <w:bidi w:val="0"/>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lang w:val="en-US" w:eastAsia="zh-CN"/>
              </w:rPr>
              <w:t>生活垃圾</w:t>
            </w:r>
          </w:p>
        </w:tc>
        <w:tc>
          <w:tcPr>
            <w:tcW w:w="1579" w:type="dxa"/>
            <w:noWrap w:val="0"/>
            <w:vAlign w:val="center"/>
          </w:tcPr>
          <w:p w14:paraId="79384F04">
            <w:pPr>
              <w:pStyle w:val="60"/>
              <w:bidi w:val="0"/>
              <w:ind w:firstLine="0" w:firstLineChars="0"/>
              <w:rPr>
                <w:rFonts w:hint="default" w:ascii="Times New Roman" w:hAnsi="Times New Roman" w:cs="Times New Roman"/>
                <w:color w:val="auto"/>
                <w:sz w:val="24"/>
                <w:szCs w:val="24"/>
                <w:highlight w:val="none"/>
              </w:rPr>
            </w:pPr>
            <w:r>
              <w:rPr>
                <w:rFonts w:hint="eastAsia"/>
                <w:color w:val="auto"/>
                <w:sz w:val="24"/>
                <w:szCs w:val="24"/>
                <w:highlight w:val="none"/>
                <w:lang w:val="en-US" w:eastAsia="zh-CN"/>
              </w:rPr>
              <w:t>生活垃圾</w:t>
            </w:r>
          </w:p>
        </w:tc>
        <w:tc>
          <w:tcPr>
            <w:tcW w:w="1701" w:type="dxa"/>
            <w:noWrap w:val="0"/>
            <w:vAlign w:val="center"/>
          </w:tcPr>
          <w:p w14:paraId="2443E387">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3C852CB8">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1FDE0E28">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058775D3">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0.24</w:t>
            </w:r>
          </w:p>
        </w:tc>
        <w:tc>
          <w:tcPr>
            <w:tcW w:w="1761" w:type="dxa"/>
            <w:noWrap w:val="0"/>
            <w:vAlign w:val="center"/>
          </w:tcPr>
          <w:p w14:paraId="227CBD91">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630" w:type="dxa"/>
            <w:noWrap w:val="0"/>
            <w:vAlign w:val="center"/>
          </w:tcPr>
          <w:p w14:paraId="3FA2ED49">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0.24</w:t>
            </w:r>
          </w:p>
        </w:tc>
        <w:tc>
          <w:tcPr>
            <w:tcW w:w="1155" w:type="dxa"/>
            <w:noWrap w:val="0"/>
            <w:vAlign w:val="center"/>
          </w:tcPr>
          <w:p w14:paraId="515ED0BB">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+0.24</w:t>
            </w:r>
          </w:p>
        </w:tc>
      </w:tr>
      <w:tr w14:paraId="0FAEE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restart"/>
            <w:noWrap w:val="0"/>
            <w:vAlign w:val="center"/>
          </w:tcPr>
          <w:p w14:paraId="4732D9CA">
            <w:pPr>
              <w:pStyle w:val="60"/>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一般固废</w:t>
            </w:r>
          </w:p>
        </w:tc>
        <w:tc>
          <w:tcPr>
            <w:tcW w:w="1579" w:type="dxa"/>
            <w:noWrap w:val="0"/>
            <w:vAlign w:val="center"/>
          </w:tcPr>
          <w:p w14:paraId="5E6E1830">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杂质</w:t>
            </w:r>
          </w:p>
        </w:tc>
        <w:tc>
          <w:tcPr>
            <w:tcW w:w="1701" w:type="dxa"/>
            <w:noWrap w:val="0"/>
            <w:vAlign w:val="center"/>
          </w:tcPr>
          <w:p w14:paraId="5D77BC95">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7D5D343B">
            <w:pPr>
              <w:pStyle w:val="60"/>
              <w:bidi w:val="0"/>
              <w:rPr>
                <w:rFonts w:hint="default"/>
                <w:color w:val="auto"/>
                <w:sz w:val="24"/>
                <w:szCs w:val="24"/>
                <w:highlight w:val="none"/>
              </w:rPr>
            </w:pPr>
            <w:r>
              <w:rPr>
                <w:rFonts w:hint="default"/>
                <w:color w:val="auto"/>
                <w:sz w:val="24"/>
                <w:szCs w:val="24"/>
                <w:highlight w:val="none"/>
                <w:lang w:val="en-US" w:eastAsia="zh-CN"/>
              </w:rPr>
              <w:t>/</w:t>
            </w:r>
          </w:p>
        </w:tc>
        <w:tc>
          <w:tcPr>
            <w:tcW w:w="1701" w:type="dxa"/>
            <w:noWrap w:val="0"/>
            <w:vAlign w:val="center"/>
          </w:tcPr>
          <w:p w14:paraId="45FF5B35">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023AE9E8">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36</w:t>
            </w:r>
          </w:p>
        </w:tc>
        <w:tc>
          <w:tcPr>
            <w:tcW w:w="1761" w:type="dxa"/>
            <w:noWrap w:val="0"/>
            <w:vAlign w:val="center"/>
          </w:tcPr>
          <w:p w14:paraId="0A399BB9">
            <w:pPr>
              <w:pStyle w:val="60"/>
              <w:bidi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w:t>
            </w:r>
          </w:p>
        </w:tc>
        <w:tc>
          <w:tcPr>
            <w:tcW w:w="1630" w:type="dxa"/>
            <w:noWrap w:val="0"/>
            <w:vAlign w:val="center"/>
          </w:tcPr>
          <w:p w14:paraId="6AD1F67E">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36</w:t>
            </w:r>
          </w:p>
        </w:tc>
        <w:tc>
          <w:tcPr>
            <w:tcW w:w="1155" w:type="dxa"/>
            <w:noWrap w:val="0"/>
            <w:vAlign w:val="center"/>
          </w:tcPr>
          <w:p w14:paraId="4DC237C7">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+36</w:t>
            </w:r>
          </w:p>
        </w:tc>
      </w:tr>
      <w:tr w14:paraId="66143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1D51802B">
            <w:pPr>
              <w:pStyle w:val="60"/>
              <w:bidi w:val="0"/>
              <w:rPr>
                <w:rFonts w:hint="default" w:ascii="Times New Roman" w:hAnsi="Times New Roman" w:eastAsia="宋体" w:cs="Times New Roman"/>
                <w:color w:val="auto"/>
                <w:sz w:val="24"/>
                <w:szCs w:val="24"/>
                <w:highlight w:val="none"/>
                <w:lang w:val="en-US" w:eastAsia="zh-CN"/>
              </w:rPr>
            </w:pPr>
          </w:p>
        </w:tc>
        <w:tc>
          <w:tcPr>
            <w:tcW w:w="1579" w:type="dxa"/>
            <w:noWrap w:val="0"/>
            <w:vAlign w:val="center"/>
          </w:tcPr>
          <w:p w14:paraId="73A41F85">
            <w:pPr>
              <w:pStyle w:val="60"/>
              <w:bidi w:val="0"/>
              <w:ind w:firstLine="0" w:firstLineChars="0"/>
              <w:rPr>
                <w:rFonts w:hint="eastAsia" w:cs="Times New Roman"/>
                <w:color w:val="auto"/>
                <w:kern w:val="0"/>
                <w:sz w:val="24"/>
                <w:szCs w:val="24"/>
                <w:highlight w:val="none"/>
                <w:lang w:val="en-US" w:eastAsia="zh-CN" w:bidi="ar-SA"/>
              </w:rPr>
            </w:pPr>
            <w:r>
              <w:rPr>
                <w:rFonts w:hint="default" w:ascii="Times New Roman" w:hAnsi="Times New Roman" w:eastAsia="宋体" w:cs="宋体"/>
                <w:color w:val="auto"/>
                <w:sz w:val="24"/>
                <w:szCs w:val="24"/>
                <w:highlight w:val="none"/>
                <w:lang w:val="en-US" w:eastAsia="zh-CN"/>
              </w:rPr>
              <w:t>布袋收集飞灰</w:t>
            </w:r>
          </w:p>
        </w:tc>
        <w:tc>
          <w:tcPr>
            <w:tcW w:w="1701" w:type="dxa"/>
            <w:noWrap w:val="0"/>
            <w:vAlign w:val="center"/>
          </w:tcPr>
          <w:p w14:paraId="01099DFA">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24F275B3">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068DFD5A">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652A2456">
            <w:pPr>
              <w:pStyle w:val="56"/>
              <w:bidi w:val="0"/>
              <w:ind w:left="0" w:leftChars="0" w:firstLine="0" w:firstLineChars="0"/>
              <w:rPr>
                <w:rFonts w:hint="default" w:cs="Times New Roman"/>
                <w:color w:val="auto"/>
                <w:sz w:val="24"/>
                <w:szCs w:val="24"/>
                <w:highlight w:val="none"/>
                <w:lang w:val="en-US" w:eastAsia="zh-CN"/>
              </w:rPr>
            </w:pPr>
            <w:r>
              <w:rPr>
                <w:rFonts w:hint="eastAsia"/>
                <w:color w:val="auto"/>
                <w:sz w:val="24"/>
                <w:szCs w:val="24"/>
                <w:highlight w:val="none"/>
                <w:lang w:val="en-US" w:eastAsia="zh-CN"/>
              </w:rPr>
              <w:t>5.79</w:t>
            </w:r>
          </w:p>
        </w:tc>
        <w:tc>
          <w:tcPr>
            <w:tcW w:w="1761" w:type="dxa"/>
            <w:noWrap w:val="0"/>
            <w:vAlign w:val="center"/>
          </w:tcPr>
          <w:p w14:paraId="450E8A06">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color w:val="auto"/>
                <w:sz w:val="24"/>
                <w:szCs w:val="24"/>
                <w:highlight w:val="none"/>
                <w:lang w:val="en-US" w:eastAsia="zh-CN"/>
              </w:rPr>
              <w:t>/</w:t>
            </w:r>
          </w:p>
        </w:tc>
        <w:tc>
          <w:tcPr>
            <w:tcW w:w="1630" w:type="dxa"/>
            <w:noWrap w:val="0"/>
            <w:vAlign w:val="center"/>
          </w:tcPr>
          <w:p w14:paraId="76A8CE20">
            <w:pPr>
              <w:pStyle w:val="56"/>
              <w:bidi w:val="0"/>
              <w:ind w:left="0" w:leftChars="0" w:firstLine="0" w:firstLineChars="0"/>
              <w:rPr>
                <w:rFonts w:hint="eastAsia" w:cs="Times New Roman"/>
                <w:color w:val="auto"/>
                <w:sz w:val="24"/>
                <w:szCs w:val="24"/>
                <w:highlight w:val="none"/>
                <w:lang w:val="en-US" w:eastAsia="zh-CN"/>
              </w:rPr>
            </w:pPr>
            <w:r>
              <w:rPr>
                <w:rFonts w:hint="eastAsia"/>
                <w:color w:val="auto"/>
                <w:sz w:val="24"/>
                <w:szCs w:val="24"/>
                <w:highlight w:val="none"/>
                <w:lang w:val="en-US" w:eastAsia="zh-CN"/>
              </w:rPr>
              <w:t>5.79</w:t>
            </w:r>
          </w:p>
        </w:tc>
        <w:tc>
          <w:tcPr>
            <w:tcW w:w="1155" w:type="dxa"/>
            <w:noWrap w:val="0"/>
            <w:vAlign w:val="center"/>
          </w:tcPr>
          <w:p w14:paraId="2B1B550C">
            <w:pPr>
              <w:pStyle w:val="56"/>
              <w:bidi w:val="0"/>
              <w:ind w:left="0" w:leftChars="0" w:firstLine="0" w:firstLineChars="0"/>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+5.79</w:t>
            </w:r>
          </w:p>
        </w:tc>
      </w:tr>
      <w:tr w14:paraId="51659C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66D413B5">
            <w:pPr>
              <w:pStyle w:val="60"/>
              <w:bidi w:val="0"/>
              <w:rPr>
                <w:rFonts w:hint="default" w:ascii="Times New Roman" w:hAnsi="Times New Roman" w:eastAsia="宋体" w:cs="Times New Roman"/>
                <w:color w:val="auto"/>
                <w:sz w:val="24"/>
                <w:szCs w:val="24"/>
                <w:highlight w:val="none"/>
                <w:lang w:val="en-US" w:eastAsia="zh-CN"/>
              </w:rPr>
            </w:pPr>
          </w:p>
        </w:tc>
        <w:tc>
          <w:tcPr>
            <w:tcW w:w="1579" w:type="dxa"/>
            <w:noWrap w:val="0"/>
            <w:vAlign w:val="center"/>
          </w:tcPr>
          <w:p w14:paraId="72DD1259">
            <w:pPr>
              <w:pStyle w:val="60"/>
              <w:bidi w:val="0"/>
              <w:ind w:firstLine="0" w:firstLineChars="0"/>
              <w:rPr>
                <w:rFonts w:hint="eastAsia"/>
                <w:color w:val="auto"/>
                <w:sz w:val="24"/>
                <w:szCs w:val="24"/>
                <w:highlight w:val="none"/>
                <w:lang w:val="en-US" w:eastAsia="zh-CN"/>
              </w:rPr>
            </w:pPr>
            <w:r>
              <w:rPr>
                <w:rFonts w:hint="default" w:ascii="Times New Roman" w:hAnsi="Times New Roman" w:eastAsia="宋体" w:cs="宋体"/>
                <w:color w:val="auto"/>
                <w:sz w:val="24"/>
                <w:szCs w:val="24"/>
                <w:highlight w:val="none"/>
                <w:lang w:val="en-US" w:eastAsia="zh-CN"/>
              </w:rPr>
              <w:t>炉渣</w:t>
            </w:r>
          </w:p>
        </w:tc>
        <w:tc>
          <w:tcPr>
            <w:tcW w:w="1701" w:type="dxa"/>
            <w:noWrap w:val="0"/>
            <w:vAlign w:val="center"/>
          </w:tcPr>
          <w:p w14:paraId="04FD1CC7">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508BA53F">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3200CAE3">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color w:val="auto"/>
                <w:sz w:val="24"/>
                <w:szCs w:val="24"/>
                <w:highlight w:val="none"/>
                <w:lang w:val="en-US" w:eastAsia="zh-CN"/>
              </w:rPr>
              <w:t>/</w:t>
            </w:r>
          </w:p>
        </w:tc>
        <w:tc>
          <w:tcPr>
            <w:tcW w:w="1559" w:type="dxa"/>
            <w:noWrap w:val="0"/>
            <w:vAlign w:val="center"/>
          </w:tcPr>
          <w:p w14:paraId="3989C690">
            <w:pPr>
              <w:pStyle w:val="56"/>
              <w:bidi w:val="0"/>
              <w:ind w:left="0" w:leftChars="0" w:firstLine="0" w:firstLineChars="0"/>
              <w:rPr>
                <w:rFonts w:hint="eastAsia" w:cs="Times New Roman"/>
                <w:color w:val="auto"/>
                <w:sz w:val="24"/>
                <w:szCs w:val="24"/>
                <w:highlight w:val="none"/>
                <w:lang w:val="en-US" w:eastAsia="zh-CN"/>
              </w:rPr>
            </w:pPr>
            <w:r>
              <w:rPr>
                <w:rFonts w:hint="eastAsia"/>
                <w:color w:val="auto"/>
                <w:sz w:val="24"/>
                <w:szCs w:val="24"/>
                <w:highlight w:val="none"/>
                <w:lang w:val="en-US" w:eastAsia="zh-CN"/>
              </w:rPr>
              <w:t>164.24</w:t>
            </w:r>
          </w:p>
        </w:tc>
        <w:tc>
          <w:tcPr>
            <w:tcW w:w="1761" w:type="dxa"/>
            <w:noWrap w:val="0"/>
            <w:vAlign w:val="center"/>
          </w:tcPr>
          <w:p w14:paraId="4C88E6F8">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630" w:type="dxa"/>
            <w:noWrap w:val="0"/>
            <w:vAlign w:val="center"/>
          </w:tcPr>
          <w:p w14:paraId="65B97CED">
            <w:pPr>
              <w:pStyle w:val="56"/>
              <w:bidi w:val="0"/>
              <w:ind w:left="0" w:leftChars="0" w:firstLine="0" w:firstLineChars="0"/>
              <w:rPr>
                <w:rFonts w:hint="eastAsia" w:cs="Times New Roman"/>
                <w:color w:val="auto"/>
                <w:sz w:val="24"/>
                <w:szCs w:val="24"/>
                <w:highlight w:val="none"/>
                <w:lang w:val="en-US" w:eastAsia="zh-CN"/>
              </w:rPr>
            </w:pPr>
            <w:r>
              <w:rPr>
                <w:rFonts w:hint="eastAsia"/>
                <w:color w:val="auto"/>
                <w:sz w:val="24"/>
                <w:szCs w:val="24"/>
                <w:highlight w:val="none"/>
                <w:lang w:val="en-US" w:eastAsia="zh-CN"/>
              </w:rPr>
              <w:t>164.24</w:t>
            </w:r>
          </w:p>
        </w:tc>
        <w:tc>
          <w:tcPr>
            <w:tcW w:w="1155" w:type="dxa"/>
            <w:noWrap w:val="0"/>
            <w:vAlign w:val="center"/>
          </w:tcPr>
          <w:p w14:paraId="7A8E2BDE">
            <w:pPr>
              <w:pStyle w:val="56"/>
              <w:bidi w:val="0"/>
              <w:ind w:left="0" w:leftChars="0" w:firstLine="0" w:firstLineChars="0"/>
              <w:rPr>
                <w:rFonts w:hint="eastAsia" w:cs="Times New Roman"/>
                <w:color w:val="auto"/>
                <w:sz w:val="24"/>
                <w:szCs w:val="24"/>
                <w:highlight w:val="none"/>
                <w:lang w:val="en-US" w:eastAsia="zh-CN"/>
              </w:rPr>
            </w:pPr>
            <w:r>
              <w:rPr>
                <w:rFonts w:hint="eastAsia"/>
                <w:color w:val="auto"/>
                <w:sz w:val="24"/>
                <w:szCs w:val="24"/>
                <w:highlight w:val="none"/>
                <w:lang w:val="en-US" w:eastAsia="zh-CN"/>
              </w:rPr>
              <w:t>+164.24</w:t>
            </w:r>
          </w:p>
        </w:tc>
      </w:tr>
      <w:tr w14:paraId="7AFC2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5F42114B">
            <w:pPr>
              <w:pStyle w:val="60"/>
              <w:bidi w:val="0"/>
              <w:rPr>
                <w:rFonts w:hint="default" w:ascii="Times New Roman" w:hAnsi="Times New Roman" w:eastAsia="宋体" w:cs="Times New Roman"/>
                <w:color w:val="auto"/>
                <w:sz w:val="24"/>
                <w:szCs w:val="24"/>
                <w:highlight w:val="none"/>
                <w:lang w:val="en-US" w:eastAsia="zh-CN"/>
              </w:rPr>
            </w:pPr>
          </w:p>
        </w:tc>
        <w:tc>
          <w:tcPr>
            <w:tcW w:w="1579" w:type="dxa"/>
            <w:noWrap w:val="0"/>
            <w:vAlign w:val="center"/>
          </w:tcPr>
          <w:p w14:paraId="1252433B">
            <w:pPr>
              <w:pStyle w:val="60"/>
              <w:bidi w:val="0"/>
              <w:ind w:firstLine="0" w:firstLineChars="0"/>
              <w:rPr>
                <w:rFonts w:hint="eastAsia" w:cs="Times New Roman"/>
                <w:color w:val="auto"/>
                <w:kern w:val="0"/>
                <w:sz w:val="24"/>
                <w:szCs w:val="24"/>
                <w:highlight w:val="none"/>
                <w:lang w:val="en-US" w:eastAsia="zh-CN" w:bidi="ar-SA"/>
              </w:rPr>
            </w:pPr>
            <w:r>
              <w:rPr>
                <w:rFonts w:hint="eastAsia"/>
                <w:color w:val="auto"/>
                <w:sz w:val="24"/>
                <w:szCs w:val="24"/>
                <w:highlight w:val="none"/>
              </w:rPr>
              <w:t>装卸、筛分、输送</w:t>
            </w:r>
            <w:r>
              <w:rPr>
                <w:rFonts w:hint="eastAsia"/>
                <w:color w:val="auto"/>
                <w:sz w:val="24"/>
                <w:szCs w:val="24"/>
                <w:highlight w:val="none"/>
                <w:lang w:val="en-US" w:eastAsia="zh-CN"/>
              </w:rPr>
              <w:t>收集收尘</w:t>
            </w:r>
          </w:p>
        </w:tc>
        <w:tc>
          <w:tcPr>
            <w:tcW w:w="1701" w:type="dxa"/>
            <w:noWrap w:val="0"/>
            <w:vAlign w:val="center"/>
          </w:tcPr>
          <w:p w14:paraId="493D82DD">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632EDEA8">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1142A374">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39813761">
            <w:pPr>
              <w:pStyle w:val="60"/>
              <w:bidi w:val="0"/>
              <w:ind w:firstLine="0" w:firstLineChars="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6.70</w:t>
            </w:r>
          </w:p>
        </w:tc>
        <w:tc>
          <w:tcPr>
            <w:tcW w:w="1761" w:type="dxa"/>
            <w:noWrap w:val="0"/>
            <w:vAlign w:val="center"/>
          </w:tcPr>
          <w:p w14:paraId="2F7B576D">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color w:val="auto"/>
                <w:sz w:val="24"/>
                <w:szCs w:val="24"/>
                <w:highlight w:val="none"/>
                <w:lang w:val="en-US" w:eastAsia="zh-CN"/>
              </w:rPr>
              <w:t>/</w:t>
            </w:r>
          </w:p>
        </w:tc>
        <w:tc>
          <w:tcPr>
            <w:tcW w:w="1630" w:type="dxa"/>
            <w:noWrap w:val="0"/>
            <w:vAlign w:val="center"/>
          </w:tcPr>
          <w:p w14:paraId="50B6D62A">
            <w:pPr>
              <w:pStyle w:val="60"/>
              <w:bidi w:val="0"/>
              <w:ind w:firstLine="0" w:firstLineChars="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6.70</w:t>
            </w:r>
          </w:p>
        </w:tc>
        <w:tc>
          <w:tcPr>
            <w:tcW w:w="1155" w:type="dxa"/>
            <w:noWrap w:val="0"/>
            <w:vAlign w:val="center"/>
          </w:tcPr>
          <w:p w14:paraId="0B30EB9A">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+6.70</w:t>
            </w:r>
          </w:p>
        </w:tc>
      </w:tr>
      <w:tr w14:paraId="0882CC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5562445A">
            <w:pPr>
              <w:pStyle w:val="60"/>
              <w:bidi w:val="0"/>
              <w:rPr>
                <w:rFonts w:hint="default" w:ascii="Times New Roman" w:hAnsi="Times New Roman" w:eastAsia="宋体" w:cs="Times New Roman"/>
                <w:color w:val="auto"/>
                <w:sz w:val="24"/>
                <w:szCs w:val="24"/>
                <w:highlight w:val="none"/>
                <w:lang w:val="en-US" w:eastAsia="zh-CN"/>
              </w:rPr>
            </w:pPr>
          </w:p>
        </w:tc>
        <w:tc>
          <w:tcPr>
            <w:tcW w:w="1579" w:type="dxa"/>
            <w:noWrap w:val="0"/>
            <w:vAlign w:val="center"/>
          </w:tcPr>
          <w:p w14:paraId="490821F6">
            <w:pPr>
              <w:pStyle w:val="60"/>
              <w:bidi w:val="0"/>
              <w:ind w:firstLine="0" w:firstLineChars="0"/>
              <w:rPr>
                <w:rFonts w:hint="eastAsia"/>
                <w:color w:val="auto"/>
                <w:sz w:val="24"/>
                <w:szCs w:val="24"/>
                <w:highlight w:val="none"/>
                <w:lang w:val="en-US" w:eastAsia="zh-CN"/>
              </w:rPr>
            </w:pPr>
            <w:r>
              <w:rPr>
                <w:rFonts w:hint="eastAsia"/>
                <w:color w:val="auto"/>
                <w:sz w:val="24"/>
                <w:szCs w:val="24"/>
                <w:highlight w:val="none"/>
                <w:lang w:val="en-US" w:eastAsia="zh-CN"/>
              </w:rPr>
              <w:t>烘干塔收集粉尘</w:t>
            </w:r>
          </w:p>
        </w:tc>
        <w:tc>
          <w:tcPr>
            <w:tcW w:w="1701" w:type="dxa"/>
            <w:noWrap w:val="0"/>
            <w:vAlign w:val="center"/>
          </w:tcPr>
          <w:p w14:paraId="47D771C8">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4EC55F05">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14BA85E8">
            <w:pPr>
              <w:pStyle w:val="60"/>
              <w:bidi w:val="0"/>
              <w:ind w:firstLine="0" w:firstLine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295BF562">
            <w:pPr>
              <w:pStyle w:val="60"/>
              <w:bidi w:val="0"/>
              <w:ind w:firstLine="0" w:firstLineChars="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6.29</w:t>
            </w:r>
          </w:p>
        </w:tc>
        <w:tc>
          <w:tcPr>
            <w:tcW w:w="1761" w:type="dxa"/>
            <w:noWrap w:val="0"/>
            <w:vAlign w:val="center"/>
          </w:tcPr>
          <w:p w14:paraId="294262EF">
            <w:pPr>
              <w:pStyle w:val="60"/>
              <w:bidi w:val="0"/>
              <w:ind w:firstLine="0" w:firstLineChars="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630" w:type="dxa"/>
            <w:noWrap w:val="0"/>
            <w:vAlign w:val="center"/>
          </w:tcPr>
          <w:p w14:paraId="7AAD98F6">
            <w:pPr>
              <w:pStyle w:val="60"/>
              <w:bidi w:val="0"/>
              <w:ind w:firstLine="0" w:firstLineChars="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6.29</w:t>
            </w:r>
          </w:p>
        </w:tc>
        <w:tc>
          <w:tcPr>
            <w:tcW w:w="1155" w:type="dxa"/>
            <w:noWrap w:val="0"/>
            <w:vAlign w:val="center"/>
          </w:tcPr>
          <w:p w14:paraId="64677CB5">
            <w:pPr>
              <w:pStyle w:val="60"/>
              <w:bidi w:val="0"/>
              <w:ind w:firstLine="0" w:firstLineChars="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+6.29</w:t>
            </w:r>
          </w:p>
        </w:tc>
      </w:tr>
      <w:tr w14:paraId="13888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6" w:type="dxa"/>
            <w:vMerge w:val="continue"/>
            <w:noWrap w:val="0"/>
            <w:vAlign w:val="center"/>
          </w:tcPr>
          <w:p w14:paraId="1E2143AC">
            <w:pPr>
              <w:pStyle w:val="60"/>
              <w:bidi w:val="0"/>
              <w:rPr>
                <w:rFonts w:hint="default" w:ascii="Times New Roman" w:hAnsi="Times New Roman" w:cs="Times New Roman"/>
                <w:color w:val="auto"/>
                <w:sz w:val="24"/>
                <w:szCs w:val="24"/>
                <w:highlight w:val="none"/>
                <w:lang w:val="en-US" w:eastAsia="zh-CN"/>
              </w:rPr>
            </w:pPr>
          </w:p>
        </w:tc>
        <w:tc>
          <w:tcPr>
            <w:tcW w:w="1579" w:type="dxa"/>
            <w:noWrap w:val="0"/>
            <w:vAlign w:val="center"/>
          </w:tcPr>
          <w:p w14:paraId="27C08389">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废布袋</w:t>
            </w:r>
          </w:p>
        </w:tc>
        <w:tc>
          <w:tcPr>
            <w:tcW w:w="1701" w:type="dxa"/>
            <w:noWrap w:val="0"/>
            <w:vAlign w:val="center"/>
          </w:tcPr>
          <w:p w14:paraId="40FB036C">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276" w:type="dxa"/>
            <w:noWrap w:val="0"/>
            <w:vAlign w:val="center"/>
          </w:tcPr>
          <w:p w14:paraId="4C2DD0F2">
            <w:pPr>
              <w:pStyle w:val="60"/>
              <w:bidi w:val="0"/>
              <w:rPr>
                <w:rFonts w:hint="default"/>
                <w:color w:val="auto"/>
                <w:sz w:val="24"/>
                <w:szCs w:val="24"/>
                <w:highlight w:val="none"/>
                <w:lang w:val="en-US" w:eastAsia="zh-CN"/>
              </w:rPr>
            </w:pPr>
            <w:r>
              <w:rPr>
                <w:rFonts w:hint="default"/>
                <w:color w:val="auto"/>
                <w:sz w:val="24"/>
                <w:szCs w:val="24"/>
                <w:highlight w:val="none"/>
                <w:lang w:val="en-US" w:eastAsia="zh-CN"/>
              </w:rPr>
              <w:t>/</w:t>
            </w:r>
          </w:p>
        </w:tc>
        <w:tc>
          <w:tcPr>
            <w:tcW w:w="1701" w:type="dxa"/>
            <w:noWrap w:val="0"/>
            <w:vAlign w:val="center"/>
          </w:tcPr>
          <w:p w14:paraId="53D00C43">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59" w:type="dxa"/>
            <w:noWrap w:val="0"/>
            <w:vAlign w:val="center"/>
          </w:tcPr>
          <w:p w14:paraId="2C7B6EE2">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0.05t/2a</w:t>
            </w:r>
          </w:p>
        </w:tc>
        <w:tc>
          <w:tcPr>
            <w:tcW w:w="1761" w:type="dxa"/>
            <w:noWrap w:val="0"/>
            <w:vAlign w:val="center"/>
          </w:tcPr>
          <w:p w14:paraId="5C969F46">
            <w:pPr>
              <w:pStyle w:val="60"/>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630" w:type="dxa"/>
            <w:noWrap w:val="0"/>
            <w:vAlign w:val="center"/>
          </w:tcPr>
          <w:p w14:paraId="0B61DB07">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0.05t/2a</w:t>
            </w:r>
          </w:p>
        </w:tc>
        <w:tc>
          <w:tcPr>
            <w:tcW w:w="1155" w:type="dxa"/>
            <w:noWrap w:val="0"/>
            <w:vAlign w:val="center"/>
          </w:tcPr>
          <w:p w14:paraId="5BFADEB5">
            <w:pPr>
              <w:pStyle w:val="60"/>
              <w:bidi w:val="0"/>
              <w:ind w:firstLine="0" w:firstLineChars="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+0.05t/2a</w:t>
            </w:r>
          </w:p>
        </w:tc>
      </w:tr>
    </w:tbl>
    <w:p w14:paraId="13EB8F02">
      <w:pPr>
        <w:pStyle w:val="49"/>
        <w:ind w:firstLine="0" w:firstLineChars="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注：</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6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⑥</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1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①</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3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③</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4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④</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5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⑤</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7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⑦</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6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⑥</w:t>
      </w:r>
      <w:r>
        <w:rPr>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 1 \* GB3 \* MERGEFORMAT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①</w:t>
      </w:r>
      <w:r>
        <w:rPr>
          <w:rFonts w:hint="default" w:ascii="Times New Roman" w:hAnsi="Times New Roman" w:cs="Times New Roman"/>
          <w:color w:val="auto"/>
          <w:sz w:val="24"/>
          <w:szCs w:val="24"/>
          <w:highlight w:val="none"/>
        </w:rPr>
        <w:fldChar w:fldCharType="end"/>
      </w:r>
    </w:p>
    <w:p w14:paraId="667FAF7A">
      <w:pPr>
        <w:rPr>
          <w:rFonts w:hint="default" w:ascii="Times New Roman" w:hAnsi="Times New Roman" w:cs="Times New Roman"/>
          <w:color w:val="auto"/>
          <w:highlight w:val="none"/>
        </w:rPr>
        <w:sectPr>
          <w:footerReference r:id="rId9" w:type="default"/>
          <w:pgSz w:w="16838" w:h="11906" w:orient="landscape"/>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14:paraId="4210226C">
      <w:pPr>
        <w:pStyle w:val="64"/>
        <w:jc w:val="left"/>
        <w:rPr>
          <w:rFonts w:hint="default" w:ascii="Times New Roman" w:hAnsi="Times New Roman" w:cs="Times New Roman"/>
          <w:color w:val="auto"/>
          <w:highlight w:val="none"/>
        </w:rPr>
      </w:pPr>
      <w:bookmarkStart w:id="23" w:name="_Toc28420"/>
      <w:bookmarkStart w:id="24" w:name="_Toc3935"/>
      <w:r>
        <w:rPr>
          <w:rFonts w:hint="default" w:ascii="Times New Roman" w:hAnsi="Times New Roman" w:cs="Times New Roman"/>
          <w:b w:val="0"/>
          <w:bCs/>
          <w:color w:val="000000"/>
          <w:highlight w:val="none"/>
          <w:lang w:val="zh-CN"/>
        </w:rPr>
        <w:drawing>
          <wp:anchor distT="0" distB="0" distL="114300" distR="114300" simplePos="0" relativeHeight="251684864" behindDoc="0" locked="0" layoutInCell="1" allowOverlap="1">
            <wp:simplePos x="0" y="0"/>
            <wp:positionH relativeFrom="column">
              <wp:posOffset>6650355</wp:posOffset>
            </wp:positionH>
            <wp:positionV relativeFrom="paragraph">
              <wp:posOffset>319405</wp:posOffset>
            </wp:positionV>
            <wp:extent cx="855980" cy="840105"/>
            <wp:effectExtent l="0" t="0" r="1270" b="17145"/>
            <wp:wrapNone/>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0"/>
                    <a:stretch>
                      <a:fillRect/>
                    </a:stretch>
                  </pic:blipFill>
                  <pic:spPr>
                    <a:xfrm>
                      <a:off x="0" y="0"/>
                      <a:ext cx="855980" cy="840105"/>
                    </a:xfrm>
                    <a:prstGeom prst="rect">
                      <a:avLst/>
                    </a:prstGeom>
                    <a:noFill/>
                    <a:ln>
                      <a:noFill/>
                    </a:ln>
                  </pic:spPr>
                </pic:pic>
              </a:graphicData>
            </a:graphic>
          </wp:anchor>
        </w:drawing>
      </w:r>
      <w:r>
        <w:drawing>
          <wp:anchor distT="0" distB="0" distL="114300" distR="114300" simplePos="0" relativeHeight="251683840" behindDoc="1" locked="0" layoutInCell="1" allowOverlap="1">
            <wp:simplePos x="0" y="0"/>
            <wp:positionH relativeFrom="column">
              <wp:posOffset>1344295</wp:posOffset>
            </wp:positionH>
            <wp:positionV relativeFrom="paragraph">
              <wp:posOffset>310515</wp:posOffset>
            </wp:positionV>
            <wp:extent cx="6174740" cy="5377815"/>
            <wp:effectExtent l="0" t="0" r="16510" b="13335"/>
            <wp:wrapNone/>
            <wp:docPr id="3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8"/>
                    <pic:cNvPicPr>
                      <a:picLocks noChangeAspect="1"/>
                    </pic:cNvPicPr>
                  </pic:nvPicPr>
                  <pic:blipFill>
                    <a:blip r:embed="rId75"/>
                    <a:stretch>
                      <a:fillRect/>
                    </a:stretch>
                  </pic:blipFill>
                  <pic:spPr>
                    <a:xfrm>
                      <a:off x="0" y="0"/>
                      <a:ext cx="6174740" cy="5377815"/>
                    </a:xfrm>
                    <a:prstGeom prst="rect">
                      <a:avLst/>
                    </a:prstGeom>
                    <a:noFill/>
                    <a:ln>
                      <a:noFill/>
                    </a:ln>
                  </pic:spPr>
                </pic:pic>
              </a:graphicData>
            </a:graphic>
          </wp:anchor>
        </w:drawing>
      </w:r>
      <w:r>
        <w:rPr>
          <w:rFonts w:hint="default" w:ascii="Times New Roman" w:hAnsi="Times New Roman" w:cs="Times New Roman"/>
          <w:color w:val="auto"/>
          <w:highlight w:val="none"/>
        </w:rPr>
        <w:t>附图</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 xml:space="preserve"> 项目地理位置图</w:t>
      </w:r>
      <w:bookmarkEnd w:id="23"/>
      <w:bookmarkEnd w:id="24"/>
    </w:p>
    <w:p w14:paraId="1E804F48">
      <w:pPr>
        <w:pStyle w:val="50"/>
        <w:bidi w:val="0"/>
        <w:rPr>
          <w:rFonts w:hint="default" w:ascii="Times New Roman" w:hAnsi="Times New Roman" w:cs="Times New Roman"/>
          <w:color w:val="auto"/>
          <w:highlight w:val="none"/>
        </w:rPr>
      </w:pPr>
    </w:p>
    <w:p w14:paraId="33D13981">
      <w:pPr>
        <w:pStyle w:val="50"/>
        <w:bidi w:val="0"/>
        <w:rPr>
          <w:rFonts w:hint="default" w:ascii="Times New Roman" w:hAnsi="Times New Roman" w:cs="Times New Roman"/>
          <w:color w:val="auto"/>
          <w:highlight w:val="none"/>
        </w:rPr>
        <w:sectPr>
          <w:footerReference r:id="rId10" w:type="default"/>
          <w:pgSz w:w="16838" w:h="11906" w:orient="landscape"/>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auto"/>
          <w:highlight w:val="none"/>
        </w:rPr>
        <w:drawing>
          <wp:anchor distT="0" distB="0" distL="114300" distR="114300" simplePos="0" relativeHeight="251670528" behindDoc="0" locked="0" layoutInCell="1" allowOverlap="1">
            <wp:simplePos x="0" y="0"/>
            <wp:positionH relativeFrom="column">
              <wp:posOffset>7169785</wp:posOffset>
            </wp:positionH>
            <wp:positionV relativeFrom="paragraph">
              <wp:posOffset>4849495</wp:posOffset>
            </wp:positionV>
            <wp:extent cx="152400" cy="218440"/>
            <wp:effectExtent l="0" t="0" r="0" b="10160"/>
            <wp:wrapNone/>
            <wp:docPr id="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pic:cNvPicPr>
                      <a:picLocks noChangeAspect="1"/>
                    </pic:cNvPicPr>
                  </pic:nvPicPr>
                  <pic:blipFill>
                    <a:blip r:embed="rId76"/>
                    <a:stretch>
                      <a:fillRect/>
                    </a:stretch>
                  </pic:blipFill>
                  <pic:spPr>
                    <a:xfrm>
                      <a:off x="0" y="0"/>
                      <a:ext cx="152400" cy="218440"/>
                    </a:xfrm>
                    <a:prstGeom prst="rect">
                      <a:avLst/>
                    </a:prstGeom>
                    <a:noFill/>
                    <a:ln>
                      <a:noFill/>
                    </a:ln>
                  </pic:spPr>
                </pic:pic>
              </a:graphicData>
            </a:graphic>
          </wp:anchor>
        </w:drawing>
      </w: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6174740</wp:posOffset>
                </wp:positionH>
                <wp:positionV relativeFrom="paragraph">
                  <wp:posOffset>4546600</wp:posOffset>
                </wp:positionV>
                <wp:extent cx="1333500" cy="583565"/>
                <wp:effectExtent l="5080" t="4445" r="13970" b="21590"/>
                <wp:wrapNone/>
                <wp:docPr id="98" name="文本框 14"/>
                <wp:cNvGraphicFramePr/>
                <a:graphic xmlns:a="http://schemas.openxmlformats.org/drawingml/2006/main">
                  <a:graphicData uri="http://schemas.microsoft.com/office/word/2010/wordprocessingShape">
                    <wps:wsp>
                      <wps:cNvSpPr txBox="1"/>
                      <wps:spPr>
                        <a:xfrm>
                          <a:off x="0" y="0"/>
                          <a:ext cx="1333500" cy="583565"/>
                        </a:xfrm>
                        <a:prstGeom prst="rect">
                          <a:avLst/>
                        </a:prstGeom>
                        <a:solidFill>
                          <a:sysClr val="window" lastClr="FFFFFF"/>
                        </a:solidFill>
                        <a:ln w="6350">
                          <a:solidFill>
                            <a:prstClr val="black"/>
                          </a:solidFill>
                        </a:ln>
                        <a:effectLst/>
                      </wps:spPr>
                      <wps:txbx>
                        <w:txbxContent>
                          <w:p w14:paraId="583EFBD6">
                            <w:pPr>
                              <w:jc w:val="center"/>
                              <w:rPr>
                                <w:b/>
                                <w:bCs/>
                                <w:sz w:val="21"/>
                                <w:szCs w:val="21"/>
                              </w:rPr>
                            </w:pPr>
                            <w:r>
                              <w:rPr>
                                <w:rFonts w:hint="eastAsia"/>
                                <w:b/>
                                <w:bCs/>
                                <w:sz w:val="21"/>
                                <w:szCs w:val="21"/>
                              </w:rPr>
                              <w:t>图  例</w:t>
                            </w:r>
                          </w:p>
                          <w:p w14:paraId="7128AB8A">
                            <w:pPr>
                              <w:pStyle w:val="13"/>
                              <w:widowControl w:val="0"/>
                              <w:wordWrap w:val="0"/>
                              <w:topLinePunct/>
                              <w:snapToGrid/>
                              <w:spacing w:line="240" w:lineRule="auto"/>
                              <w:textAlignment w:val="center"/>
                              <w:rPr>
                                <w:rFonts w:hint="eastAsia" w:eastAsia="宋体"/>
                                <w:sz w:val="21"/>
                                <w:szCs w:val="21"/>
                                <w:lang w:val="en-US" w:eastAsia="zh-CN"/>
                              </w:rPr>
                            </w:pPr>
                            <w:r>
                              <w:rPr>
                                <w:rFonts w:hint="eastAsia"/>
                                <w:sz w:val="21"/>
                                <w:szCs w:val="21"/>
                                <w:lang w:val="en-US"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486.2pt;margin-top:358pt;height:45.95pt;width:105pt;z-index:251669504;mso-width-relative:page;mso-height-relative:page;" fillcolor="#FFFFFF" filled="t" stroked="t" coordsize="21600,21600" o:gfxdata="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W+b+n9gAAAAMAQAADwAAAAAAAAABACAAAAAiAAAAZHJzL2Rvd25yZXYueG1s&#10;UEsBAhQAFAAAAAgAh07iQOccMH9qAgAA1wQAAA4AAAAAAAAAAQAgAAAAJwEAAGRycy9lMm9Eb2Mu&#10;eG1sUEsFBgAAAAAGAAYAWQEAAAMGAAAAAA==&#10;">
                <v:fill on="t" focussize="0,0"/>
                <v:stroke weight="0.5pt" color="#000000" joinstyle="round"/>
                <v:imagedata o:title=""/>
                <o:lock v:ext="edit" aspectratio="f"/>
                <v:textbox>
                  <w:txbxContent>
                    <w:p w14:paraId="583EFBD6">
                      <w:pPr>
                        <w:jc w:val="center"/>
                        <w:rPr>
                          <w:b/>
                          <w:bCs/>
                          <w:sz w:val="21"/>
                          <w:szCs w:val="21"/>
                        </w:rPr>
                      </w:pPr>
                      <w:r>
                        <w:rPr>
                          <w:rFonts w:hint="eastAsia"/>
                          <w:b/>
                          <w:bCs/>
                          <w:sz w:val="21"/>
                          <w:szCs w:val="21"/>
                        </w:rPr>
                        <w:t>图  例</w:t>
                      </w:r>
                    </w:p>
                    <w:p w14:paraId="7128AB8A">
                      <w:pPr>
                        <w:pStyle w:val="13"/>
                        <w:widowControl w:val="0"/>
                        <w:wordWrap w:val="0"/>
                        <w:topLinePunct/>
                        <w:snapToGrid/>
                        <w:spacing w:line="240" w:lineRule="auto"/>
                        <w:textAlignment w:val="center"/>
                        <w:rPr>
                          <w:rFonts w:hint="eastAsia" w:eastAsia="宋体"/>
                          <w:sz w:val="21"/>
                          <w:szCs w:val="21"/>
                          <w:lang w:val="en-US" w:eastAsia="zh-CN"/>
                        </w:rPr>
                      </w:pPr>
                      <w:r>
                        <w:rPr>
                          <w:rFonts w:hint="eastAsia"/>
                          <w:sz w:val="21"/>
                          <w:szCs w:val="21"/>
                          <w:lang w:val="en-US" w:eastAsia="zh-CN"/>
                        </w:rPr>
                        <w:t>本项目位置</w:t>
                      </w:r>
                    </w:p>
                  </w:txbxContent>
                </v:textbox>
              </v:shape>
            </w:pict>
          </mc:Fallback>
        </mc:AlternateContent>
      </w:r>
    </w:p>
    <w:p w14:paraId="7757E507">
      <w:pPr>
        <w:pStyle w:val="50"/>
        <w:bidi w:val="0"/>
        <w:rPr>
          <w:rFonts w:hint="default" w:ascii="Times New Roman" w:hAnsi="Times New Roman" w:cs="Times New Roman"/>
          <w:color w:val="auto"/>
          <w:highlight w:val="none"/>
        </w:rPr>
        <w:sectPr>
          <w:pgSz w:w="16838" w:h="11906" w:orient="landscape"/>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7432675</wp:posOffset>
                </wp:positionH>
                <wp:positionV relativeFrom="paragraph">
                  <wp:posOffset>5389880</wp:posOffset>
                </wp:positionV>
                <wp:extent cx="447675" cy="171450"/>
                <wp:effectExtent l="13970" t="13970" r="14605" b="24130"/>
                <wp:wrapNone/>
                <wp:docPr id="96" name="矩形 28"/>
                <wp:cNvGraphicFramePr/>
                <a:graphic xmlns:a="http://schemas.openxmlformats.org/drawingml/2006/main">
                  <a:graphicData uri="http://schemas.microsoft.com/office/word/2010/wordprocessingShape">
                    <wps:wsp>
                      <wps:cNvSpPr/>
                      <wps:spPr>
                        <a:xfrm>
                          <a:off x="0" y="0"/>
                          <a:ext cx="447675" cy="17145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8" o:spid="_x0000_s1026" o:spt="1" style="position:absolute;left:0pt;margin-left:585.25pt;margin-top:424.4pt;height:13.5pt;width:35.25pt;z-index:251668480;v-text-anchor:middle;mso-width-relative:page;mso-height-relative:page;" filled="f" stroked="t" coordsize="21600,21600" o:gfxdata="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u3AmG2gAAAA0BAAAPAAAAAAAAAAEAIAAAACIAAABkcnMv&#10;ZG93bnJldi54bWxQSwECFAAUAAAACACHTuJAFS5YW3MCAADaBAAADgAAAAAAAAABACAAAAApAQAA&#10;ZHJzL2Uyb0RvYy54bWxQSwUGAAAAAAYABgBZAQAADgYAAAAA&#10;">
                <v:fill on="f" focussize="0,0"/>
                <v:stroke weight="2.25pt" color="#FF0000" miterlimit="8"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6709410</wp:posOffset>
                </wp:positionH>
                <wp:positionV relativeFrom="paragraph">
                  <wp:posOffset>5060950</wp:posOffset>
                </wp:positionV>
                <wp:extent cx="1333500" cy="583565"/>
                <wp:effectExtent l="5080" t="4445" r="13970" b="21590"/>
                <wp:wrapNone/>
                <wp:docPr id="95" name="文本框 14"/>
                <wp:cNvGraphicFramePr/>
                <a:graphic xmlns:a="http://schemas.openxmlformats.org/drawingml/2006/main">
                  <a:graphicData uri="http://schemas.microsoft.com/office/word/2010/wordprocessingShape">
                    <wps:wsp>
                      <wps:cNvSpPr txBox="1"/>
                      <wps:spPr>
                        <a:xfrm>
                          <a:off x="0" y="0"/>
                          <a:ext cx="1333500" cy="583565"/>
                        </a:xfrm>
                        <a:prstGeom prst="rect">
                          <a:avLst/>
                        </a:prstGeom>
                        <a:solidFill>
                          <a:sysClr val="window" lastClr="FFFFFF"/>
                        </a:solidFill>
                        <a:ln w="6350">
                          <a:solidFill>
                            <a:prstClr val="black"/>
                          </a:solidFill>
                        </a:ln>
                        <a:effectLst/>
                      </wps:spPr>
                      <wps:txbx>
                        <w:txbxContent>
                          <w:p w14:paraId="6D2B6915">
                            <w:pPr>
                              <w:jc w:val="center"/>
                              <w:rPr>
                                <w:b/>
                                <w:bCs/>
                                <w:sz w:val="21"/>
                                <w:szCs w:val="21"/>
                              </w:rPr>
                            </w:pPr>
                            <w:r>
                              <w:rPr>
                                <w:rFonts w:hint="eastAsia"/>
                                <w:b/>
                                <w:bCs/>
                                <w:sz w:val="21"/>
                                <w:szCs w:val="21"/>
                              </w:rPr>
                              <w:t>图  例</w:t>
                            </w:r>
                          </w:p>
                          <w:p w14:paraId="7D0918B0">
                            <w:pPr>
                              <w:pStyle w:val="13"/>
                              <w:widowControl w:val="0"/>
                              <w:wordWrap w:val="0"/>
                              <w:topLinePunct/>
                              <w:snapToGrid/>
                              <w:spacing w:line="240" w:lineRule="auto"/>
                              <w:textAlignment w:val="center"/>
                              <w:rPr>
                                <w:rFonts w:hint="default"/>
                                <w:sz w:val="21"/>
                                <w:szCs w:val="21"/>
                                <w:lang w:val="en-US" w:eastAsia="zh-CN"/>
                              </w:rPr>
                            </w:pPr>
                            <w:r>
                              <w:rPr>
                                <w:rFonts w:hint="eastAsia"/>
                                <w:sz w:val="21"/>
                                <w:szCs w:val="21"/>
                              </w:rPr>
                              <w:t>厂界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528.3pt;margin-top:398.5pt;height:45.95pt;width:105pt;z-index:251667456;mso-width-relative:page;mso-height-relative:page;" fillcolor="#FFFFFF" filled="t" stroked="t" coordsize="21600,21600" o:gfxdata="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HjFj9gAAAANAQAADwAAAAAAAAABACAAAAAiAAAAZHJzL2Rvd25yZXYueG1s&#10;UEsBAhQAFAAAAAgAh07iQFRlvY1qAgAA1wQAAA4AAAAAAAAAAQAgAAAAJwEAAGRycy9lMm9Eb2Mu&#10;eG1sUEsFBgAAAAAGAAYAWQEAAAMGAAAAAA==&#10;">
                <v:fill on="t" focussize="0,0"/>
                <v:stroke weight="0.5pt" color="#000000" joinstyle="round"/>
                <v:imagedata o:title=""/>
                <o:lock v:ext="edit" aspectratio="f"/>
                <v:textbox>
                  <w:txbxContent>
                    <w:p w14:paraId="6D2B6915">
                      <w:pPr>
                        <w:jc w:val="center"/>
                        <w:rPr>
                          <w:b/>
                          <w:bCs/>
                          <w:sz w:val="21"/>
                          <w:szCs w:val="21"/>
                        </w:rPr>
                      </w:pPr>
                      <w:r>
                        <w:rPr>
                          <w:rFonts w:hint="eastAsia"/>
                          <w:b/>
                          <w:bCs/>
                          <w:sz w:val="21"/>
                          <w:szCs w:val="21"/>
                        </w:rPr>
                        <w:t>图  例</w:t>
                      </w:r>
                    </w:p>
                    <w:p w14:paraId="7D0918B0">
                      <w:pPr>
                        <w:pStyle w:val="13"/>
                        <w:widowControl w:val="0"/>
                        <w:wordWrap w:val="0"/>
                        <w:topLinePunct/>
                        <w:snapToGrid/>
                        <w:spacing w:line="240" w:lineRule="auto"/>
                        <w:textAlignment w:val="center"/>
                        <w:rPr>
                          <w:rFonts w:hint="default"/>
                          <w:sz w:val="21"/>
                          <w:szCs w:val="21"/>
                          <w:lang w:val="en-US" w:eastAsia="zh-CN"/>
                        </w:rPr>
                      </w:pPr>
                      <w:r>
                        <w:rPr>
                          <w:rFonts w:hint="eastAsia"/>
                          <w:sz w:val="21"/>
                          <w:szCs w:val="21"/>
                        </w:rPr>
                        <w:t>厂界</w:t>
                      </w:r>
                    </w:p>
                  </w:txbxContent>
                </v:textbox>
              </v:shape>
            </w:pict>
          </mc:Fallback>
        </mc:AlternateContent>
      </w:r>
      <w:r>
        <w:rPr>
          <w:rFonts w:hint="default" w:ascii="Times New Roman" w:hAnsi="Times New Roman" w:cs="Times New Roman"/>
          <w:b w:val="0"/>
          <w:bCs/>
          <w:color w:val="000000"/>
          <w:highlight w:val="none"/>
          <w:lang w:val="zh-CN"/>
        </w:rPr>
        <w:drawing>
          <wp:anchor distT="0" distB="0" distL="114300" distR="114300" simplePos="0" relativeHeight="251685888" behindDoc="0" locked="0" layoutInCell="1" allowOverlap="1">
            <wp:simplePos x="0" y="0"/>
            <wp:positionH relativeFrom="column">
              <wp:posOffset>7169150</wp:posOffset>
            </wp:positionH>
            <wp:positionV relativeFrom="paragraph">
              <wp:posOffset>10160</wp:posOffset>
            </wp:positionV>
            <wp:extent cx="855980" cy="840105"/>
            <wp:effectExtent l="0" t="0" r="1270" b="17145"/>
            <wp:wrapNone/>
            <wp:docPr id="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pic:cNvPicPr>
                      <a:picLocks noChangeAspect="1"/>
                    </pic:cNvPicPr>
                  </pic:nvPicPr>
                  <pic:blipFill>
                    <a:blip r:embed="rId30"/>
                    <a:stretch>
                      <a:fillRect/>
                    </a:stretch>
                  </pic:blipFill>
                  <pic:spPr>
                    <a:xfrm>
                      <a:off x="0" y="0"/>
                      <a:ext cx="855980" cy="840105"/>
                    </a:xfrm>
                    <a:prstGeom prst="rect">
                      <a:avLst/>
                    </a:prstGeom>
                    <a:noFill/>
                    <a:ln>
                      <a:noFill/>
                    </a:ln>
                  </pic:spPr>
                </pic:pic>
              </a:graphicData>
            </a:graphic>
          </wp:anchor>
        </w:drawing>
      </w:r>
      <w:r>
        <w:drawing>
          <wp:inline distT="0" distB="0" distL="114300" distR="114300">
            <wp:extent cx="7722870" cy="5671185"/>
            <wp:effectExtent l="0" t="0" r="11430" b="5715"/>
            <wp:docPr id="3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9"/>
                    <pic:cNvPicPr>
                      <a:picLocks noChangeAspect="1"/>
                    </pic:cNvPicPr>
                  </pic:nvPicPr>
                  <pic:blipFill>
                    <a:blip r:embed="rId77"/>
                    <a:stretch>
                      <a:fillRect/>
                    </a:stretch>
                  </pic:blipFill>
                  <pic:spPr>
                    <a:xfrm>
                      <a:off x="0" y="0"/>
                      <a:ext cx="7722870" cy="5671185"/>
                    </a:xfrm>
                    <a:prstGeom prst="rect">
                      <a:avLst/>
                    </a:prstGeom>
                    <a:noFill/>
                    <a:ln>
                      <a:noFill/>
                    </a:ln>
                  </pic:spPr>
                </pic:pic>
              </a:graphicData>
            </a:graphic>
          </wp:inline>
        </w:drawing>
      </w:r>
    </w:p>
    <w:p w14:paraId="70D8C6E6">
      <w:pPr>
        <w:rPr>
          <w:rStyle w:val="90"/>
          <w:rFonts w:hint="default" w:ascii="Times New Roman" w:hAnsi="Times New Roman" w:cs="Times New Roman"/>
          <w:color w:val="auto"/>
          <w:highlight w:val="none"/>
        </w:rPr>
      </w:pPr>
      <w:bookmarkStart w:id="25" w:name="_Toc19830"/>
      <w:r>
        <w:drawing>
          <wp:anchor distT="0" distB="0" distL="114300" distR="114300" simplePos="0" relativeHeight="251686912" behindDoc="1" locked="0" layoutInCell="1" allowOverlap="1">
            <wp:simplePos x="0" y="0"/>
            <wp:positionH relativeFrom="column">
              <wp:posOffset>1426210</wp:posOffset>
            </wp:positionH>
            <wp:positionV relativeFrom="paragraph">
              <wp:posOffset>292735</wp:posOffset>
            </wp:positionV>
            <wp:extent cx="5553710" cy="5668645"/>
            <wp:effectExtent l="0" t="0" r="8890" b="8255"/>
            <wp:wrapNone/>
            <wp:docPr id="4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0"/>
                    <pic:cNvPicPr>
                      <a:picLocks noChangeAspect="1"/>
                    </pic:cNvPicPr>
                  </pic:nvPicPr>
                  <pic:blipFill>
                    <a:blip r:embed="rId78"/>
                    <a:stretch>
                      <a:fillRect/>
                    </a:stretch>
                  </pic:blipFill>
                  <pic:spPr>
                    <a:xfrm>
                      <a:off x="0" y="0"/>
                      <a:ext cx="5553710" cy="5668645"/>
                    </a:xfrm>
                    <a:prstGeom prst="rect">
                      <a:avLst/>
                    </a:prstGeom>
                    <a:noFill/>
                    <a:ln>
                      <a:noFill/>
                    </a:ln>
                  </pic:spPr>
                </pic:pic>
              </a:graphicData>
            </a:graphic>
          </wp:anchor>
        </w:drawing>
      </w:r>
      <w:bookmarkStart w:id="26" w:name="_Toc28784"/>
      <w:r>
        <w:rPr>
          <w:rStyle w:val="90"/>
          <w:rFonts w:hint="default" w:ascii="Times New Roman" w:hAnsi="Times New Roman" w:cs="Times New Roman"/>
          <w:color w:val="auto"/>
          <w:highlight w:val="none"/>
        </w:rPr>
        <w:t>附图</w:t>
      </w:r>
      <w:r>
        <w:rPr>
          <w:rStyle w:val="90"/>
          <w:rFonts w:hint="default" w:ascii="Times New Roman" w:hAnsi="Times New Roman" w:cs="Times New Roman"/>
          <w:color w:val="auto"/>
          <w:highlight w:val="none"/>
          <w:lang w:val="en-US" w:eastAsia="zh-CN"/>
        </w:rPr>
        <w:t>2</w:t>
      </w:r>
      <w:r>
        <w:rPr>
          <w:rStyle w:val="90"/>
          <w:rFonts w:hint="default" w:ascii="Times New Roman" w:hAnsi="Times New Roman" w:cs="Times New Roman"/>
          <w:color w:val="auto"/>
          <w:highlight w:val="none"/>
        </w:rPr>
        <w:t xml:space="preserve"> 环境保护目标关系图</w:t>
      </w:r>
      <w:bookmarkEnd w:id="25"/>
    </w:p>
    <w:bookmarkEnd w:id="26"/>
    <w:p w14:paraId="13E8B0CC">
      <w:pPr>
        <w:rPr>
          <w:rStyle w:val="90"/>
          <w:rFonts w:hint="default" w:ascii="Times New Roman" w:hAnsi="Times New Roman" w:cs="Times New Roman"/>
          <w:color w:val="auto"/>
          <w:highlight w:val="none"/>
        </w:rPr>
        <w:sectPr>
          <w:pgSz w:w="16838" w:h="11906" w:orient="landscape"/>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r>
        <w:rPr>
          <w:sz w:val="24"/>
        </w:rPr>
        <mc:AlternateContent>
          <mc:Choice Requires="wps">
            <w:drawing>
              <wp:anchor distT="0" distB="0" distL="114300" distR="114300" simplePos="0" relativeHeight="251680768" behindDoc="0" locked="0" layoutInCell="1" allowOverlap="1">
                <wp:simplePos x="0" y="0"/>
                <wp:positionH relativeFrom="column">
                  <wp:posOffset>7651115</wp:posOffset>
                </wp:positionH>
                <wp:positionV relativeFrom="paragraph">
                  <wp:posOffset>4919345</wp:posOffset>
                </wp:positionV>
                <wp:extent cx="360045" cy="171450"/>
                <wp:effectExtent l="13970" t="13970" r="26035" b="24130"/>
                <wp:wrapNone/>
                <wp:docPr id="5" name="矩形 32"/>
                <wp:cNvGraphicFramePr/>
                <a:graphic xmlns:a="http://schemas.openxmlformats.org/drawingml/2006/main">
                  <a:graphicData uri="http://schemas.microsoft.com/office/word/2010/wordprocessingShape">
                    <wps:wsp>
                      <wps:cNvSpPr/>
                      <wps:spPr>
                        <a:xfrm>
                          <a:off x="8793480" y="6207760"/>
                          <a:ext cx="360045" cy="171450"/>
                        </a:xfrm>
                        <a:prstGeom prst="rect">
                          <a:avLst/>
                        </a:prstGeom>
                        <a:noFill/>
                        <a:ln w="28575" cap="flat" cmpd="sng" algn="ctr">
                          <a:solidFill>
                            <a:srgbClr val="0000F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2" o:spid="_x0000_s1026" o:spt="1" style="position:absolute;left:0pt;margin-left:602.45pt;margin-top:387.35pt;height:13.5pt;width:28.35pt;z-index:251680768;v-text-anchor:middle;mso-width-relative:page;mso-height-relative:page;" filled="f" stroked="t" coordsize="21600,21600" o:gfxdata="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Gbp2dfdAAAADQEAAA8AAAAAAAAA&#10;AQAgAAAAIgAAAGRycy9kb3ducmV2LnhtbFBLAQIUABQAAAAIAIdO4kBZRE3SfgIAAOUEAAAOAAAA&#10;AAAAAAEAIAAAACwBAABkcnMvZTJvRG9jLnhtbFBLBQYAAAAABgAGAFkBAAAcBgAAAAA=&#10;">
                <v:fill on="f" focussize="0,0"/>
                <v:stroke weight="2.25pt" color="#0000FE" miterlimit="8" joinstyle="miter"/>
                <v:imagedata o:title=""/>
                <o:lock v:ext="edit" aspectratio="f"/>
              </v:rect>
            </w:pict>
          </mc:Fallback>
        </mc:AlternateContent>
      </w:r>
      <w:r>
        <w:rPr>
          <w:sz w:val="24"/>
        </w:rPr>
        <mc:AlternateContent>
          <mc:Choice Requires="wps">
            <w:drawing>
              <wp:anchor distT="0" distB="0" distL="114300" distR="114300" simplePos="0" relativeHeight="251678720" behindDoc="0" locked="0" layoutInCell="1" allowOverlap="1">
                <wp:simplePos x="0" y="0"/>
                <wp:positionH relativeFrom="column">
                  <wp:posOffset>7651115</wp:posOffset>
                </wp:positionH>
                <wp:positionV relativeFrom="paragraph">
                  <wp:posOffset>4641215</wp:posOffset>
                </wp:positionV>
                <wp:extent cx="360045" cy="171450"/>
                <wp:effectExtent l="13970" t="13970" r="26035" b="24130"/>
                <wp:wrapNone/>
                <wp:docPr id="4" name="矩形 30"/>
                <wp:cNvGraphicFramePr/>
                <a:graphic xmlns:a="http://schemas.openxmlformats.org/drawingml/2006/main">
                  <a:graphicData uri="http://schemas.microsoft.com/office/word/2010/wordprocessingShape">
                    <wps:wsp>
                      <wps:cNvSpPr/>
                      <wps:spPr>
                        <a:xfrm>
                          <a:off x="8802370" y="5927725"/>
                          <a:ext cx="360045" cy="171450"/>
                        </a:xfrm>
                        <a:prstGeom prst="rect">
                          <a:avLst/>
                        </a:prstGeom>
                        <a:noFill/>
                        <a:ln w="28575"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0" o:spid="_x0000_s1026" o:spt="1" style="position:absolute;left:0pt;margin-left:602.45pt;margin-top:365.45pt;height:13.5pt;width:28.35pt;z-index:251678720;v-text-anchor:middle;mso-width-relative:page;mso-height-relative:page;" filled="f" stroked="t" coordsize="21600,21600" o:gfxdata="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LgRMqDYAAAADQEAAA8AAAAAAAAAAQAgAAAA&#10;IgAAAGRycy9kb3ducmV2LnhtbFBLAQIUABQAAAAIAIdO4kDEeersfQIAAOUEAAAOAAAAAAAAAAEA&#10;IAAAACcBAABkcnMvZTJvRG9jLnhtbFBLBQYAAAAABgAGAFkBAAAWBgAAAAA=&#10;">
                <v:fill on="f" focussize="0,0"/>
                <v:stroke weight="2.25pt" color="#FFFF00" miterlimit="8" joinstyle="miter"/>
                <v:imagedata o:title=""/>
                <o:lock v:ext="edit" aspectratio="f"/>
              </v:rect>
            </w:pict>
          </mc:Fallback>
        </mc:AlternateContent>
      </w:r>
      <w:r>
        <w:rPr>
          <w:sz w:val="24"/>
        </w:rPr>
        <mc:AlternateContent>
          <mc:Choice Requires="wps">
            <w:drawing>
              <wp:anchor distT="0" distB="0" distL="114300" distR="114300" simplePos="0" relativeHeight="251677696" behindDoc="0" locked="0" layoutInCell="1" allowOverlap="1">
                <wp:simplePos x="0" y="0"/>
                <wp:positionH relativeFrom="column">
                  <wp:posOffset>7651115</wp:posOffset>
                </wp:positionH>
                <wp:positionV relativeFrom="paragraph">
                  <wp:posOffset>4363085</wp:posOffset>
                </wp:positionV>
                <wp:extent cx="360045" cy="171450"/>
                <wp:effectExtent l="13970" t="13970" r="26035" b="24130"/>
                <wp:wrapNone/>
                <wp:docPr id="3" name="矩形 28"/>
                <wp:cNvGraphicFramePr/>
                <a:graphic xmlns:a="http://schemas.openxmlformats.org/drawingml/2006/main">
                  <a:graphicData uri="http://schemas.microsoft.com/office/word/2010/wordprocessingShape">
                    <wps:wsp>
                      <wps:cNvSpPr/>
                      <wps:spPr>
                        <a:xfrm>
                          <a:off x="8811260" y="5647690"/>
                          <a:ext cx="360045" cy="17145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8" o:spid="_x0000_s1026" o:spt="1" style="position:absolute;left:0pt;margin-left:602.45pt;margin-top:343.55pt;height:13.5pt;width:28.35pt;z-index:251677696;v-text-anchor:middle;mso-width-relative:page;mso-height-relative:page;" filled="f" stroked="t" coordsize="21600,21600" o:gfxdata="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EPeU9naAAAADQEAAA8AAAAAAAAAAQAg&#10;AAAAIgAAAGRycy9kb3ducmV2LnhtbFBLAQIUABQAAAAIAIdO4kBUknjhfgIAAOUEAAAOAAAAAAAA&#10;AAEAIAAAACkBAABkcnMvZTJvRG9jLnhtbFBLBQYAAAAABgAGAFkBAAAZBgAAAAA=&#10;">
                <v:fill on="f" focussize="0,0"/>
                <v:stroke weight="2.25pt" color="#FF0000" miterlimit="8" joinstyle="miter"/>
                <v:imagedata o:title=""/>
                <o:lock v:ext="edit" aspectratio="f"/>
              </v:rect>
            </w:pict>
          </mc:Fallback>
        </mc:AlternateContent>
      </w:r>
      <w:r>
        <w:rPr>
          <w:sz w:val="24"/>
        </w:rPr>
        <mc:AlternateContent>
          <mc:Choice Requires="wps">
            <w:drawing>
              <wp:anchor distT="0" distB="0" distL="114300" distR="114300" simplePos="0" relativeHeight="251676672" behindDoc="0" locked="0" layoutInCell="1" allowOverlap="1">
                <wp:simplePos x="0" y="0"/>
                <wp:positionH relativeFrom="column">
                  <wp:posOffset>6259830</wp:posOffset>
                </wp:positionH>
                <wp:positionV relativeFrom="paragraph">
                  <wp:posOffset>4024630</wp:posOffset>
                </wp:positionV>
                <wp:extent cx="1916430" cy="1495425"/>
                <wp:effectExtent l="4445" t="4445" r="22225" b="5080"/>
                <wp:wrapNone/>
                <wp:docPr id="2" name="文本框 14"/>
                <wp:cNvGraphicFramePr/>
                <a:graphic xmlns:a="http://schemas.openxmlformats.org/drawingml/2006/main">
                  <a:graphicData uri="http://schemas.microsoft.com/office/word/2010/wordprocessingShape">
                    <wps:wsp>
                      <wps:cNvSpPr txBox="1"/>
                      <wps:spPr>
                        <a:xfrm>
                          <a:off x="7402830" y="5309235"/>
                          <a:ext cx="1916430" cy="1495425"/>
                        </a:xfrm>
                        <a:prstGeom prst="rect">
                          <a:avLst/>
                        </a:prstGeom>
                        <a:solidFill>
                          <a:schemeClr val="bg1">
                            <a:lumMod val="85000"/>
                          </a:schemeClr>
                        </a:solidFill>
                        <a:ln w="6350">
                          <a:solidFill>
                            <a:prstClr val="black"/>
                          </a:solidFill>
                        </a:ln>
                        <a:effectLst/>
                      </wps:spPr>
                      <wps:txbx>
                        <w:txbxContent>
                          <w:p w14:paraId="38504E19">
                            <w:pPr>
                              <w:jc w:val="center"/>
                              <w:rPr>
                                <w:b/>
                                <w:bCs/>
                                <w:sz w:val="21"/>
                                <w:szCs w:val="21"/>
                              </w:rPr>
                            </w:pPr>
                            <w:r>
                              <w:rPr>
                                <w:rFonts w:hint="eastAsia"/>
                                <w:b/>
                                <w:bCs/>
                                <w:sz w:val="21"/>
                                <w:szCs w:val="21"/>
                              </w:rPr>
                              <w:t>图  例</w:t>
                            </w:r>
                          </w:p>
                          <w:p w14:paraId="629F24F5">
                            <w:pPr>
                              <w:pStyle w:val="13"/>
                              <w:widowControl w:val="0"/>
                              <w:wordWrap w:val="0"/>
                              <w:topLinePunct/>
                              <w:snapToGrid/>
                              <w:spacing w:line="240" w:lineRule="auto"/>
                              <w:textAlignment w:val="center"/>
                              <w:rPr>
                                <w:sz w:val="21"/>
                                <w:szCs w:val="21"/>
                              </w:rPr>
                            </w:pPr>
                            <w:r>
                              <w:rPr>
                                <w:rFonts w:hint="eastAsia"/>
                                <w:sz w:val="21"/>
                                <w:szCs w:val="21"/>
                              </w:rPr>
                              <w:t>厂界</w:t>
                            </w:r>
                          </w:p>
                          <w:p w14:paraId="2B4B4437">
                            <w:pPr>
                              <w:pStyle w:val="13"/>
                              <w:widowControl w:val="0"/>
                              <w:wordWrap w:val="0"/>
                              <w:topLinePunct/>
                              <w:snapToGrid/>
                              <w:spacing w:line="240" w:lineRule="auto"/>
                              <w:textAlignment w:val="center"/>
                              <w:rPr>
                                <w:rFonts w:hint="eastAsia"/>
                                <w:sz w:val="21"/>
                                <w:szCs w:val="21"/>
                              </w:rPr>
                            </w:pPr>
                            <w:r>
                              <w:rPr>
                                <w:rFonts w:hint="eastAsia"/>
                                <w:sz w:val="21"/>
                                <w:szCs w:val="21"/>
                              </w:rPr>
                              <w:t>噪声</w:t>
                            </w:r>
                            <w:r>
                              <w:rPr>
                                <w:rFonts w:hint="eastAsia"/>
                                <w:sz w:val="21"/>
                                <w:szCs w:val="21"/>
                                <w:lang w:val="en-US" w:eastAsia="zh-CN"/>
                              </w:rPr>
                              <w:t>调查</w:t>
                            </w:r>
                            <w:r>
                              <w:rPr>
                                <w:rFonts w:hint="eastAsia"/>
                                <w:sz w:val="21"/>
                                <w:szCs w:val="21"/>
                              </w:rPr>
                              <w:t>范围</w:t>
                            </w:r>
                          </w:p>
                          <w:p w14:paraId="2EF7C2DE">
                            <w:pPr>
                              <w:pStyle w:val="13"/>
                              <w:widowControl w:val="0"/>
                              <w:wordWrap w:val="0"/>
                              <w:topLinePunct/>
                              <w:snapToGrid/>
                              <w:spacing w:line="240" w:lineRule="auto"/>
                              <w:textAlignment w:val="center"/>
                              <w:rPr>
                                <w:rFonts w:hint="eastAsia"/>
                                <w:sz w:val="21"/>
                                <w:szCs w:val="21"/>
                              </w:rPr>
                            </w:pPr>
                            <w:r>
                              <w:rPr>
                                <w:rFonts w:hint="eastAsia"/>
                                <w:sz w:val="21"/>
                                <w:szCs w:val="21"/>
                              </w:rPr>
                              <w:t>大气</w:t>
                            </w:r>
                            <w:r>
                              <w:rPr>
                                <w:rFonts w:hint="eastAsia"/>
                                <w:sz w:val="21"/>
                                <w:szCs w:val="21"/>
                                <w:lang w:val="en-US" w:eastAsia="zh-CN"/>
                              </w:rPr>
                              <w:t>调查</w:t>
                            </w:r>
                            <w:r>
                              <w:rPr>
                                <w:rFonts w:hint="eastAsia"/>
                                <w:sz w:val="21"/>
                                <w:szCs w:val="21"/>
                              </w:rPr>
                              <w:t>范围</w:t>
                            </w:r>
                          </w:p>
                          <w:p w14:paraId="2A687289">
                            <w:pPr>
                              <w:rPr>
                                <w:rFonts w:hint="default" w:eastAsia="宋体"/>
                                <w:lang w:val="en-US" w:eastAsia="zh-CN"/>
                              </w:rPr>
                            </w:pPr>
                            <w:r>
                              <w:rPr>
                                <w:rFonts w:hint="eastAsia"/>
                                <w:sz w:val="21"/>
                                <w:szCs w:val="21"/>
                                <w:lang w:val="en-US" w:eastAsia="zh-CN"/>
                              </w:rPr>
                              <w:t>大气环境保护目标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6" o:spt="202" type="#_x0000_t202" style="position:absolute;left:0pt;margin-left:492.9pt;margin-top:316.9pt;height:117.75pt;width:150.9pt;z-index:251676672;mso-width-relative:page;mso-height-relative:page;" fillcolor="#D9D9D9 [2732]" filled="t" stroked="t" coordsize="21600,21600" o:gfxdata="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cRcwI9oAAAAMAQAADwAAAAAA&#10;AAABACAAAAAiAAAAZHJzL2Rvd25yZXYueG1sUEsBAhQAFAAAAAgAh07iQHSQv1WDAgAA9QQAAA4A&#10;AAAAAAAAAQAgAAAAKQEAAGRycy9lMm9Eb2MueG1sUEsFBgAAAAAGAAYAWQEAAB4GAAAAAA==&#10;">
                <v:fill on="t" focussize="0,0"/>
                <v:stroke weight="0.5pt" color="#000000" joinstyle="round"/>
                <v:imagedata o:title=""/>
                <o:lock v:ext="edit" aspectratio="f"/>
                <v:textbox>
                  <w:txbxContent>
                    <w:p w14:paraId="38504E19">
                      <w:pPr>
                        <w:jc w:val="center"/>
                        <w:rPr>
                          <w:b/>
                          <w:bCs/>
                          <w:sz w:val="21"/>
                          <w:szCs w:val="21"/>
                        </w:rPr>
                      </w:pPr>
                      <w:r>
                        <w:rPr>
                          <w:rFonts w:hint="eastAsia"/>
                          <w:b/>
                          <w:bCs/>
                          <w:sz w:val="21"/>
                          <w:szCs w:val="21"/>
                        </w:rPr>
                        <w:t>图  例</w:t>
                      </w:r>
                    </w:p>
                    <w:p w14:paraId="629F24F5">
                      <w:pPr>
                        <w:pStyle w:val="13"/>
                        <w:widowControl w:val="0"/>
                        <w:wordWrap w:val="0"/>
                        <w:topLinePunct/>
                        <w:snapToGrid/>
                        <w:spacing w:line="240" w:lineRule="auto"/>
                        <w:textAlignment w:val="center"/>
                        <w:rPr>
                          <w:sz w:val="21"/>
                          <w:szCs w:val="21"/>
                        </w:rPr>
                      </w:pPr>
                      <w:r>
                        <w:rPr>
                          <w:rFonts w:hint="eastAsia"/>
                          <w:sz w:val="21"/>
                          <w:szCs w:val="21"/>
                        </w:rPr>
                        <w:t>厂界</w:t>
                      </w:r>
                    </w:p>
                    <w:p w14:paraId="2B4B4437">
                      <w:pPr>
                        <w:pStyle w:val="13"/>
                        <w:widowControl w:val="0"/>
                        <w:wordWrap w:val="0"/>
                        <w:topLinePunct/>
                        <w:snapToGrid/>
                        <w:spacing w:line="240" w:lineRule="auto"/>
                        <w:textAlignment w:val="center"/>
                        <w:rPr>
                          <w:rFonts w:hint="eastAsia"/>
                          <w:sz w:val="21"/>
                          <w:szCs w:val="21"/>
                        </w:rPr>
                      </w:pPr>
                      <w:r>
                        <w:rPr>
                          <w:rFonts w:hint="eastAsia"/>
                          <w:sz w:val="21"/>
                          <w:szCs w:val="21"/>
                        </w:rPr>
                        <w:t>噪声</w:t>
                      </w:r>
                      <w:r>
                        <w:rPr>
                          <w:rFonts w:hint="eastAsia"/>
                          <w:sz w:val="21"/>
                          <w:szCs w:val="21"/>
                          <w:lang w:val="en-US" w:eastAsia="zh-CN"/>
                        </w:rPr>
                        <w:t>调查</w:t>
                      </w:r>
                      <w:r>
                        <w:rPr>
                          <w:rFonts w:hint="eastAsia"/>
                          <w:sz w:val="21"/>
                          <w:szCs w:val="21"/>
                        </w:rPr>
                        <w:t>范围</w:t>
                      </w:r>
                    </w:p>
                    <w:p w14:paraId="2EF7C2DE">
                      <w:pPr>
                        <w:pStyle w:val="13"/>
                        <w:widowControl w:val="0"/>
                        <w:wordWrap w:val="0"/>
                        <w:topLinePunct/>
                        <w:snapToGrid/>
                        <w:spacing w:line="240" w:lineRule="auto"/>
                        <w:textAlignment w:val="center"/>
                        <w:rPr>
                          <w:rFonts w:hint="eastAsia"/>
                          <w:sz w:val="21"/>
                          <w:szCs w:val="21"/>
                        </w:rPr>
                      </w:pPr>
                      <w:r>
                        <w:rPr>
                          <w:rFonts w:hint="eastAsia"/>
                          <w:sz w:val="21"/>
                          <w:szCs w:val="21"/>
                        </w:rPr>
                        <w:t>大气</w:t>
                      </w:r>
                      <w:r>
                        <w:rPr>
                          <w:rFonts w:hint="eastAsia"/>
                          <w:sz w:val="21"/>
                          <w:szCs w:val="21"/>
                          <w:lang w:val="en-US" w:eastAsia="zh-CN"/>
                        </w:rPr>
                        <w:t>调查</w:t>
                      </w:r>
                      <w:r>
                        <w:rPr>
                          <w:rFonts w:hint="eastAsia"/>
                          <w:sz w:val="21"/>
                          <w:szCs w:val="21"/>
                        </w:rPr>
                        <w:t>范围</w:t>
                      </w:r>
                    </w:p>
                    <w:p w14:paraId="2A687289">
                      <w:pPr>
                        <w:rPr>
                          <w:rFonts w:hint="default" w:eastAsia="宋体"/>
                          <w:lang w:val="en-US" w:eastAsia="zh-CN"/>
                        </w:rPr>
                      </w:pPr>
                      <w:r>
                        <w:rPr>
                          <w:rFonts w:hint="eastAsia"/>
                          <w:sz w:val="21"/>
                          <w:szCs w:val="21"/>
                          <w:lang w:val="en-US" w:eastAsia="zh-CN"/>
                        </w:rPr>
                        <w:t>大气环境保护目标</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7651115</wp:posOffset>
                </wp:positionH>
                <wp:positionV relativeFrom="paragraph">
                  <wp:posOffset>5197475</wp:posOffset>
                </wp:positionV>
                <wp:extent cx="360045" cy="171450"/>
                <wp:effectExtent l="13970" t="13970" r="26035" b="24130"/>
                <wp:wrapNone/>
                <wp:docPr id="46" name="矩形 32"/>
                <wp:cNvGraphicFramePr/>
                <a:graphic xmlns:a="http://schemas.openxmlformats.org/drawingml/2006/main">
                  <a:graphicData uri="http://schemas.microsoft.com/office/word/2010/wordprocessingShape">
                    <wps:wsp>
                      <wps:cNvSpPr/>
                      <wps:spPr>
                        <a:xfrm>
                          <a:off x="0" y="0"/>
                          <a:ext cx="360045" cy="171450"/>
                        </a:xfrm>
                        <a:prstGeom prst="rect">
                          <a:avLst/>
                        </a:prstGeom>
                        <a:solidFill>
                          <a:srgbClr val="1D269F"/>
                        </a:solidFill>
                        <a:ln w="28575" cap="flat" cmpd="sng" algn="ctr">
                          <a:solidFill>
                            <a:srgbClr val="1E26A0"/>
                          </a:solidFill>
                          <a:prstDash val="solid"/>
                          <a:miter lim="800000"/>
                        </a:ln>
                        <a:effectLst/>
                      </wps:spPr>
                      <wps:txbx>
                        <w:txbxContent>
                          <w:p w14:paraId="0B92B46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2" o:spid="_x0000_s1026" o:spt="1" style="position:absolute;left:0pt;margin-left:602.45pt;margin-top:409.25pt;height:13.5pt;width:28.35pt;z-index:251688960;v-text-anchor:middle;mso-width-relative:page;mso-height-relative:page;" fillcolor="#1D269F" filled="t" stroked="t" coordsize="21600,21600" o:gfxdata="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PAFAynbAAAADQEAAA8A&#10;AAAAAAAAAQAgAAAAIgAAAGRycy9kb3ducmV2LnhtbFBLAQIUABQAAAAIAIdO4kB6RbNchgIAAA4F&#10;AAAOAAAAAAAAAAEAIAAAACoBAABkcnMvZTJvRG9jLnhtbFBLBQYAAAAABgAGAFkBAAAiBgAAAAA=&#10;">
                <v:fill on="t" focussize="0,0"/>
                <v:stroke weight="2.25pt" color="#1E26A0" miterlimit="8" joinstyle="miter"/>
                <v:imagedata o:title=""/>
                <o:lock v:ext="edit" aspectratio="f"/>
                <v:textbox>
                  <w:txbxContent>
                    <w:p w14:paraId="0B92B469">
                      <w:pPr>
                        <w:jc w:val="center"/>
                      </w:pPr>
                    </w:p>
                  </w:txbxContent>
                </v:textbox>
              </v:rect>
            </w:pict>
          </mc:Fallback>
        </mc:AlternateContent>
      </w:r>
      <w:r>
        <w:rPr>
          <w:rFonts w:hint="default" w:ascii="Times New Roman" w:hAnsi="Times New Roman" w:cs="Times New Roman"/>
          <w:b w:val="0"/>
          <w:bCs/>
          <w:color w:val="000000"/>
          <w:highlight w:val="none"/>
          <w:lang w:val="zh-CN"/>
        </w:rPr>
        <w:drawing>
          <wp:anchor distT="0" distB="0" distL="114300" distR="114300" simplePos="0" relativeHeight="251687936" behindDoc="0" locked="0" layoutInCell="1" allowOverlap="1">
            <wp:simplePos x="0" y="0"/>
            <wp:positionH relativeFrom="column">
              <wp:posOffset>6103620</wp:posOffset>
            </wp:positionH>
            <wp:positionV relativeFrom="paragraph">
              <wp:posOffset>-67945</wp:posOffset>
            </wp:positionV>
            <wp:extent cx="855980" cy="840105"/>
            <wp:effectExtent l="0" t="0" r="1270" b="17145"/>
            <wp:wrapNone/>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30"/>
                    <a:stretch>
                      <a:fillRect/>
                    </a:stretch>
                  </pic:blipFill>
                  <pic:spPr>
                    <a:xfrm>
                      <a:off x="0" y="0"/>
                      <a:ext cx="855980" cy="840105"/>
                    </a:xfrm>
                    <a:prstGeom prst="rect">
                      <a:avLst/>
                    </a:prstGeom>
                    <a:noFill/>
                    <a:ln>
                      <a:noFill/>
                    </a:ln>
                  </pic:spPr>
                </pic:pic>
              </a:graphicData>
            </a:graphic>
          </wp:anchor>
        </w:drawing>
      </w:r>
      <w:bookmarkStart w:id="27" w:name="_Toc26677"/>
    </w:p>
    <w:bookmarkEnd w:id="27"/>
    <w:p w14:paraId="01187A88">
      <w:pPr>
        <w:pStyle w:val="64"/>
        <w:jc w:val="left"/>
        <w:rPr>
          <w:rFonts w:hint="default" w:ascii="Times New Roman" w:hAnsi="Times New Roman" w:cs="Times New Roman"/>
          <w:color w:val="auto"/>
          <w:highlight w:val="none"/>
        </w:rPr>
      </w:pPr>
      <w:bookmarkStart w:id="28" w:name="_Toc16812"/>
      <w:bookmarkStart w:id="29" w:name="_Toc20965"/>
      <w:r>
        <w:rPr>
          <w:rFonts w:hint="default" w:ascii="Times New Roman" w:hAnsi="Times New Roman" w:cs="Times New Roman"/>
          <w:b w:val="0"/>
          <w:bCs/>
          <w:color w:val="000000"/>
          <w:highlight w:val="none"/>
          <w:lang w:val="zh-CN"/>
        </w:rPr>
        <w:drawing>
          <wp:anchor distT="0" distB="0" distL="114300" distR="114300" simplePos="0" relativeHeight="251691008" behindDoc="0" locked="0" layoutInCell="1" allowOverlap="1">
            <wp:simplePos x="0" y="0"/>
            <wp:positionH relativeFrom="column">
              <wp:posOffset>4785995</wp:posOffset>
            </wp:positionH>
            <wp:positionV relativeFrom="paragraph">
              <wp:posOffset>26670</wp:posOffset>
            </wp:positionV>
            <wp:extent cx="855980" cy="840105"/>
            <wp:effectExtent l="0" t="0" r="1270" b="17145"/>
            <wp:wrapNone/>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30"/>
                    <a:stretch>
                      <a:fillRect/>
                    </a:stretch>
                  </pic:blipFill>
                  <pic:spPr>
                    <a:xfrm>
                      <a:off x="0" y="0"/>
                      <a:ext cx="855980" cy="840105"/>
                    </a:xfrm>
                    <a:prstGeom prst="rect">
                      <a:avLst/>
                    </a:prstGeom>
                    <a:noFill/>
                    <a:ln>
                      <a:noFill/>
                    </a:ln>
                  </pic:spPr>
                </pic:pic>
              </a:graphicData>
            </a:graphic>
          </wp:anchor>
        </w:drawing>
      </w:r>
      <w:r>
        <w:drawing>
          <wp:anchor distT="0" distB="0" distL="114300" distR="114300" simplePos="0" relativeHeight="251689984" behindDoc="1" locked="0" layoutInCell="1" allowOverlap="1">
            <wp:simplePos x="0" y="0"/>
            <wp:positionH relativeFrom="column">
              <wp:posOffset>64770</wp:posOffset>
            </wp:positionH>
            <wp:positionV relativeFrom="paragraph">
              <wp:posOffset>192405</wp:posOffset>
            </wp:positionV>
            <wp:extent cx="5601970" cy="8021320"/>
            <wp:effectExtent l="0" t="0" r="17780" b="17780"/>
            <wp:wrapNone/>
            <wp:docPr id="4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1"/>
                    <pic:cNvPicPr>
                      <a:picLocks noChangeAspect="1"/>
                    </pic:cNvPicPr>
                  </pic:nvPicPr>
                  <pic:blipFill>
                    <a:blip r:embed="rId79"/>
                    <a:srcRect l="3085" t="1596"/>
                    <a:stretch>
                      <a:fillRect/>
                    </a:stretch>
                  </pic:blipFill>
                  <pic:spPr>
                    <a:xfrm>
                      <a:off x="0" y="0"/>
                      <a:ext cx="5601970" cy="8021320"/>
                    </a:xfrm>
                    <a:prstGeom prst="rect">
                      <a:avLst/>
                    </a:prstGeom>
                    <a:noFill/>
                    <a:ln>
                      <a:noFill/>
                    </a:ln>
                  </pic:spPr>
                </pic:pic>
              </a:graphicData>
            </a:graphic>
          </wp:anchor>
        </w:drawing>
      </w:r>
      <w:r>
        <w:rPr>
          <w:rFonts w:hint="default" w:ascii="Times New Roman" w:hAnsi="Times New Roman" w:cs="Times New Roman"/>
          <w:color w:val="auto"/>
          <w:highlight w:val="none"/>
        </w:rPr>
        <w:t>附图</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项目平面布置</w:t>
      </w:r>
      <w:bookmarkEnd w:id="28"/>
      <w:bookmarkEnd w:id="29"/>
    </w:p>
    <w:p w14:paraId="140CA963">
      <w:pPr>
        <w:pStyle w:val="59"/>
        <w:rPr>
          <w:rFonts w:hint="default" w:ascii="Times New Roman" w:hAnsi="Times New Roman" w:cs="Times New Roman"/>
          <w:color w:val="auto"/>
          <w:highlight w:val="none"/>
        </w:rPr>
      </w:pPr>
      <w:r>
        <w:rPr>
          <w:sz w:val="24"/>
        </w:rPr>
        <mc:AlternateContent>
          <mc:Choice Requires="wps">
            <w:drawing>
              <wp:anchor distT="0" distB="0" distL="114300" distR="114300" simplePos="0" relativeHeight="251675648" behindDoc="0" locked="0" layoutInCell="1" allowOverlap="1">
                <wp:simplePos x="0" y="0"/>
                <wp:positionH relativeFrom="column">
                  <wp:posOffset>834390</wp:posOffset>
                </wp:positionH>
                <wp:positionV relativeFrom="paragraph">
                  <wp:posOffset>242570</wp:posOffset>
                </wp:positionV>
                <wp:extent cx="695325" cy="323850"/>
                <wp:effectExtent l="12700" t="12700" r="492125" b="615950"/>
                <wp:wrapNone/>
                <wp:docPr id="110" name="矩形标注 110"/>
                <wp:cNvGraphicFramePr/>
                <a:graphic xmlns:a="http://schemas.openxmlformats.org/drawingml/2006/main">
                  <a:graphicData uri="http://schemas.microsoft.com/office/word/2010/wordprocessingShape">
                    <wps:wsp>
                      <wps:cNvSpPr/>
                      <wps:spPr>
                        <a:xfrm>
                          <a:off x="4578350" y="2973070"/>
                          <a:ext cx="695325" cy="323850"/>
                        </a:xfrm>
                        <a:prstGeom prst="wedgeRectCallout">
                          <a:avLst>
                            <a:gd name="adj1" fmla="val 117853"/>
                            <a:gd name="adj2" fmla="val 234901"/>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B6B44AF">
                            <w:pPr>
                              <w:jc w:val="center"/>
                              <w:rPr>
                                <w:rFonts w:hint="default" w:eastAsia="宋体"/>
                                <w:b/>
                                <w:bCs/>
                                <w:color w:val="0000FF"/>
                                <w:sz w:val="21"/>
                                <w:szCs w:val="21"/>
                                <w:lang w:val="en-US" w:eastAsia="zh-CN"/>
                              </w:rPr>
                            </w:pPr>
                            <w:r>
                              <w:rPr>
                                <w:rFonts w:hint="eastAsia"/>
                                <w:b/>
                                <w:bCs/>
                                <w:color w:val="0000FF"/>
                                <w:sz w:val="21"/>
                                <w:szCs w:val="21"/>
                                <w:lang w:val="en-US" w:eastAsia="zh-CN"/>
                              </w:rPr>
                              <w:t>地磅</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5.7pt;margin-top:19.1pt;height:25.5pt;width:54.75pt;z-index:251675648;v-text-anchor:middle;mso-width-relative:page;mso-height-relative:page;" filled="f" stroked="t" coordsize="21600,21600" o:gfxdata="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VigNntUAAAAJAQAADwAAAAAAAAABACAAAAAiAAAAZHJzL2Rvd25yZXYu&#10;eG1sUEsBAhQAFAAAAAgAh07iQCVS51apAgAAMwUAAA4AAAAAAAAAAQAgAAAAJAEAAGRycy9lMm9E&#10;b2MueG1sUEsFBgAAAAAGAAYAWQEAAD8GAAAAAA==&#10;" adj="36256,61539">
                <v:fill on="f" focussize="0,0"/>
                <v:stroke weight="2pt" color="#0000FF [2404]" joinstyle="round"/>
                <v:imagedata o:title=""/>
                <o:lock v:ext="edit" aspectratio="f"/>
                <v:textbox>
                  <w:txbxContent>
                    <w:p w14:paraId="1B6B44AF">
                      <w:pPr>
                        <w:jc w:val="center"/>
                        <w:rPr>
                          <w:rFonts w:hint="default" w:eastAsia="宋体"/>
                          <w:b/>
                          <w:bCs/>
                          <w:color w:val="0000FF"/>
                          <w:sz w:val="21"/>
                          <w:szCs w:val="21"/>
                          <w:lang w:val="en-US" w:eastAsia="zh-CN"/>
                        </w:rPr>
                      </w:pPr>
                      <w:r>
                        <w:rPr>
                          <w:rFonts w:hint="eastAsia"/>
                          <w:b/>
                          <w:bCs/>
                          <w:color w:val="0000FF"/>
                          <w:sz w:val="21"/>
                          <w:szCs w:val="21"/>
                          <w:lang w:val="en-US" w:eastAsia="zh-CN"/>
                        </w:rPr>
                        <w:t>地磅</w:t>
                      </w:r>
                    </w:p>
                  </w:txbxContent>
                </v:textbox>
              </v:shape>
            </w:pict>
          </mc:Fallback>
        </mc:AlternateContent>
      </w:r>
    </w:p>
    <w:p w14:paraId="3BF73E33">
      <w:pPr>
        <w:pStyle w:val="59"/>
        <w:rPr>
          <w:rFonts w:hint="default" w:ascii="Times New Roman" w:hAnsi="Times New Roman" w:cs="Times New Roman"/>
          <w:color w:val="auto"/>
          <w:highlight w:val="none"/>
        </w:rPr>
      </w:pPr>
      <w:r>
        <w:rPr>
          <w:sz w:val="24"/>
        </w:rPr>
        <mc:AlternateContent>
          <mc:Choice Requires="wps">
            <w:drawing>
              <wp:anchor distT="0" distB="0" distL="114300" distR="114300" simplePos="0" relativeHeight="251674624" behindDoc="0" locked="0" layoutInCell="1" allowOverlap="1">
                <wp:simplePos x="0" y="0"/>
                <wp:positionH relativeFrom="column">
                  <wp:posOffset>3155315</wp:posOffset>
                </wp:positionH>
                <wp:positionV relativeFrom="paragraph">
                  <wp:posOffset>102870</wp:posOffset>
                </wp:positionV>
                <wp:extent cx="695325" cy="323850"/>
                <wp:effectExtent l="756920" t="12700" r="14605" b="63500"/>
                <wp:wrapNone/>
                <wp:docPr id="106" name="矩形标注 106"/>
                <wp:cNvGraphicFramePr/>
                <a:graphic xmlns:a="http://schemas.openxmlformats.org/drawingml/2006/main">
                  <a:graphicData uri="http://schemas.microsoft.com/office/word/2010/wordprocessingShape">
                    <wps:wsp>
                      <wps:cNvSpPr/>
                      <wps:spPr>
                        <a:xfrm>
                          <a:off x="4664075" y="1680845"/>
                          <a:ext cx="695325" cy="323850"/>
                        </a:xfrm>
                        <a:prstGeom prst="wedgeRectCallout">
                          <a:avLst>
                            <a:gd name="adj1" fmla="val -157031"/>
                            <a:gd name="adj2" fmla="val 64509"/>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8E9ECB">
                            <w:pPr>
                              <w:jc w:val="center"/>
                              <w:rPr>
                                <w:rFonts w:hint="eastAsia" w:eastAsia="宋体"/>
                                <w:b/>
                                <w:bCs/>
                                <w:color w:val="0000FF"/>
                                <w:sz w:val="21"/>
                                <w:szCs w:val="21"/>
                                <w:lang w:val="en-US" w:eastAsia="zh-CN"/>
                              </w:rPr>
                            </w:pPr>
                            <w:r>
                              <w:rPr>
                                <w:rFonts w:hint="eastAsia"/>
                                <w:b/>
                                <w:bCs/>
                                <w:color w:val="0000FF"/>
                                <w:sz w:val="21"/>
                                <w:szCs w:val="21"/>
                                <w:lang w:val="en-US" w:eastAsia="zh-CN"/>
                              </w:rPr>
                              <w:t>大门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8.45pt;margin-top:8.1pt;height:25.5pt;width:54.75pt;z-index:251674624;v-text-anchor:middle;mso-width-relative:page;mso-height-relative:page;" filled="f" stroked="t" coordsize="21600,21600" o:gfxdata="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bcRwOtcAAAAJAQAADwAAAAAAAAABACAAAAAiAAAAZHJzL2Rv&#10;d25yZXYueG1sUEsBAhQAFAAAAAgAh07iQG/GUcutAgAAMwUAAA4AAAAAAAAAAQAgAAAAJgEAAGRy&#10;cy9lMm9Eb2MueG1sUEsFBgAAAAAGAAYAWQEAAEUGAAAAAA==&#10;" adj="-23119,24734">
                <v:fill on="f" focussize="0,0"/>
                <v:stroke weight="2pt" color="#0000FF [2404]" joinstyle="round"/>
                <v:imagedata o:title=""/>
                <o:lock v:ext="edit" aspectratio="f"/>
                <v:textbox>
                  <w:txbxContent>
                    <w:p w14:paraId="7B8E9ECB">
                      <w:pPr>
                        <w:jc w:val="center"/>
                        <w:rPr>
                          <w:rFonts w:hint="eastAsia" w:eastAsia="宋体"/>
                          <w:b/>
                          <w:bCs/>
                          <w:color w:val="0000FF"/>
                          <w:sz w:val="21"/>
                          <w:szCs w:val="21"/>
                          <w:lang w:val="en-US" w:eastAsia="zh-CN"/>
                        </w:rPr>
                      </w:pPr>
                      <w:r>
                        <w:rPr>
                          <w:rFonts w:hint="eastAsia"/>
                          <w:b/>
                          <w:bCs/>
                          <w:color w:val="0000FF"/>
                          <w:sz w:val="21"/>
                          <w:szCs w:val="21"/>
                          <w:lang w:val="en-US" w:eastAsia="zh-CN"/>
                        </w:rPr>
                        <w:t>大门</w:t>
                      </w:r>
                    </w:p>
                  </w:txbxContent>
                </v:textbox>
              </v:shape>
            </w:pict>
          </mc:Fallback>
        </mc:AlternateContent>
      </w:r>
    </w:p>
    <w:p w14:paraId="53EF2C20">
      <w:pPr>
        <w:pStyle w:val="59"/>
        <w:rPr>
          <w:rFonts w:hint="default" w:ascii="Times New Roman" w:hAnsi="Times New Roman" w:cs="Times New Roman"/>
          <w:color w:val="auto"/>
          <w:highlight w:val="none"/>
        </w:rPr>
      </w:pPr>
      <w:r>
        <w:rPr>
          <w:sz w:val="24"/>
        </w:rPr>
        <mc:AlternateContent>
          <mc:Choice Requires="wps">
            <w:drawing>
              <wp:anchor distT="0" distB="0" distL="114300" distR="114300" simplePos="0" relativeHeight="251693056" behindDoc="0" locked="0" layoutInCell="1" allowOverlap="1">
                <wp:simplePos x="0" y="0"/>
                <wp:positionH relativeFrom="column">
                  <wp:posOffset>655955</wp:posOffset>
                </wp:positionH>
                <wp:positionV relativeFrom="paragraph">
                  <wp:posOffset>180340</wp:posOffset>
                </wp:positionV>
                <wp:extent cx="695325" cy="323850"/>
                <wp:effectExtent l="12700" t="12700" r="263525" b="349250"/>
                <wp:wrapNone/>
                <wp:docPr id="53" name="矩形标注 53"/>
                <wp:cNvGraphicFramePr/>
                <a:graphic xmlns:a="http://schemas.openxmlformats.org/drawingml/2006/main">
                  <a:graphicData uri="http://schemas.microsoft.com/office/word/2010/wordprocessingShape">
                    <wps:wsp>
                      <wps:cNvSpPr/>
                      <wps:spPr>
                        <a:xfrm>
                          <a:off x="0" y="0"/>
                          <a:ext cx="695325" cy="323850"/>
                        </a:xfrm>
                        <a:prstGeom prst="wedgeRectCallout">
                          <a:avLst>
                            <a:gd name="adj1" fmla="val 83881"/>
                            <a:gd name="adj2" fmla="val 150588"/>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EB8519E">
                            <w:pPr>
                              <w:jc w:val="center"/>
                              <w:rPr>
                                <w:rFonts w:hint="default" w:eastAsia="宋体"/>
                                <w:b/>
                                <w:bCs/>
                                <w:color w:val="0000FF"/>
                                <w:sz w:val="21"/>
                                <w:szCs w:val="21"/>
                                <w:lang w:val="en-US" w:eastAsia="zh-CN"/>
                              </w:rPr>
                            </w:pPr>
                            <w:r>
                              <w:rPr>
                                <w:rFonts w:hint="eastAsia" w:eastAsia="宋体"/>
                                <w:b/>
                                <w:bCs/>
                                <w:color w:val="0000FF"/>
                                <w:sz w:val="21"/>
                                <w:szCs w:val="21"/>
                                <w:lang w:val="en-US" w:eastAsia="zh-CN"/>
                              </w:rPr>
                              <w:t>综合室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65pt;margin-top:14.2pt;height:25.5pt;width:54.75pt;z-index:251693056;v-text-anchor:middle;mso-width-relative:page;mso-height-relative:page;" filled="f" stroked="t" coordsize="21600,21600" o:gfxdata="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rE0c3NUAAAAJAQAADwAAAAAAAAABACAAAAAiAAAAZHJzL2Rvd25yZXYueG1sUEsBAhQAFAAA&#10;AAgAh07iQJsxE3idAgAAJAUAAA4AAAAAAAAAAQAgAAAAJAEAAGRycy9lMm9Eb2MueG1sUEsFBgAA&#10;AAAGAAYAWQEAADMGAAAAAA==&#10;" adj="28918,43327">
                <v:fill on="f" focussize="0,0"/>
                <v:stroke weight="2pt" color="#0000FF [2404]" joinstyle="round"/>
                <v:imagedata o:title=""/>
                <o:lock v:ext="edit" aspectratio="f"/>
                <v:textbox>
                  <w:txbxContent>
                    <w:p w14:paraId="3EB8519E">
                      <w:pPr>
                        <w:jc w:val="center"/>
                        <w:rPr>
                          <w:rFonts w:hint="default" w:eastAsia="宋体"/>
                          <w:b/>
                          <w:bCs/>
                          <w:color w:val="0000FF"/>
                          <w:sz w:val="21"/>
                          <w:szCs w:val="21"/>
                          <w:lang w:val="en-US" w:eastAsia="zh-CN"/>
                        </w:rPr>
                      </w:pPr>
                      <w:r>
                        <w:rPr>
                          <w:rFonts w:hint="eastAsia" w:eastAsia="宋体"/>
                          <w:b/>
                          <w:bCs/>
                          <w:color w:val="0000FF"/>
                          <w:sz w:val="21"/>
                          <w:szCs w:val="21"/>
                          <w:lang w:val="en-US" w:eastAsia="zh-CN"/>
                        </w:rPr>
                        <w:t>综合室</w:t>
                      </w:r>
                    </w:p>
                  </w:txbxContent>
                </v:textbox>
              </v:shape>
            </w:pict>
          </mc:Fallback>
        </mc:AlternateContent>
      </w:r>
    </w:p>
    <w:p w14:paraId="53E19FCF">
      <w:pPr>
        <w:pStyle w:val="59"/>
        <w:rPr>
          <w:rFonts w:hint="default" w:ascii="Times New Roman" w:hAnsi="Times New Roman" w:cs="Times New Roman"/>
          <w:color w:val="auto"/>
          <w:highlight w:val="none"/>
        </w:rPr>
      </w:pPr>
      <w:r>
        <w:rPr>
          <w:sz w:val="24"/>
        </w:rPr>
        <mc:AlternateContent>
          <mc:Choice Requires="wps">
            <w:drawing>
              <wp:anchor distT="0" distB="0" distL="114300" distR="114300" simplePos="0" relativeHeight="251673600" behindDoc="0" locked="0" layoutInCell="1" allowOverlap="1">
                <wp:simplePos x="0" y="0"/>
                <wp:positionH relativeFrom="column">
                  <wp:posOffset>1839595</wp:posOffset>
                </wp:positionH>
                <wp:positionV relativeFrom="paragraph">
                  <wp:posOffset>66675</wp:posOffset>
                </wp:positionV>
                <wp:extent cx="610870" cy="76200"/>
                <wp:effectExtent l="0" t="125730" r="5080" b="140970"/>
                <wp:wrapNone/>
                <wp:docPr id="105" name="矩形 105"/>
                <wp:cNvGraphicFramePr/>
                <a:graphic xmlns:a="http://schemas.openxmlformats.org/drawingml/2006/main">
                  <a:graphicData uri="http://schemas.microsoft.com/office/word/2010/wordprocessingShape">
                    <wps:wsp>
                      <wps:cNvSpPr/>
                      <wps:spPr>
                        <a:xfrm rot="9360000" flipV="1">
                          <a:off x="3158490" y="2126615"/>
                          <a:ext cx="610870" cy="76200"/>
                        </a:xfrm>
                        <a:prstGeom prst="rect">
                          <a:avLst/>
                        </a:prstGeom>
                        <a:noFill/>
                        <a:ln w="6350">
                          <a:solidFill>
                            <a:srgbClr val="1414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144.85pt;margin-top:5.25pt;height:6pt;width:48.1pt;rotation:-10223616f;z-index:251673600;v-text-anchor:middle;mso-width-relative:page;mso-height-relative:page;" filled="f" stroked="t" coordsize="21600,21600" o:gfxdata="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&#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bj/zJ1gAAAAkBAAAPAAAAAAAAAAEAIAAAACIAAABk&#10;cnMvZG93bnJldi54bWxQSwECFAAUAAAACACHTuJACZ8DcXoCAADZBAAADgAAAAAAAAABACAAAAAl&#10;AQAAZHJzL2Uyb0RvYy54bWxQSwUGAAAAAAYABgBZAQAAEQYAAAAA&#10;">
                <v:fill on="f" focussize="0,0"/>
                <v:stroke weight="0.5pt" color="#1414FF [2404]" joinstyle="round"/>
                <v:imagedata o:title=""/>
                <o:lock v:ext="edit" aspectratio="f"/>
              </v:rect>
            </w:pict>
          </mc:Fallback>
        </mc:AlternateContent>
      </w:r>
    </w:p>
    <w:p w14:paraId="0F825B6A">
      <w:pPr>
        <w:pStyle w:val="59"/>
        <w:rPr>
          <w:rFonts w:hint="eastAsia" w:ascii="Times New Roman" w:hAnsi="Times New Roman" w:cs="Times New Roman"/>
          <w:color w:val="auto"/>
          <w:highlight w:val="none"/>
          <w:lang w:eastAsia="zh-CN"/>
        </w:rPr>
      </w:pPr>
      <w:r>
        <w:rPr>
          <w:sz w:val="24"/>
        </w:rPr>
        <mc:AlternateContent>
          <mc:Choice Requires="wps">
            <w:drawing>
              <wp:anchor distT="0" distB="0" distL="114300" distR="114300" simplePos="0" relativeHeight="251678720" behindDoc="0" locked="0" layoutInCell="1" allowOverlap="1">
                <wp:simplePos x="0" y="0"/>
                <wp:positionH relativeFrom="column">
                  <wp:posOffset>127000</wp:posOffset>
                </wp:positionH>
                <wp:positionV relativeFrom="paragraph">
                  <wp:posOffset>6985</wp:posOffset>
                </wp:positionV>
                <wp:extent cx="780415" cy="323850"/>
                <wp:effectExtent l="12700" t="12700" r="292735" b="177800"/>
                <wp:wrapNone/>
                <wp:docPr id="80" name="矩形标注 80"/>
                <wp:cNvGraphicFramePr/>
                <a:graphic xmlns:a="http://schemas.openxmlformats.org/drawingml/2006/main">
                  <a:graphicData uri="http://schemas.microsoft.com/office/word/2010/wordprocessingShape">
                    <wps:wsp>
                      <wps:cNvSpPr/>
                      <wps:spPr>
                        <a:xfrm>
                          <a:off x="3596640" y="3128010"/>
                          <a:ext cx="780415" cy="323850"/>
                        </a:xfrm>
                        <a:prstGeom prst="wedgeRectCallout">
                          <a:avLst>
                            <a:gd name="adj1" fmla="val 85801"/>
                            <a:gd name="adj2" fmla="val 100196"/>
                          </a:avLst>
                        </a:prstGeom>
                        <a:no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08255D4">
                            <w:pPr>
                              <w:jc w:val="both"/>
                              <w:rPr>
                                <w:rFonts w:hint="default" w:eastAsia="宋体"/>
                                <w:b/>
                                <w:bCs/>
                                <w:color w:val="FFC000"/>
                                <w:sz w:val="21"/>
                                <w:szCs w:val="21"/>
                                <w:lang w:val="en-US" w:eastAsia="zh-CN"/>
                              </w:rPr>
                            </w:pPr>
                            <w:r>
                              <w:rPr>
                                <w:rFonts w:hint="eastAsia" w:eastAsia="宋体"/>
                                <w:b/>
                                <w:bCs/>
                                <w:color w:val="FFC000"/>
                                <w:sz w:val="21"/>
                                <w:szCs w:val="21"/>
                                <w:lang w:val="en-US" w:eastAsia="zh-CN"/>
                              </w:rPr>
                              <w:t>防渗旱厕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0pt;margin-top:0.55pt;height:25.5pt;width:61.45pt;z-index:251678720;v-text-anchor:middle;mso-width-relative:page;mso-height-relative:page;" filled="f" stroked="t" coordsize="21600,21600" o:gfxdata="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BTURNu1gAAAAcBAAAPAAAAAAAAAAEAIAAAACIAAABkcnMvZG93bnJldi54&#10;bWxQSwECFAAUAAAACACHTuJAgulufKcCAAAwBQAADgAAAAAAAAABACAAAAAlAQAAZHJzL2Uyb0Rv&#10;Yy54bWxQSwUGAAAAAAYABgBZAQAAPgYAAAAA&#10;" adj="29333,32442">
                <v:fill on="f" focussize="0,0"/>
                <v:stroke weight="2pt" color="#FFC000 [2404]" joinstyle="round"/>
                <v:imagedata o:title=""/>
                <o:lock v:ext="edit" aspectratio="f"/>
                <v:textbox>
                  <w:txbxContent>
                    <w:p w14:paraId="708255D4">
                      <w:pPr>
                        <w:jc w:val="both"/>
                        <w:rPr>
                          <w:rFonts w:hint="default" w:eastAsia="宋体"/>
                          <w:b/>
                          <w:bCs/>
                          <w:color w:val="FFC000"/>
                          <w:sz w:val="21"/>
                          <w:szCs w:val="21"/>
                          <w:lang w:val="en-US" w:eastAsia="zh-CN"/>
                        </w:rPr>
                      </w:pPr>
                      <w:r>
                        <w:rPr>
                          <w:rFonts w:hint="eastAsia" w:eastAsia="宋体"/>
                          <w:b/>
                          <w:bCs/>
                          <w:color w:val="FFC000"/>
                          <w:sz w:val="21"/>
                          <w:szCs w:val="21"/>
                          <w:lang w:val="en-US" w:eastAsia="zh-CN"/>
                        </w:rPr>
                        <w:t>防渗旱厕</w:t>
                      </w:r>
                    </w:p>
                  </w:txbxContent>
                </v:textbox>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1873885</wp:posOffset>
                </wp:positionH>
                <wp:positionV relativeFrom="paragraph">
                  <wp:posOffset>282575</wp:posOffset>
                </wp:positionV>
                <wp:extent cx="589915" cy="76200"/>
                <wp:effectExtent l="121920" t="0" r="125730" b="5715"/>
                <wp:wrapNone/>
                <wp:docPr id="103" name="矩形 103"/>
                <wp:cNvGraphicFramePr/>
                <a:graphic xmlns:a="http://schemas.openxmlformats.org/drawingml/2006/main">
                  <a:graphicData uri="http://schemas.microsoft.com/office/word/2010/wordprocessingShape">
                    <wps:wsp>
                      <wps:cNvSpPr/>
                      <wps:spPr>
                        <a:xfrm rot="14760000" flipV="1">
                          <a:off x="5702300" y="4044950"/>
                          <a:ext cx="589915" cy="76200"/>
                        </a:xfrm>
                        <a:prstGeom prst="rect">
                          <a:avLst/>
                        </a:prstGeom>
                        <a:noFill/>
                        <a:ln w="6350">
                          <a:solidFill>
                            <a:srgbClr val="1414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147.55pt;margin-top:22.25pt;height:6pt;width:46.45pt;rotation:7471104f;z-index:251674624;v-text-anchor:middle;mso-width-relative:page;mso-height-relative:page;" filled="f" stroked="t" coordsize="21600,21600" o:gfxdata="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L7vK0tgAAAAJAQAADwAAAAAAAAABACAAAAAiAAAA&#10;ZHJzL2Rvd25yZXYueG1sUEsBAhQAFAAAAAgAh07iQA3esVx5AgAA2gQAAA4AAAAAAAAAAQAgAAAA&#10;JwEAAGRycy9lMm9Eb2MueG1sUEsFBgAAAAAGAAYAWQEAABIGAAAAAA==&#10;">
                <v:fill on="f" focussize="0,0"/>
                <v:stroke weight="0.5pt" color="#1414FF [2404]" joinstyle="round"/>
                <v:imagedata o:title=""/>
                <o:lock v:ext="edit" aspectratio="f"/>
              </v:rect>
            </w:pict>
          </mc:Fallback>
        </mc:AlternateContent>
      </w:r>
    </w:p>
    <w:p w14:paraId="019CFA92">
      <w:pPr>
        <w:pStyle w:val="50"/>
        <w:rPr>
          <w:rFonts w:hint="default" w:ascii="Times New Roman" w:hAnsi="Times New Roman" w:cs="Times New Roman"/>
          <w:color w:val="auto"/>
          <w:sz w:val="28"/>
          <w:szCs w:val="28"/>
          <w:highlight w:val="none"/>
          <w:lang w:val="en-US"/>
        </w:rPr>
        <w:sectPr>
          <w:pgSz w:w="11906" w:h="16838"/>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auto"/>
          <w:sz w:val="24"/>
          <w:highlight w:val="none"/>
        </w:rPr>
        <mc:AlternateContent>
          <mc:Choice Requires="wps">
            <w:drawing>
              <wp:anchor distT="0" distB="0" distL="114300" distR="114300" simplePos="0" relativeHeight="251702272" behindDoc="0" locked="0" layoutInCell="1" allowOverlap="1">
                <wp:simplePos x="0" y="0"/>
                <wp:positionH relativeFrom="column">
                  <wp:posOffset>4250055</wp:posOffset>
                </wp:positionH>
                <wp:positionV relativeFrom="paragraph">
                  <wp:posOffset>2080260</wp:posOffset>
                </wp:positionV>
                <wp:extent cx="1303020" cy="352425"/>
                <wp:effectExtent l="270510" t="12700" r="26670" b="396875"/>
                <wp:wrapNone/>
                <wp:docPr id="83" name="矩形标注 83"/>
                <wp:cNvGraphicFramePr/>
                <a:graphic xmlns:a="http://schemas.openxmlformats.org/drawingml/2006/main">
                  <a:graphicData uri="http://schemas.microsoft.com/office/word/2010/wordprocessingShape">
                    <wps:wsp>
                      <wps:cNvSpPr/>
                      <wps:spPr>
                        <a:xfrm>
                          <a:off x="0" y="0"/>
                          <a:ext cx="1303020" cy="352425"/>
                        </a:xfrm>
                        <a:prstGeom prst="wedgeRectCallout">
                          <a:avLst>
                            <a:gd name="adj1" fmla="val -69767"/>
                            <a:gd name="adj2" fmla="val 155405"/>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513C749">
                            <w:pPr>
                              <w:pStyle w:val="48"/>
                              <w:bidi w:val="0"/>
                              <w:rPr>
                                <w:rFonts w:hint="default"/>
                                <w:b/>
                                <w:bCs/>
                                <w:color w:val="0000FF"/>
                                <w:lang w:val="en-US" w:eastAsia="zh-CN"/>
                              </w:rPr>
                            </w:pPr>
                            <w:r>
                              <w:rPr>
                                <w:b/>
                                <w:bCs/>
                                <w:color w:val="0000FF"/>
                              </w:rPr>
                              <w:t>圆形原粮筒仓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34.65pt;margin-top:163.8pt;height:27.75pt;width:102.6pt;z-index:251702272;v-text-anchor:middle;mso-width-relative:page;mso-height-relative:page;" filled="f" stroked="t" coordsize="21600,21600" o:gfxdata="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PAWdcdkAAAALAQAADwAAAAAAAAABACAAAAAiAAAAZHJzL2Rvd25yZXYueG1sUEsBAhQA&#10;FAAAAAgAh07iQOf1R4ecAgAAJgUAAA4AAAAAAAAAAQAgAAAAKAEAAGRycy9lMm9Eb2MueG1sUEsF&#10;BgAAAAAGAAYAWQEAADYGAAAAAA==&#10;" adj="-4270,44367">
                <v:fill on="f" focussize="0,0"/>
                <v:stroke weight="2pt" color="#0000FF [2404]" joinstyle="round"/>
                <v:imagedata o:title=""/>
                <o:lock v:ext="edit" aspectratio="f"/>
                <v:textbox>
                  <w:txbxContent>
                    <w:p w14:paraId="5513C749">
                      <w:pPr>
                        <w:pStyle w:val="48"/>
                        <w:bidi w:val="0"/>
                        <w:rPr>
                          <w:rFonts w:hint="default"/>
                          <w:b/>
                          <w:bCs/>
                          <w:color w:val="0000FF"/>
                          <w:lang w:val="en-US" w:eastAsia="zh-CN"/>
                        </w:rPr>
                      </w:pPr>
                      <w:r>
                        <w:rPr>
                          <w:b/>
                          <w:bCs/>
                          <w:color w:val="0000FF"/>
                        </w:rPr>
                        <w:t>圆形原粮筒仓</w:t>
                      </w:r>
                    </w:p>
                  </w:txbxContent>
                </v:textbox>
              </v:shape>
            </w:pict>
          </mc:Fallback>
        </mc:AlternateContent>
      </w:r>
      <w:r>
        <w:rPr>
          <w:sz w:val="24"/>
        </w:rPr>
        <mc:AlternateContent>
          <mc:Choice Requires="wps">
            <w:drawing>
              <wp:anchor distT="0" distB="0" distL="114300" distR="114300" simplePos="0" relativeHeight="251703296" behindDoc="0" locked="0" layoutInCell="1" allowOverlap="1">
                <wp:simplePos x="0" y="0"/>
                <wp:positionH relativeFrom="column">
                  <wp:posOffset>3705225</wp:posOffset>
                </wp:positionH>
                <wp:positionV relativeFrom="paragraph">
                  <wp:posOffset>1767205</wp:posOffset>
                </wp:positionV>
                <wp:extent cx="314960" cy="2151380"/>
                <wp:effectExtent l="345440" t="0" r="215900" b="8890"/>
                <wp:wrapNone/>
                <wp:docPr id="85" name="右大括号 85"/>
                <wp:cNvGraphicFramePr/>
                <a:graphic xmlns:a="http://schemas.openxmlformats.org/drawingml/2006/main">
                  <a:graphicData uri="http://schemas.microsoft.com/office/word/2010/wordprocessingShape">
                    <wps:wsp>
                      <wps:cNvSpPr/>
                      <wps:spPr>
                        <a:xfrm rot="20460000">
                          <a:off x="4780280" y="3216910"/>
                          <a:ext cx="314960" cy="2151380"/>
                        </a:xfrm>
                        <a:prstGeom prst="rightBrace">
                          <a:avLst/>
                        </a:prstGeom>
                        <a:ln>
                          <a:solidFill>
                            <a:srgbClr val="0000FF"/>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8" type="#_x0000_t88" style="position:absolute;left:0pt;margin-left:291.75pt;margin-top:139.15pt;height:169.4pt;width:24.8pt;rotation:-1245184f;z-index:251703296;mso-width-relative:page;mso-height-relative:page;" filled="f" stroked="t" coordsize="21600,21600" o:gfxdata="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0JTj6tsAAAALAQAADwAAAAAAAAABACAAAAAiAAAAZHJzL2Rvd25yZXYu&#10;eG1sUEsBAhQAFAAAAAgAh07iQPuG6Jf4AQAAwAMAAA4AAAAAAAAAAQAgAAAAKgEAAGRycy9lMm9E&#10;b2MueG1sUEsFBgAAAAAGAAYAWQEAAJQFAAAAAA==&#10;" adj="263,10800">
                <v:fill on="f" focussize="0,0"/>
                <v:stroke weight="2pt" color="#0000FF [3204]" joinstyle="round"/>
                <v:imagedata o:title=""/>
                <o:lock v:ext="edit" aspectratio="f"/>
              </v:shape>
            </w:pict>
          </mc:Fallback>
        </mc:AlternateContent>
      </w:r>
      <w:r>
        <w:rPr>
          <w:sz w:val="24"/>
        </w:rPr>
        <mc:AlternateContent>
          <mc:Choice Requires="wpg">
            <w:drawing>
              <wp:anchor distT="0" distB="0" distL="114300" distR="114300" simplePos="0" relativeHeight="251701248" behindDoc="0" locked="0" layoutInCell="1" allowOverlap="1">
                <wp:simplePos x="0" y="0"/>
                <wp:positionH relativeFrom="column">
                  <wp:posOffset>3502660</wp:posOffset>
                </wp:positionH>
                <wp:positionV relativeFrom="paragraph">
                  <wp:posOffset>1864360</wp:posOffset>
                </wp:positionV>
                <wp:extent cx="177800" cy="2155190"/>
                <wp:effectExtent l="351155" t="0" r="366395" b="0"/>
                <wp:wrapNone/>
                <wp:docPr id="82" name="组合 82"/>
                <wp:cNvGraphicFramePr/>
                <a:graphic xmlns:a="http://schemas.openxmlformats.org/drawingml/2006/main">
                  <a:graphicData uri="http://schemas.microsoft.com/office/word/2010/wordprocessingGroup">
                    <wpg:wgp>
                      <wpg:cNvGrpSpPr/>
                      <wpg:grpSpPr>
                        <a:xfrm rot="20400000">
                          <a:off x="0" y="0"/>
                          <a:ext cx="177800" cy="2155190"/>
                          <a:chOff x="6307" y="956842"/>
                          <a:chExt cx="280" cy="3394"/>
                        </a:xfrm>
                      </wpg:grpSpPr>
                      <wps:wsp>
                        <wps:cNvPr id="71" name="椭圆 71"/>
                        <wps:cNvSpPr/>
                        <wps:spPr>
                          <a:xfrm>
                            <a:off x="6307" y="956842"/>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2" name="椭圆 72"/>
                        <wps:cNvSpPr/>
                        <wps:spPr>
                          <a:xfrm>
                            <a:off x="6307" y="957188"/>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3" name="椭圆 73"/>
                        <wps:cNvSpPr/>
                        <wps:spPr>
                          <a:xfrm>
                            <a:off x="6307" y="957534"/>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4" name="椭圆 74"/>
                        <wps:cNvSpPr/>
                        <wps:spPr>
                          <a:xfrm>
                            <a:off x="6307" y="957880"/>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5" name="椭圆 75"/>
                        <wps:cNvSpPr/>
                        <wps:spPr>
                          <a:xfrm>
                            <a:off x="6307" y="958226"/>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6" name="椭圆 76"/>
                        <wps:cNvSpPr/>
                        <wps:spPr>
                          <a:xfrm>
                            <a:off x="6307" y="958918"/>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7" name="椭圆 77"/>
                        <wps:cNvSpPr/>
                        <wps:spPr>
                          <a:xfrm>
                            <a:off x="6307" y="958572"/>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椭圆 78"/>
                        <wps:cNvSpPr/>
                        <wps:spPr>
                          <a:xfrm>
                            <a:off x="6307" y="959610"/>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9" name="椭圆 79"/>
                        <wps:cNvSpPr/>
                        <wps:spPr>
                          <a:xfrm>
                            <a:off x="6307" y="959264"/>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1" name="椭圆 81"/>
                        <wps:cNvSpPr/>
                        <wps:spPr>
                          <a:xfrm>
                            <a:off x="6307" y="959956"/>
                            <a:ext cx="280" cy="280"/>
                          </a:xfrm>
                          <a:prstGeom prst="ellipse">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75.8pt;margin-top:146.8pt;height:169.7pt;width:14pt;rotation:-1310720f;z-index:251701248;mso-width-relative:page;mso-height-relative:page;" coordorigin="6307,956842" coordsize="280,3394" o:gfxdata="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">
                <o:lock v:ext="edit" aspectratio="f"/>
                <v:shape id="_x0000_s1026" o:spid="_x0000_s1026" o:spt="3" type="#_x0000_t3" style="position:absolute;left:6307;top:956842;height:280;width:280;v-text-anchor:middle;" filled="f" stroked="t" coordsize="21600,21600" o:gfxdata="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2UX4&#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7188;height:280;width:280;v-text-anchor:middle;" filled="f" stroked="t" coordsize="21600,21600" o:gfxdata="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C9uP&#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7534;height:280;width:280;v-text-anchor:middle;" filled="f" stroked="t" coordsize="21600,21600" o:gfxdata="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HfhS/&#10;AAAA2wAAAA8AAAAAAAAAAQAgAAAAIgAAAGRycy9kb3ducmV2LnhtbFBLAQIUABQAAAAIAIdO4kAz&#10;LwWeOwAAADkAAAAQAAAAAAAAAAEAIAAAAA4BAABkcnMvc2hhcGV4bWwueG1sUEsFBgAAAAAGAAYA&#10;WwEAALgDAAAAAA==&#10;">
                  <v:fill on="f" focussize="0,0"/>
                  <v:stroke weight="2pt" color="#0000FF [2404]" joinstyle="round"/>
                  <v:imagedata o:title=""/>
                  <o:lock v:ext="edit" aspectratio="f"/>
                </v:shape>
                <v:shape id="_x0000_s1026" o:spid="_x0000_s1026" o:spt="3" type="#_x0000_t3" style="position:absolute;left:6307;top:957880;height:280;width:280;v-text-anchor:middle;" filled="f" stroked="t" coordsize="21600,21600" o:gfxdata="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ruZg&#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8226;height:280;width:280;v-text-anchor:middle;" filled="f" stroked="t" coordsize="21600,21600" o:gfxdata="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iQ/u/&#10;AAAA2wAAAA8AAAAAAAAAAQAgAAAAIgAAAGRycy9kb3ducmV2LnhtbFBLAQIUABQAAAAIAIdO4kAz&#10;LwWeOwAAADkAAAAQAAAAAAAAAAEAIAAAAA4BAABkcnMvc2hhcGV4bWwueG1sUEsFBgAAAAAGAAYA&#10;WwEAALgDAAAAAA==&#10;">
                  <v:fill on="f" focussize="0,0"/>
                  <v:stroke weight="2pt" color="#0000FF [2404]" joinstyle="round"/>
                  <v:imagedata o:title=""/>
                  <o:lock v:ext="edit" aspectratio="f"/>
                </v:shape>
                <v:shape id="_x0000_s1026" o:spid="_x0000_s1026" o:spt="3" type="#_x0000_t3" style="position:absolute;left:6307;top:958918;height:280;width:280;v-text-anchor:middle;" filled="f" stroked="t" coordsize="21600,21600" o:gfxdata="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MN2M&#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8572;height:280;width:280;v-text-anchor:middle;" filled="f" stroked="t" coordsize="21600,21600" o:gfxdata="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fHgX&#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9610;height:280;width:280;v-text-anchor:middle;" filled="f" stroked="t" coordsize="21600,21600" o:gfxdata="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3j7GW8AAAA&#10;2wAAAA8AAAAAAAAAAQAgAAAAIgAAAGRycy9kb3ducmV2LnhtbFBLAQIUABQAAAAIAIdO4kAzLwWe&#10;OwAAADkAAAAQAAAAAAAAAAEAIAAAAAsBAABkcnMvc2hhcGV4bWwueG1sUEsFBgAAAAAGAAYAWwEA&#10;ALUDAAAAAA==&#10;">
                  <v:fill on="f" focussize="0,0"/>
                  <v:stroke weight="2pt" color="#0000FF [2404]" joinstyle="round"/>
                  <v:imagedata o:title=""/>
                  <o:lock v:ext="edit" aspectratio="f"/>
                </v:shape>
                <v:shape id="_x0000_s1026" o:spid="_x0000_s1026" o:spt="3" type="#_x0000_t3" style="position:absolute;left:6307;top:959264;height:280;width:280;v-text-anchor:middle;" filled="f" stroked="t" coordsize="21600,21600" o:gfxdata="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r0n+&#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shape id="_x0000_s1026" o:spid="_x0000_s1026" o:spt="3" type="#_x0000_t3" style="position:absolute;left:6307;top:959956;height:280;width:280;v-text-anchor:middle;" filled="f" stroked="t" coordsize="21600,21600" o:gfxdata="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DDXf&#10;wAAAANsAAAAPAAAAAAAAAAEAIAAAACIAAABkcnMvZG93bnJldi54bWxQSwECFAAUAAAACACHTuJA&#10;My8FnjsAAAA5AAAAEAAAAAAAAAABACAAAAAPAQAAZHJzL3NoYXBleG1sLnhtbFBLBQYAAAAABgAG&#10;AFsBAAC5AwAAAAA=&#10;">
                  <v:fill on="f" focussize="0,0"/>
                  <v:stroke weight="2pt" color="#0000FF [2404]" joinstyle="round"/>
                  <v:imagedata o:title=""/>
                  <o:lock v:ext="edit" aspectratio="f"/>
                </v:shape>
              </v:group>
            </w:pict>
          </mc:Fallback>
        </mc:AlternateContent>
      </w:r>
      <w:r>
        <w:rPr>
          <w:color w:val="auto"/>
          <w:sz w:val="24"/>
          <w:highlight w:val="none"/>
        </w:rPr>
        <mc:AlternateContent>
          <mc:Choice Requires="wps">
            <w:drawing>
              <wp:anchor distT="0" distB="0" distL="114300" distR="114300" simplePos="0" relativeHeight="251700224" behindDoc="0" locked="0" layoutInCell="1" allowOverlap="1">
                <wp:simplePos x="0" y="0"/>
                <wp:positionH relativeFrom="column">
                  <wp:posOffset>-249555</wp:posOffset>
                </wp:positionH>
                <wp:positionV relativeFrom="paragraph">
                  <wp:posOffset>1377950</wp:posOffset>
                </wp:positionV>
                <wp:extent cx="1037590" cy="352425"/>
                <wp:effectExtent l="12700" t="382270" r="111760" b="27305"/>
                <wp:wrapNone/>
                <wp:docPr id="69" name="矩形标注 69"/>
                <wp:cNvGraphicFramePr/>
                <a:graphic xmlns:a="http://schemas.openxmlformats.org/drawingml/2006/main">
                  <a:graphicData uri="http://schemas.microsoft.com/office/word/2010/wordprocessingShape">
                    <wps:wsp>
                      <wps:cNvSpPr/>
                      <wps:spPr>
                        <a:xfrm>
                          <a:off x="0" y="0"/>
                          <a:ext cx="1037590" cy="352425"/>
                        </a:xfrm>
                        <a:prstGeom prst="wedgeRectCallout">
                          <a:avLst>
                            <a:gd name="adj1" fmla="val 58139"/>
                            <a:gd name="adj2" fmla="val -154864"/>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A2D522B">
                            <w:pPr>
                              <w:jc w:val="center"/>
                              <w:rPr>
                                <w:rStyle w:val="174"/>
                                <w:rFonts w:hint="default"/>
                                <w:b/>
                                <w:bCs/>
                                <w:color w:val="0000FF"/>
                                <w:lang w:val="en-US" w:eastAsia="zh-CN"/>
                              </w:rPr>
                            </w:pPr>
                            <w:r>
                              <w:rPr>
                                <w:rFonts w:hint="default"/>
                                <w:b/>
                                <w:bCs/>
                                <w:color w:val="0000FF"/>
                                <w:lang w:val="en-US" w:eastAsia="zh-CN"/>
                              </w:rPr>
                              <w:t>1</w:t>
                            </w:r>
                            <w:r>
                              <w:rPr>
                                <w:rStyle w:val="174"/>
                                <w:rFonts w:hint="default"/>
                                <w:b/>
                                <w:bCs/>
                                <w:color w:val="0000FF"/>
                                <w:lang w:val="en-US" w:eastAsia="zh-CN"/>
                              </w:rPr>
                              <w:t>#</w:t>
                            </w:r>
                            <w:r>
                              <w:rPr>
                                <w:rStyle w:val="174"/>
                                <w:rFonts w:hint="eastAsia"/>
                                <w:b/>
                                <w:bCs/>
                                <w:color w:val="0000FF"/>
                                <w:lang w:val="en-US" w:eastAsia="zh-CN"/>
                              </w:rPr>
                              <w:t>干</w:t>
                            </w:r>
                            <w:r>
                              <w:rPr>
                                <w:rStyle w:val="174"/>
                                <w:rFonts w:hint="default"/>
                                <w:b/>
                                <w:bCs/>
                                <w:color w:val="0000FF"/>
                                <w:lang w:val="en-US" w:eastAsia="zh-CN"/>
                              </w:rPr>
                              <w:t>粮库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65pt;margin-top:108.5pt;height:27.75pt;width:81.7pt;z-index:251700224;v-text-anchor:middle;mso-width-relative:page;mso-height-relative:page;" filled="f" stroked="t" coordsize="21600,21600" o:gfxdata="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SdfZPtsAAAALAQAADwAAAAAAAAABACAAAAAiAAAAZHJzL2Rvd25yZXYueG1s&#10;UEsBAhQAFAAAAAgAh07iQFMWSNugAgAAJgUAAA4AAAAAAAAAAQAgAAAAKgEAAGRycy9lMm9Eb2Mu&#10;eG1sUEsFBgAAAAAGAAYAWQEAADwGAAAAAA==&#10;" adj="23358,-22651">
                <v:fill on="f" focussize="0,0"/>
                <v:stroke weight="2pt" color="#0000FF [2404]" joinstyle="round"/>
                <v:imagedata o:title=""/>
                <o:lock v:ext="edit" aspectratio="f"/>
                <v:textbox>
                  <w:txbxContent>
                    <w:p w14:paraId="2A2D522B">
                      <w:pPr>
                        <w:jc w:val="center"/>
                        <w:rPr>
                          <w:rStyle w:val="174"/>
                          <w:rFonts w:hint="default"/>
                          <w:b/>
                          <w:bCs/>
                          <w:color w:val="0000FF"/>
                          <w:lang w:val="en-US" w:eastAsia="zh-CN"/>
                        </w:rPr>
                      </w:pPr>
                      <w:r>
                        <w:rPr>
                          <w:rFonts w:hint="default"/>
                          <w:b/>
                          <w:bCs/>
                          <w:color w:val="0000FF"/>
                          <w:lang w:val="en-US" w:eastAsia="zh-CN"/>
                        </w:rPr>
                        <w:t>1</w:t>
                      </w:r>
                      <w:r>
                        <w:rPr>
                          <w:rStyle w:val="174"/>
                          <w:rFonts w:hint="default"/>
                          <w:b/>
                          <w:bCs/>
                          <w:color w:val="0000FF"/>
                          <w:lang w:val="en-US" w:eastAsia="zh-CN"/>
                        </w:rPr>
                        <w:t>#</w:t>
                      </w:r>
                      <w:r>
                        <w:rPr>
                          <w:rStyle w:val="174"/>
                          <w:rFonts w:hint="eastAsia"/>
                          <w:b/>
                          <w:bCs/>
                          <w:color w:val="0000FF"/>
                          <w:lang w:val="en-US" w:eastAsia="zh-CN"/>
                        </w:rPr>
                        <w:t>干</w:t>
                      </w:r>
                      <w:r>
                        <w:rPr>
                          <w:rStyle w:val="174"/>
                          <w:rFonts w:hint="default"/>
                          <w:b/>
                          <w:bCs/>
                          <w:color w:val="0000FF"/>
                          <w:lang w:val="en-US" w:eastAsia="zh-CN"/>
                        </w:rPr>
                        <w:t>粮库</w:t>
                      </w:r>
                    </w:p>
                  </w:txbxContent>
                </v:textbox>
              </v:shape>
            </w:pict>
          </mc:Fallback>
        </mc:AlternateContent>
      </w:r>
      <w:r>
        <w:rPr>
          <w:sz w:val="24"/>
        </w:rPr>
        <mc:AlternateContent>
          <mc:Choice Requires="wps">
            <w:drawing>
              <wp:anchor distT="0" distB="0" distL="114300" distR="114300" simplePos="0" relativeHeight="251694080" behindDoc="0" locked="0" layoutInCell="1" allowOverlap="1">
                <wp:simplePos x="0" y="0"/>
                <wp:positionH relativeFrom="column">
                  <wp:posOffset>870585</wp:posOffset>
                </wp:positionH>
                <wp:positionV relativeFrom="paragraph">
                  <wp:posOffset>233680</wp:posOffset>
                </wp:positionV>
                <wp:extent cx="424180" cy="1469390"/>
                <wp:effectExtent l="251460" t="40640" r="257810" b="52070"/>
                <wp:wrapNone/>
                <wp:docPr id="54" name="矩形 54"/>
                <wp:cNvGraphicFramePr/>
                <a:graphic xmlns:a="http://schemas.openxmlformats.org/drawingml/2006/main">
                  <a:graphicData uri="http://schemas.microsoft.com/office/word/2010/wordprocessingShape">
                    <wps:wsp>
                      <wps:cNvSpPr/>
                      <wps:spPr>
                        <a:xfrm rot="20400000">
                          <a:off x="0" y="0"/>
                          <a:ext cx="424180" cy="1469390"/>
                        </a:xfrm>
                        <a:prstGeom prst="rect">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55pt;margin-top:18.4pt;height:115.7pt;width:33.4pt;rotation:-1310720f;z-index:251694080;v-text-anchor:middle;mso-width-relative:page;mso-height-relative:page;" filled="f" stroked="t" coordsize="21600,21600" o:gfxdata="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wp7i9NgAAAAKAQAADwAAAAAAAAABACAAAAAiAAAAZHJzL2Rvd25yZXYueG1sUEsB&#10;AhQAFAAAAAgAh07iQN4+hUtnAgAAxQQAAA4AAAAAAAAAAQAgAAAAJwEAAGRycy9lMm9Eb2MueG1s&#10;UEsFBgAAAAAGAAYAWQEAAAAGAAAAAA==&#10;">
                <v:fill on="f" focussize="0,0"/>
                <v:stroke weight="2pt" color="#0000FF [2404]" joinstyle="round"/>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2929890</wp:posOffset>
                </wp:positionH>
                <wp:positionV relativeFrom="paragraph">
                  <wp:posOffset>3352800</wp:posOffset>
                </wp:positionV>
                <wp:extent cx="644525" cy="312420"/>
                <wp:effectExtent l="0" t="0" r="0" b="0"/>
                <wp:wrapNone/>
                <wp:docPr id="19" name="文本框 8"/>
                <wp:cNvGraphicFramePr/>
                <a:graphic xmlns:a="http://schemas.openxmlformats.org/drawingml/2006/main">
                  <a:graphicData uri="http://schemas.microsoft.com/office/word/2010/wordprocessingShape">
                    <wps:wsp>
                      <wps:cNvSpPr txBox="1"/>
                      <wps:spPr>
                        <a:xfrm>
                          <a:off x="0" y="0"/>
                          <a:ext cx="644525" cy="312420"/>
                        </a:xfrm>
                        <a:prstGeom prst="rect">
                          <a:avLst/>
                        </a:prstGeom>
                        <a:noFill/>
                        <a:ln w="6350">
                          <a:noFill/>
                        </a:ln>
                        <a:effectLst/>
                      </wps:spPr>
                      <wps:txbx>
                        <w:txbxContent>
                          <w:p w14:paraId="21EAA5BD">
                            <w:pPr>
                              <w:rPr>
                                <w:rFonts w:hint="eastAsia" w:eastAsia="宋体"/>
                                <w:lang w:val="en-US" w:eastAsia="zh-CN"/>
                              </w:rPr>
                            </w:pPr>
                            <w:r>
                              <w:rPr>
                                <w:rFonts w:hint="eastAsia"/>
                              </w:rPr>
                              <w:t>DA00</w:t>
                            </w:r>
                            <w:r>
                              <w:rPr>
                                <w:rFonts w:hint="eastAsia"/>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230.7pt;margin-top:264pt;height:24.6pt;width:50.75pt;z-index:251665408;mso-width-relative:page;mso-height-relative:page;" filled="f" stroked="f" coordsize="21600,21600" o:gfxdata="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YA4rdwAAAALAQAADwAAAAAAAAABACAA&#10;AAAiAAAAZHJzL2Rvd25yZXYueG1sUEsBAhQAFAAAAAgAh07iQFqx0qJCAgAAdAQAAA4AAAAAAAAA&#10;AQAgAAAAKwEAAGRycy9lMm9Eb2MueG1sUEsFBgAAAAAGAAYAWQEAAN8FAAAAAA==&#10;">
                <v:fill on="f" focussize="0,0"/>
                <v:stroke on="f" weight="0.5pt"/>
                <v:imagedata o:title=""/>
                <o:lock v:ext="edit" aspectratio="f"/>
                <v:textbox>
                  <w:txbxContent>
                    <w:p w14:paraId="21EAA5BD">
                      <w:pPr>
                        <w:rPr>
                          <w:rFonts w:hint="eastAsia" w:eastAsia="宋体"/>
                          <w:lang w:val="en-US" w:eastAsia="zh-CN"/>
                        </w:rPr>
                      </w:pPr>
                      <w:r>
                        <w:rPr>
                          <w:rFonts w:hint="eastAsia"/>
                        </w:rPr>
                        <w:t>DA00</w:t>
                      </w:r>
                      <w:r>
                        <w:rPr>
                          <w:rFonts w:hint="eastAsia"/>
                          <w:lang w:val="en-US" w:eastAsia="zh-CN"/>
                        </w:rPr>
                        <w:t>1</w:t>
                      </w:r>
                    </w:p>
                  </w:txbxContent>
                </v:textbox>
              </v:shape>
            </w:pict>
          </mc:Fallback>
        </mc:AlternateContent>
      </w:r>
      <w:r>
        <w:rPr>
          <w:color w:val="auto"/>
          <w:sz w:val="24"/>
          <w:highlight w:val="none"/>
        </w:rPr>
        <mc:AlternateContent>
          <mc:Choice Requires="wps">
            <w:drawing>
              <wp:anchor distT="0" distB="0" distL="114300" distR="114300" simplePos="0" relativeHeight="251673600" behindDoc="0" locked="0" layoutInCell="1" allowOverlap="1">
                <wp:simplePos x="0" y="0"/>
                <wp:positionH relativeFrom="column">
                  <wp:posOffset>699135</wp:posOffset>
                </wp:positionH>
                <wp:positionV relativeFrom="paragraph">
                  <wp:posOffset>3969385</wp:posOffset>
                </wp:positionV>
                <wp:extent cx="1037590" cy="352425"/>
                <wp:effectExtent l="12700" t="584835" r="854710" b="15240"/>
                <wp:wrapNone/>
                <wp:docPr id="117" name="矩形标注 117"/>
                <wp:cNvGraphicFramePr/>
                <a:graphic xmlns:a="http://schemas.openxmlformats.org/drawingml/2006/main">
                  <a:graphicData uri="http://schemas.microsoft.com/office/word/2010/wordprocessingShape">
                    <wps:wsp>
                      <wps:cNvSpPr/>
                      <wps:spPr>
                        <a:xfrm>
                          <a:off x="0" y="0"/>
                          <a:ext cx="1037590" cy="352425"/>
                        </a:xfrm>
                        <a:prstGeom prst="wedgeRectCallout">
                          <a:avLst>
                            <a:gd name="adj1" fmla="val 130416"/>
                            <a:gd name="adj2" fmla="val -212342"/>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704EB8C">
                            <w:pPr>
                              <w:jc w:val="center"/>
                              <w:rPr>
                                <w:rFonts w:hint="default" w:eastAsia="宋体"/>
                                <w:b/>
                                <w:bCs/>
                                <w:color w:val="0000FF"/>
                                <w:sz w:val="21"/>
                                <w:szCs w:val="21"/>
                                <w:lang w:val="en-US" w:eastAsia="zh-CN"/>
                              </w:rPr>
                            </w:pPr>
                            <w:r>
                              <w:rPr>
                                <w:rFonts w:hint="eastAsia"/>
                                <w:b/>
                                <w:bCs/>
                                <w:color w:val="0000FF"/>
                                <w:sz w:val="21"/>
                                <w:szCs w:val="21"/>
                                <w:lang w:val="en-US" w:eastAsia="zh-CN"/>
                              </w:rPr>
                              <w:t>600t/d烘干塔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5.05pt;margin-top:312.55pt;height:27.75pt;width:81.7pt;z-index:251673600;v-text-anchor:middle;mso-width-relative:page;mso-height-relative:page;" filled="f" stroked="t" coordsize="21600,21600" o:gfxdata="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HlDHv3XAAAACwEAAA8AAAAAAAAAAQAgAAAAIgAAAGRycy9kb3ducmV2LnhtbFBLAQIU&#10;ABQAAAAIAIdO4kAVgzvMnwIAACkFAAAOAAAAAAAAAAEAIAAAACYBAABkcnMvZTJvRG9jLnhtbFBL&#10;BQYAAAAABgAGAFkBAAA3BgAAAAA=&#10;" adj="38970,-35066">
                <v:fill on="f" focussize="0,0"/>
                <v:stroke weight="2pt" color="#0000FF [2404]" joinstyle="round"/>
                <v:imagedata o:title=""/>
                <o:lock v:ext="edit" aspectratio="f"/>
                <v:textbox>
                  <w:txbxContent>
                    <w:p w14:paraId="1704EB8C">
                      <w:pPr>
                        <w:jc w:val="center"/>
                        <w:rPr>
                          <w:rFonts w:hint="default" w:eastAsia="宋体"/>
                          <w:b/>
                          <w:bCs/>
                          <w:color w:val="0000FF"/>
                          <w:sz w:val="21"/>
                          <w:szCs w:val="21"/>
                          <w:lang w:val="en-US" w:eastAsia="zh-CN"/>
                        </w:rPr>
                      </w:pPr>
                      <w:r>
                        <w:rPr>
                          <w:rFonts w:hint="eastAsia"/>
                          <w:b/>
                          <w:bCs/>
                          <w:color w:val="0000FF"/>
                          <w:sz w:val="21"/>
                          <w:szCs w:val="21"/>
                          <w:lang w:val="en-US" w:eastAsia="zh-CN"/>
                        </w:rPr>
                        <w:t>600t/d烘干塔</w:t>
                      </w:r>
                    </w:p>
                  </w:txbxContent>
                </v:textbox>
              </v:shape>
            </w:pict>
          </mc:Fallback>
        </mc:AlternateContent>
      </w:r>
      <w:r>
        <w:rPr>
          <w:color w:val="auto"/>
          <w:sz w:val="24"/>
          <w:highlight w:val="none"/>
        </w:rPr>
        <mc:AlternateContent>
          <mc:Choice Requires="wps">
            <w:drawing>
              <wp:anchor distT="0" distB="0" distL="114300" distR="114300" simplePos="0" relativeHeight="251672576" behindDoc="0" locked="0" layoutInCell="1" allowOverlap="1">
                <wp:simplePos x="0" y="0"/>
                <wp:positionH relativeFrom="column">
                  <wp:posOffset>2593975</wp:posOffset>
                </wp:positionH>
                <wp:positionV relativeFrom="paragraph">
                  <wp:posOffset>3325495</wp:posOffset>
                </wp:positionV>
                <wp:extent cx="91440" cy="91440"/>
                <wp:effectExtent l="26670" t="26670" r="34290" b="34290"/>
                <wp:wrapNone/>
                <wp:docPr id="113" name="矩形 113"/>
                <wp:cNvGraphicFramePr/>
                <a:graphic xmlns:a="http://schemas.openxmlformats.org/drawingml/2006/main">
                  <a:graphicData uri="http://schemas.microsoft.com/office/word/2010/wordprocessingShape">
                    <wps:wsp>
                      <wps:cNvSpPr/>
                      <wps:spPr>
                        <a:xfrm rot="20280000">
                          <a:off x="0" y="0"/>
                          <a:ext cx="91440" cy="91440"/>
                        </a:xfrm>
                        <a:prstGeom prst="rect">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4.25pt;margin-top:261.85pt;height:7.2pt;width:7.2pt;rotation:-1441792f;z-index:251672576;v-text-anchor:middle;mso-width-relative:page;mso-height-relative:page;" filled="f" stroked="t" coordsize="21600,21600" o:gfxdata="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UDKk9oAAAALAQAADwAAAAAAAAABACAAAAAiAAAAZHJzL2Rvd25yZXYueG1sUEsBAhQAFAAA&#10;AAgAh07iQCtVAcFfAgAAxAQAAA4AAAAAAAAAAQAgAAAAKQEAAGRycy9lMm9Eb2MueG1sUEsFBgAA&#10;AAAGAAYAWQEAAPoFAAAAAA==&#10;">
                <v:fill on="f" focussize="0,0"/>
                <v:stroke weight="2pt" color="#0000FF [2404]" joinstyle="round"/>
                <v:imagedata o:title=""/>
                <o:lock v:ext="edit" aspectratio="f"/>
              </v:rect>
            </w:pict>
          </mc:Fallback>
        </mc:AlternateContent>
      </w:r>
      <w:r>
        <w:rPr>
          <w:sz w:val="24"/>
        </w:rPr>
        <mc:AlternateContent>
          <mc:Choice Requires="wps">
            <w:drawing>
              <wp:anchor distT="0" distB="0" distL="114300" distR="114300" simplePos="0" relativeHeight="251697152" behindDoc="0" locked="0" layoutInCell="1" allowOverlap="1">
                <wp:simplePos x="0" y="0"/>
                <wp:positionH relativeFrom="column">
                  <wp:posOffset>2489200</wp:posOffset>
                </wp:positionH>
                <wp:positionV relativeFrom="paragraph">
                  <wp:posOffset>3496310</wp:posOffset>
                </wp:positionV>
                <wp:extent cx="295910" cy="171450"/>
                <wp:effectExtent l="34290" t="63500" r="50800" b="69850"/>
                <wp:wrapNone/>
                <wp:docPr id="66" name="矩形 66"/>
                <wp:cNvGraphicFramePr/>
                <a:graphic xmlns:a="http://schemas.openxmlformats.org/drawingml/2006/main">
                  <a:graphicData uri="http://schemas.microsoft.com/office/word/2010/wordprocessingShape">
                    <wps:wsp>
                      <wps:cNvSpPr/>
                      <wps:spPr>
                        <a:xfrm rot="20220000">
                          <a:off x="0" y="0"/>
                          <a:ext cx="295910" cy="171450"/>
                        </a:xfrm>
                        <a:prstGeom prst="rect">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6pt;margin-top:275.3pt;height:13.5pt;width:23.3pt;rotation:-1507328f;z-index:251697152;v-text-anchor:middle;mso-width-relative:page;mso-height-relative:page;" filled="f" stroked="t" coordsize="21600,21600" o:gfxdata="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L0xRrZAAAACwEAAA8AAAAAAAAAAQAgAAAAIgAAAGRycy9kb3ducmV2LnhtbFBL&#10;AQIUABQAAAAIAIdO4kCi4v+pZwIAAMQEAAAOAAAAAAAAAAEAIAAAACgBAABkcnMvZTJvRG9jLnht&#10;bFBLBQYAAAAABgAGAFkBAAABBgAAAAA=&#10;">
                <v:fill on="f" focussize="0,0"/>
                <v:stroke weight="2pt" color="#0000FF [2404]" joinstyle="round"/>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2814955</wp:posOffset>
                </wp:positionH>
                <wp:positionV relativeFrom="paragraph">
                  <wp:posOffset>3415030</wp:posOffset>
                </wp:positionV>
                <wp:extent cx="177800" cy="177800"/>
                <wp:effectExtent l="6350" t="6350" r="6350" b="6350"/>
                <wp:wrapNone/>
                <wp:docPr id="34" name="同心圆 43"/>
                <wp:cNvGraphicFramePr/>
                <a:graphic xmlns:a="http://schemas.openxmlformats.org/drawingml/2006/main">
                  <a:graphicData uri="http://schemas.microsoft.com/office/word/2010/wordprocessingShape">
                    <wps:wsp>
                      <wps:cNvSpPr/>
                      <wps:spPr>
                        <a:xfrm>
                          <a:off x="0" y="0"/>
                          <a:ext cx="177800" cy="177800"/>
                        </a:xfrm>
                        <a:prstGeom prst="donu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同心圆 43" o:spid="_x0000_s1026" o:spt="23" type="#_x0000_t23" style="position:absolute;left:0pt;margin-left:221.65pt;margin-top:268.9pt;height:14pt;width:14pt;z-index:251666432;v-text-anchor:middle;mso-width-relative:page;mso-height-relative:page;" fillcolor="#5B9BD5" filled="t" stroked="t" coordsize="21600,21600" o:gfxdata="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04NRHNoAAAALAQAADwAA&#10;AAAAAAABACAAAAAiAAAAZHJzL2Rvd25yZXYueG1sUEsBAhQAFAAAAAgAh07iQErjgRCGAgAAKAUA&#10;AA4AAAAAAAAAAQAgAAAAKQEAAGRycy9lMm9Eb2MueG1sUEsFBgAAAAAGAAYAWQEAACEGAAAAAA==&#10;" adj="5400">
                <v:fill on="t" focussize="0,0"/>
                <v:stroke weight="1pt" color="#41719C" miterlimit="8" joinstyle="miter"/>
                <v:imagedata o:title=""/>
                <o:lock v:ext="edit" aspectratio="f"/>
              </v:shape>
            </w:pict>
          </mc:Fallback>
        </mc:AlternateContent>
      </w:r>
      <w:r>
        <w:rPr>
          <w:color w:val="auto"/>
          <w:sz w:val="24"/>
          <w:highlight w:val="none"/>
        </w:rPr>
        <mc:AlternateContent>
          <mc:Choice Requires="wps">
            <w:drawing>
              <wp:anchor distT="0" distB="0" distL="114300" distR="114300" simplePos="0" relativeHeight="251699200" behindDoc="0" locked="0" layoutInCell="1" allowOverlap="1">
                <wp:simplePos x="0" y="0"/>
                <wp:positionH relativeFrom="column">
                  <wp:posOffset>4526915</wp:posOffset>
                </wp:positionH>
                <wp:positionV relativeFrom="paragraph">
                  <wp:posOffset>5059680</wp:posOffset>
                </wp:positionV>
                <wp:extent cx="1037590" cy="352425"/>
                <wp:effectExtent l="187325" t="12700" r="13335" b="244475"/>
                <wp:wrapNone/>
                <wp:docPr id="68" name="矩形标注 68"/>
                <wp:cNvGraphicFramePr/>
                <a:graphic xmlns:a="http://schemas.openxmlformats.org/drawingml/2006/main">
                  <a:graphicData uri="http://schemas.microsoft.com/office/word/2010/wordprocessingShape">
                    <wps:wsp>
                      <wps:cNvSpPr/>
                      <wps:spPr>
                        <a:xfrm>
                          <a:off x="0" y="0"/>
                          <a:ext cx="1037590" cy="352425"/>
                        </a:xfrm>
                        <a:prstGeom prst="wedgeRectCallout">
                          <a:avLst>
                            <a:gd name="adj1" fmla="val -66829"/>
                            <a:gd name="adj2" fmla="val 115405"/>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44E39EA">
                            <w:pPr>
                              <w:jc w:val="center"/>
                              <w:rPr>
                                <w:rStyle w:val="174"/>
                                <w:rFonts w:hint="default"/>
                                <w:b/>
                                <w:bCs/>
                                <w:color w:val="0000FF"/>
                                <w:lang w:val="en-US" w:eastAsia="zh-CN"/>
                              </w:rPr>
                            </w:pPr>
                            <w:r>
                              <w:rPr>
                                <w:rStyle w:val="174"/>
                                <w:rFonts w:hint="eastAsia"/>
                                <w:b/>
                                <w:bCs/>
                                <w:color w:val="0000FF"/>
                                <w:lang w:val="en-US" w:eastAsia="zh-CN"/>
                              </w:rPr>
                              <w:t>2</w:t>
                            </w:r>
                            <w:r>
                              <w:rPr>
                                <w:rStyle w:val="174"/>
                                <w:rFonts w:hint="default"/>
                                <w:b/>
                                <w:bCs/>
                                <w:color w:val="0000FF"/>
                                <w:lang w:val="en-US" w:eastAsia="zh-CN"/>
                              </w:rPr>
                              <w:t>#原粮库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56.45pt;margin-top:398.4pt;height:27.75pt;width:81.7pt;z-index:251699200;v-text-anchor:middle;mso-width-relative:page;mso-height-relative:page;" filled="f" stroked="t" coordsize="21600,21600" o:gfxdata="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L40B+tgAAAALAQAADwAAAAAAAAABACAAAAAiAAAAZHJzL2Rvd25yZXYueG1sUEsBAhQA&#10;FAAAAAgAh07iQA6uGKqdAgAAJgUAAA4AAAAAAAAAAQAgAAAAJwEAAGRycy9lMm9Eb2MueG1sUEsF&#10;BgAAAAAGAAYAWQEAADYGAAAAAA==&#10;" adj="-3635,35727">
                <v:fill on="f" focussize="0,0"/>
                <v:stroke weight="2pt" color="#0000FF [2404]" joinstyle="round"/>
                <v:imagedata o:title=""/>
                <o:lock v:ext="edit" aspectratio="f"/>
                <v:textbox>
                  <w:txbxContent>
                    <w:p w14:paraId="344E39EA">
                      <w:pPr>
                        <w:jc w:val="center"/>
                        <w:rPr>
                          <w:rStyle w:val="174"/>
                          <w:rFonts w:hint="default"/>
                          <w:b/>
                          <w:bCs/>
                          <w:color w:val="0000FF"/>
                          <w:lang w:val="en-US" w:eastAsia="zh-CN"/>
                        </w:rPr>
                      </w:pPr>
                      <w:r>
                        <w:rPr>
                          <w:rStyle w:val="174"/>
                          <w:rFonts w:hint="eastAsia"/>
                          <w:b/>
                          <w:bCs/>
                          <w:color w:val="0000FF"/>
                          <w:lang w:val="en-US" w:eastAsia="zh-CN"/>
                        </w:rPr>
                        <w:t>2</w:t>
                      </w:r>
                      <w:r>
                        <w:rPr>
                          <w:rStyle w:val="174"/>
                          <w:rFonts w:hint="default"/>
                          <w:b/>
                          <w:bCs/>
                          <w:color w:val="0000FF"/>
                          <w:lang w:val="en-US" w:eastAsia="zh-CN"/>
                        </w:rPr>
                        <w:t>#原粮库</w:t>
                      </w:r>
                    </w:p>
                  </w:txbxContent>
                </v:textbox>
              </v:shape>
            </w:pict>
          </mc:Fallback>
        </mc:AlternateContent>
      </w:r>
      <w:r>
        <w:rPr>
          <w:color w:val="auto"/>
          <w:sz w:val="24"/>
          <w:highlight w:val="none"/>
        </w:rPr>
        <mc:AlternateContent>
          <mc:Choice Requires="wps">
            <w:drawing>
              <wp:anchor distT="0" distB="0" distL="114300" distR="114300" simplePos="0" relativeHeight="251698176" behindDoc="0" locked="0" layoutInCell="1" allowOverlap="1">
                <wp:simplePos x="0" y="0"/>
                <wp:positionH relativeFrom="column">
                  <wp:posOffset>4265930</wp:posOffset>
                </wp:positionH>
                <wp:positionV relativeFrom="paragraph">
                  <wp:posOffset>3846830</wp:posOffset>
                </wp:positionV>
                <wp:extent cx="1037590" cy="352425"/>
                <wp:effectExtent l="12700" t="12700" r="16510" b="358775"/>
                <wp:wrapNone/>
                <wp:docPr id="67" name="矩形标注 67"/>
                <wp:cNvGraphicFramePr/>
                <a:graphic xmlns:a="http://schemas.openxmlformats.org/drawingml/2006/main">
                  <a:graphicData uri="http://schemas.microsoft.com/office/word/2010/wordprocessingShape">
                    <wps:wsp>
                      <wps:cNvSpPr/>
                      <wps:spPr>
                        <a:xfrm>
                          <a:off x="0" y="0"/>
                          <a:ext cx="1037590" cy="352425"/>
                        </a:xfrm>
                        <a:prstGeom prst="wedgeRectCallout">
                          <a:avLst>
                            <a:gd name="adj1" fmla="val -46695"/>
                            <a:gd name="adj2" fmla="val 144234"/>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B4EA97C">
                            <w:pPr>
                              <w:jc w:val="center"/>
                              <w:rPr>
                                <w:rStyle w:val="174"/>
                                <w:rFonts w:hint="default"/>
                                <w:b/>
                                <w:bCs/>
                                <w:color w:val="0000FF"/>
                                <w:lang w:val="en-US" w:eastAsia="zh-CN"/>
                              </w:rPr>
                            </w:pPr>
                            <w:r>
                              <w:rPr>
                                <w:rFonts w:hint="default"/>
                                <w:b/>
                                <w:bCs/>
                                <w:color w:val="0000FF"/>
                                <w:lang w:val="en-US" w:eastAsia="zh-CN"/>
                              </w:rPr>
                              <w:t>1</w:t>
                            </w:r>
                            <w:r>
                              <w:rPr>
                                <w:rStyle w:val="174"/>
                                <w:rFonts w:hint="default"/>
                                <w:b/>
                                <w:bCs/>
                                <w:color w:val="0000FF"/>
                                <w:lang w:val="en-US" w:eastAsia="zh-CN"/>
                              </w:rPr>
                              <w:t>#原粮库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35.9pt;margin-top:302.9pt;height:27.75pt;width:81.7pt;z-index:251698176;v-text-anchor:middle;mso-width-relative:page;mso-height-relative:page;" filled="f" stroked="t" coordsize="21600,21600" o:gfxdata="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psg3PYAAAACwEAAA8AAAAAAAAAAQAgAAAAIgAAAGRycy9kb3ducmV2LnhtbFBLAQIU&#10;ABQAAAAIAIdO4kC5Mjl+ngIAACYFAAAOAAAAAAAAAAEAIAAAACcBAABkcnMvZTJvRG9jLnhtbFBL&#10;BQYAAAAABgAGAFkBAAA3BgAAAAA=&#10;" adj="714,41955">
                <v:fill on="f" focussize="0,0"/>
                <v:stroke weight="2pt" color="#0000FF [2404]" joinstyle="round"/>
                <v:imagedata o:title=""/>
                <o:lock v:ext="edit" aspectratio="f"/>
                <v:textbox>
                  <w:txbxContent>
                    <w:p w14:paraId="2B4EA97C">
                      <w:pPr>
                        <w:jc w:val="center"/>
                        <w:rPr>
                          <w:rStyle w:val="174"/>
                          <w:rFonts w:hint="default"/>
                          <w:b/>
                          <w:bCs/>
                          <w:color w:val="0000FF"/>
                          <w:lang w:val="en-US" w:eastAsia="zh-CN"/>
                        </w:rPr>
                      </w:pPr>
                      <w:r>
                        <w:rPr>
                          <w:rFonts w:hint="default"/>
                          <w:b/>
                          <w:bCs/>
                          <w:color w:val="0000FF"/>
                          <w:lang w:val="en-US" w:eastAsia="zh-CN"/>
                        </w:rPr>
                        <w:t>1</w:t>
                      </w:r>
                      <w:r>
                        <w:rPr>
                          <w:rStyle w:val="174"/>
                          <w:rFonts w:hint="default"/>
                          <w:b/>
                          <w:bCs/>
                          <w:color w:val="0000FF"/>
                          <w:lang w:val="en-US" w:eastAsia="zh-CN"/>
                        </w:rPr>
                        <w:t>#原粮库</w:t>
                      </w:r>
                    </w:p>
                  </w:txbxContent>
                </v:textbox>
              </v:shape>
            </w:pict>
          </mc:Fallback>
        </mc:AlternateContent>
      </w:r>
      <w:r>
        <w:rPr>
          <w:sz w:val="24"/>
        </w:rPr>
        <mc:AlternateContent>
          <mc:Choice Requires="wps">
            <w:drawing>
              <wp:anchor distT="0" distB="0" distL="114300" distR="114300" simplePos="0" relativeHeight="251696128" behindDoc="0" locked="0" layoutInCell="1" allowOverlap="1">
                <wp:simplePos x="0" y="0"/>
                <wp:positionH relativeFrom="column">
                  <wp:posOffset>3557270</wp:posOffset>
                </wp:positionH>
                <wp:positionV relativeFrom="paragraph">
                  <wp:posOffset>4932045</wp:posOffset>
                </wp:positionV>
                <wp:extent cx="871220" cy="1267460"/>
                <wp:effectExtent l="12700" t="12700" r="30480" b="15240"/>
                <wp:wrapNone/>
                <wp:docPr id="65" name="任意多边形 65"/>
                <wp:cNvGraphicFramePr/>
                <a:graphic xmlns:a="http://schemas.openxmlformats.org/drawingml/2006/main">
                  <a:graphicData uri="http://schemas.microsoft.com/office/word/2010/wordprocessingShape">
                    <wps:wsp>
                      <wps:cNvSpPr/>
                      <wps:spPr>
                        <a:xfrm>
                          <a:off x="4412615" y="7720965"/>
                          <a:ext cx="871220" cy="1267460"/>
                        </a:xfrm>
                        <a:custGeom>
                          <a:avLst/>
                          <a:gdLst>
                            <a:gd name="connisteX0" fmla="*/ 0 w 977900"/>
                            <a:gd name="connsiteY0" fmla="*/ 327660 h 1331595"/>
                            <a:gd name="connisteX1" fmla="*/ 977900 w 977900"/>
                            <a:gd name="connsiteY1" fmla="*/ 0 h 1331595"/>
                            <a:gd name="connisteX2" fmla="*/ 796925 w 977900"/>
                            <a:gd name="connsiteY2" fmla="*/ 1181100 h 1331595"/>
                            <a:gd name="connisteX3" fmla="*/ 383540 w 977900"/>
                            <a:gd name="connsiteY3" fmla="*/ 1331595 h 1331595"/>
                            <a:gd name="connisteX4" fmla="*/ 0 w 977900"/>
                            <a:gd name="connsiteY4" fmla="*/ 327660 h 133159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77900" h="1331595">
                              <a:moveTo>
                                <a:pt x="0" y="327660"/>
                              </a:moveTo>
                              <a:lnTo>
                                <a:pt x="977900" y="0"/>
                              </a:lnTo>
                              <a:lnTo>
                                <a:pt x="796925" y="1181100"/>
                              </a:lnTo>
                              <a:lnTo>
                                <a:pt x="383540" y="1331595"/>
                              </a:lnTo>
                              <a:lnTo>
                                <a:pt x="0" y="327660"/>
                              </a:lnTo>
                              <a:close/>
                            </a:path>
                          </a:pathLst>
                        </a:cu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80.1pt;margin-top:388.35pt;height:99.8pt;width:68.6pt;z-index:251696128;mso-width-relative:page;mso-height-relative:page;" filled="f" stroked="t" coordsize="977900,1331595" o:gfxdata="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AZIlwf2wAAAAsBAAAPAAAAAAAAAAEAIAAAACIAAABkcnMv&#10;ZG93bnJldi54bWxQSwECFAAUAAAACACHTuJA1+3r3R0DAABCCAAADgAAAAAAAAABACAAAAAqAQAA&#10;ZHJzL2Uyb0RvYy54bWxQSwUGAAAAAAYABgBZAQAAuQYAAAAA&#10;" path="m0,327660l977900,0,796925,1181100,383540,1331595,0,327660xe">
                <v:path o:connectlocs="0,311878;871220,0;709987,1124213;341699,1267460;0,311878" o:connectangles="0,0,0,0,0"/>
                <v:fill on="f" focussize="0,0"/>
                <v:stroke weight="2pt" color="#0000FF [2404]" joinstyle="round"/>
                <v:imagedata o:title=""/>
                <o:lock v:ext="edit" aspectratio="f"/>
              </v:shape>
            </w:pict>
          </mc:Fallback>
        </mc:AlternateContent>
      </w:r>
      <w:r>
        <w:rPr>
          <w:sz w:val="24"/>
        </w:rPr>
        <mc:AlternateContent>
          <mc:Choice Requires="wps">
            <w:drawing>
              <wp:anchor distT="0" distB="0" distL="114300" distR="114300" simplePos="0" relativeHeight="251695104" behindDoc="0" locked="0" layoutInCell="1" allowOverlap="1">
                <wp:simplePos x="0" y="0"/>
                <wp:positionH relativeFrom="column">
                  <wp:posOffset>3860800</wp:posOffset>
                </wp:positionH>
                <wp:positionV relativeFrom="paragraph">
                  <wp:posOffset>4224020</wp:posOffset>
                </wp:positionV>
                <wp:extent cx="424815" cy="777875"/>
                <wp:effectExtent l="132715" t="61595" r="147320" b="74930"/>
                <wp:wrapNone/>
                <wp:docPr id="57" name="矩形 57"/>
                <wp:cNvGraphicFramePr/>
                <a:graphic xmlns:a="http://schemas.openxmlformats.org/drawingml/2006/main">
                  <a:graphicData uri="http://schemas.microsoft.com/office/word/2010/wordprocessingShape">
                    <wps:wsp>
                      <wps:cNvSpPr/>
                      <wps:spPr>
                        <a:xfrm rot="20400000">
                          <a:off x="0" y="0"/>
                          <a:ext cx="424815" cy="777875"/>
                        </a:xfrm>
                        <a:prstGeom prst="rect">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4pt;margin-top:332.6pt;height:61.25pt;width:33.45pt;rotation:-1310720f;z-index:251695104;v-text-anchor:middle;mso-width-relative:page;mso-height-relative:page;" filled="f" stroked="t" coordsize="21600,21600" o:gfxdata="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rlNBXcAAAACwEAAA8AAAAAAAAAAQAgAAAAIgAAAGRycy9kb3ducmV2LnhtbFBL&#10;AQIUABQAAAAIAIdO4kAsU7pXZAIAAMQEAAAOAAAAAAAAAAEAIAAAACsBAABkcnMvZTJvRG9jLnht&#10;bFBLBQYAAAAABgAGAFkBAAABBgAAAAA=&#10;">
                <v:fill on="f" focussize="0,0"/>
                <v:stroke weight="2pt" color="#0000FF [2404]" joinstyle="round"/>
                <v:imagedata o:title=""/>
                <o:lock v:ext="edit" aspectratio="f"/>
              </v:rect>
            </w:pict>
          </mc:Fallback>
        </mc:AlternateContent>
      </w:r>
      <w:r>
        <w:rPr>
          <w:sz w:val="24"/>
        </w:rPr>
        <mc:AlternateContent>
          <mc:Choice Requires="wps">
            <w:drawing>
              <wp:anchor distT="0" distB="0" distL="114300" distR="114300" simplePos="0" relativeHeight="251677696" behindDoc="0" locked="0" layoutInCell="1" allowOverlap="1">
                <wp:simplePos x="0" y="0"/>
                <wp:positionH relativeFrom="column">
                  <wp:posOffset>1206500</wp:posOffset>
                </wp:positionH>
                <wp:positionV relativeFrom="paragraph">
                  <wp:posOffset>224790</wp:posOffset>
                </wp:positionV>
                <wp:extent cx="78105" cy="76200"/>
                <wp:effectExtent l="24130" t="24765" r="31115" b="32385"/>
                <wp:wrapNone/>
                <wp:docPr id="64" name="矩形 64"/>
                <wp:cNvGraphicFramePr/>
                <a:graphic xmlns:a="http://schemas.openxmlformats.org/drawingml/2006/main">
                  <a:graphicData uri="http://schemas.microsoft.com/office/word/2010/wordprocessingShape">
                    <wps:wsp>
                      <wps:cNvSpPr/>
                      <wps:spPr>
                        <a:xfrm rot="20280000" flipH="1">
                          <a:off x="2411095" y="3399790"/>
                          <a:ext cx="78105" cy="76200"/>
                        </a:xfrm>
                        <a:prstGeom prst="rect">
                          <a:avLst/>
                        </a:prstGeom>
                        <a:no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95pt;margin-top:17.7pt;height:6pt;width:6.15pt;rotation:1441792f;z-index:251677696;v-text-anchor:middle;mso-width-relative:page;mso-height-relative:page;" filled="f" stroked="t" coordsize="21600,21600" o:gfxdata="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&#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E2i9S1wAAAAkBAAAPAAAAAAAAAAEAIAAAACIAAABk&#10;cnMvZG93bnJldi54bWxQSwECFAAUAAAACACHTuJAc7kOZHkCAADYBAAADgAAAAAAAAABACAAAAAm&#10;AQAAZHJzL2Uyb0RvYy54bWxQSwUGAAAAAAYABgBZAQAAEQYAAAAA&#10;">
                <v:fill on="f" focussize="0,0"/>
                <v:stroke weight="2pt" color="#FFC000 [2404]" joinstyle="round"/>
                <v:imagedata o:title=""/>
                <o:lock v:ext="edit" aspectratio="f"/>
              </v:rect>
            </w:pict>
          </mc:Fallback>
        </mc:AlternateContent>
      </w:r>
      <w:r>
        <w:rPr>
          <w:sz w:val="24"/>
        </w:rPr>
        <mc:AlternateContent>
          <mc:Choice Requires="wps">
            <w:drawing>
              <wp:anchor distT="0" distB="0" distL="114300" distR="114300" simplePos="0" relativeHeight="251692032" behindDoc="0" locked="0" layoutInCell="1" allowOverlap="1">
                <wp:simplePos x="0" y="0"/>
                <wp:positionH relativeFrom="column">
                  <wp:posOffset>1330960</wp:posOffset>
                </wp:positionH>
                <wp:positionV relativeFrom="paragraph">
                  <wp:posOffset>42545</wp:posOffset>
                </wp:positionV>
                <wp:extent cx="697865" cy="407035"/>
                <wp:effectExtent l="64770" t="132715" r="75565" b="146050"/>
                <wp:wrapNone/>
                <wp:docPr id="52" name="矩形 52"/>
                <wp:cNvGraphicFramePr/>
                <a:graphic xmlns:a="http://schemas.openxmlformats.org/drawingml/2006/main">
                  <a:graphicData uri="http://schemas.microsoft.com/office/word/2010/wordprocessingShape">
                    <wps:wsp>
                      <wps:cNvSpPr/>
                      <wps:spPr>
                        <a:xfrm rot="20220000">
                          <a:off x="2125345" y="3159125"/>
                          <a:ext cx="697865" cy="407035"/>
                        </a:xfrm>
                        <a:prstGeom prst="rect">
                          <a:avLst/>
                        </a:prstGeom>
                        <a:noFill/>
                        <a:ln>
                          <a:solidFill>
                            <a:srgbClr val="0000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8pt;margin-top:3.35pt;height:32.05pt;width:54.95pt;rotation:-1507328f;z-index:251692032;v-text-anchor:middle;mso-width-relative:page;mso-height-relative:page;" filled="f" stroked="t" coordsize="21600,21600" o:gfxdata="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1AeVL1wAAAAgBAAAPAAAAAAAAAAEAIAAAACIAAABkcnMvZG93&#10;bnJldi54bWxQSwECFAAUAAAACACHTuJAMj6I1nMCAADQBAAADgAAAAAAAAABACAAAAAmAQAAZHJz&#10;L2Uyb0RvYy54bWxQSwUGAAAAAAYABgBZAQAACwYAAAAA&#10;">
                <v:fill on="f" focussize="0,0"/>
                <v:stroke weight="2pt" color="#0000FF [2404]" joinstyle="round"/>
                <v:imagedata o:title=""/>
                <o:lock v:ext="edit" aspectratio="f"/>
              </v:rect>
            </w:pict>
          </mc:Fallback>
        </mc:AlternateContent>
      </w:r>
      <w:r>
        <w:rPr>
          <w:sz w:val="24"/>
          <w:highlight w:val="none"/>
        </w:rPr>
        <mc:AlternateContent>
          <mc:Choice Requires="wpg">
            <w:drawing>
              <wp:anchor distT="0" distB="0" distL="114300" distR="114300" simplePos="0" relativeHeight="251679744" behindDoc="0" locked="0" layoutInCell="1" allowOverlap="1">
                <wp:simplePos x="0" y="0"/>
                <wp:positionH relativeFrom="column">
                  <wp:posOffset>6515735</wp:posOffset>
                </wp:positionH>
                <wp:positionV relativeFrom="paragraph">
                  <wp:posOffset>1421130</wp:posOffset>
                </wp:positionV>
                <wp:extent cx="1930400" cy="1593215"/>
                <wp:effectExtent l="4445" t="4445" r="8255" b="21590"/>
                <wp:wrapNone/>
                <wp:docPr id="31" name="组合 31"/>
                <wp:cNvGraphicFramePr/>
                <a:graphic xmlns:a="http://schemas.openxmlformats.org/drawingml/2006/main">
                  <a:graphicData uri="http://schemas.microsoft.com/office/word/2010/wordprocessingGroup">
                    <wpg:wgp>
                      <wpg:cNvGrpSpPr/>
                      <wpg:grpSpPr>
                        <a:xfrm>
                          <a:off x="0" y="0"/>
                          <a:ext cx="1930400" cy="1593215"/>
                          <a:chOff x="14537" y="1089726"/>
                          <a:chExt cx="3040" cy="2509"/>
                        </a:xfrm>
                      </wpg:grpSpPr>
                      <wps:wsp>
                        <wps:cNvPr id="8" name="文本框 59"/>
                        <wps:cNvSpPr txBox="1"/>
                        <wps:spPr>
                          <a:xfrm>
                            <a:off x="14537" y="1089726"/>
                            <a:ext cx="3040" cy="2509"/>
                          </a:xfrm>
                          <a:prstGeom prst="rect">
                            <a:avLst/>
                          </a:prstGeom>
                          <a:solidFill>
                            <a:sysClr val="window" lastClr="FFFFFF"/>
                          </a:solidFill>
                          <a:ln w="6350">
                            <a:solidFill>
                              <a:schemeClr val="tx1"/>
                            </a:solidFill>
                          </a:ln>
                          <a:effectLst/>
                        </wps:spPr>
                        <wps:txbx>
                          <w:txbxContent>
                            <w:p w14:paraId="3139D909">
                              <w:pPr>
                                <w:jc w:val="center"/>
                                <w:rPr>
                                  <w:b/>
                                  <w:bCs/>
                                </w:rPr>
                              </w:pPr>
                              <w:r>
                                <w:rPr>
                                  <w:rFonts w:hint="eastAsia"/>
                                  <w:b/>
                                  <w:bCs/>
                                </w:rPr>
                                <w:t>图  例</w:t>
                              </w:r>
                            </w:p>
                            <w:p w14:paraId="4D831852">
                              <w:pPr>
                                <w:pStyle w:val="46"/>
                                <w:keepNext w:val="0"/>
                                <w:keepLines w:val="0"/>
                                <w:pageBreakBefore w:val="0"/>
                                <w:widowControl w:val="0"/>
                                <w:kinsoku/>
                                <w:wordWrap w:val="0"/>
                                <w:overflowPunct/>
                                <w:topLinePunct/>
                                <w:bidi w:val="0"/>
                                <w:adjustRightInd/>
                                <w:snapToGrid/>
                                <w:ind w:firstLine="0" w:firstLineChars="0"/>
                                <w:textAlignment w:val="auto"/>
                              </w:pPr>
                              <w:r>
                                <w:rPr>
                                  <w:rFonts w:hint="eastAsia"/>
                                </w:rPr>
                                <w:t>厂      界</w:t>
                              </w:r>
                            </w:p>
                            <w:p w14:paraId="2AC17B83">
                              <w:pPr>
                                <w:pStyle w:val="46"/>
                                <w:keepNext w:val="0"/>
                                <w:keepLines w:val="0"/>
                                <w:pageBreakBefore w:val="0"/>
                                <w:widowControl w:val="0"/>
                                <w:kinsoku/>
                                <w:wordWrap w:val="0"/>
                                <w:overflowPunct/>
                                <w:topLinePunct/>
                                <w:bidi w:val="0"/>
                                <w:adjustRightInd/>
                                <w:snapToGrid/>
                                <w:ind w:firstLine="0" w:firstLineChars="0"/>
                                <w:textAlignment w:val="auto"/>
                              </w:pPr>
                              <w:r>
                                <w:rPr>
                                  <w:rFonts w:hint="eastAsia"/>
                                </w:rPr>
                                <w:t>排</w:t>
                              </w:r>
                              <w:r>
                                <w:rPr>
                                  <w:rFonts w:hint="eastAsia"/>
                                  <w:lang w:val="en-US" w:eastAsia="zh-CN"/>
                                </w:rPr>
                                <w:t xml:space="preserve">  </w:t>
                              </w:r>
                              <w:r>
                                <w:rPr>
                                  <w:rFonts w:hint="eastAsia"/>
                                </w:rPr>
                                <w:t>气</w:t>
                              </w:r>
                              <w:r>
                                <w:rPr>
                                  <w:rFonts w:hint="eastAsia"/>
                                  <w:lang w:val="en-US" w:eastAsia="zh-CN"/>
                                </w:rPr>
                                <w:t xml:space="preserve">  </w:t>
                              </w:r>
                              <w:r>
                                <w:rPr>
                                  <w:rFonts w:hint="eastAsia"/>
                                </w:rPr>
                                <w:t>筒</w:t>
                              </w:r>
                            </w:p>
                            <w:p w14:paraId="2E66255E">
                              <w:pPr>
                                <w:pStyle w:val="46"/>
                                <w:keepNext w:val="0"/>
                                <w:keepLines w:val="0"/>
                                <w:pageBreakBefore w:val="0"/>
                                <w:widowControl w:val="0"/>
                                <w:kinsoku/>
                                <w:wordWrap w:val="0"/>
                                <w:overflowPunct/>
                                <w:topLinePunct/>
                                <w:bidi w:val="0"/>
                                <w:adjustRightInd/>
                                <w:snapToGrid/>
                                <w:ind w:firstLine="0" w:firstLineChars="0"/>
                                <w:textAlignment w:val="auto"/>
                                <w:rPr>
                                  <w:rFonts w:hint="eastAsia"/>
                                  <w:lang w:val="en-US" w:eastAsia="zh-CN"/>
                                </w:rPr>
                              </w:pPr>
                              <w:r>
                                <w:rPr>
                                  <w:rFonts w:hint="eastAsia"/>
                                  <w:lang w:val="en-US" w:eastAsia="zh-CN"/>
                                </w:rPr>
                                <w:t>简单防渗区</w:t>
                              </w:r>
                            </w:p>
                            <w:p w14:paraId="64F32238">
                              <w:pPr>
                                <w:pStyle w:val="46"/>
                                <w:keepNext w:val="0"/>
                                <w:keepLines w:val="0"/>
                                <w:pageBreakBefore w:val="0"/>
                                <w:widowControl w:val="0"/>
                                <w:kinsoku/>
                                <w:wordWrap w:val="0"/>
                                <w:overflowPunct/>
                                <w:topLinePunct/>
                                <w:bidi w:val="0"/>
                                <w:adjustRightInd/>
                                <w:snapToGrid/>
                                <w:ind w:firstLine="0" w:firstLineChars="0"/>
                                <w:textAlignment w:val="auto"/>
                                <w:rPr>
                                  <w:rFonts w:hint="default"/>
                                  <w:lang w:val="en-US"/>
                                </w:rPr>
                              </w:pPr>
                              <w:r>
                                <w:rPr>
                                  <w:rFonts w:hint="eastAsia"/>
                                  <w:lang w:val="en-US" w:eastAsia="zh-CN"/>
                                </w:rPr>
                                <w:t>一般防渗区</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5" name="组合 35"/>
                        <wpg:cNvGrpSpPr/>
                        <wpg:grpSpPr>
                          <a:xfrm>
                            <a:off x="16411" y="1090300"/>
                            <a:ext cx="917" cy="1728"/>
                            <a:chOff x="16411" y="1090300"/>
                            <a:chExt cx="917" cy="1728"/>
                          </a:xfrm>
                        </wpg:grpSpPr>
                        <wpg:grpSp>
                          <wpg:cNvPr id="36" name="组合 58"/>
                          <wpg:cNvGrpSpPr/>
                          <wpg:grpSpPr>
                            <a:xfrm rot="0">
                              <a:off x="16411" y="1090300"/>
                              <a:ext cx="795" cy="1211"/>
                              <a:chOff x="19477" y="908617"/>
                              <a:chExt cx="795" cy="1211"/>
                            </a:xfrm>
                          </wpg:grpSpPr>
                          <wps:wsp>
                            <wps:cNvPr id="60" name="矩形 60"/>
                            <wps:cNvSpPr/>
                            <wps:spPr>
                              <a:xfrm>
                                <a:off x="19477" y="908617"/>
                                <a:ext cx="795" cy="309"/>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62" name="同心圆 62"/>
                            <wps:cNvSpPr/>
                            <wps:spPr>
                              <a:xfrm>
                                <a:off x="19729" y="909086"/>
                                <a:ext cx="290" cy="280"/>
                              </a:xfrm>
                              <a:prstGeom prst="donu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61" name="矩形 57"/>
                            <wps:cNvSpPr/>
                            <wps:spPr>
                              <a:xfrm>
                                <a:off x="19492" y="909519"/>
                                <a:ext cx="397" cy="309"/>
                              </a:xfrm>
                              <a:prstGeom prst="rect">
                                <a:avLst/>
                              </a:prstGeom>
                              <a:solidFill>
                                <a:schemeClr val="bg1"/>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g:grpSp>
                        <wps:wsp>
                          <wps:cNvPr id="39" name="矩形 83"/>
                          <wps:cNvSpPr/>
                          <wps:spPr>
                            <a:xfrm>
                              <a:off x="16931" y="1091203"/>
                              <a:ext cx="397" cy="312"/>
                            </a:xfrm>
                            <a:prstGeom prst="rect">
                              <a:avLst/>
                            </a:prstGeom>
                            <a:noFill/>
                            <a:ln>
                              <a:solidFill>
                                <a:srgbClr val="0101FF"/>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5" name="矩形 55"/>
                          <wps:cNvSpPr/>
                          <wps:spPr>
                            <a:xfrm>
                              <a:off x="16436" y="1091698"/>
                              <a:ext cx="735" cy="330"/>
                            </a:xfrm>
                            <a:prstGeom prst="rect">
                              <a:avLst/>
                            </a:prstGeom>
                            <a:no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_x0000_s1026" o:spid="_x0000_s1026" o:spt="203" style="position:absolute;left:0pt;margin-left:513.05pt;margin-top:111.9pt;height:125.45pt;width:152pt;z-index:251679744;mso-width-relative:page;mso-height-relative:page;" coordorigin="14537,1089726" coordsize="3040,2509" o:gfxdata="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">
                <o:lock v:ext="edit" aspectratio="f"/>
                <v:shape id="文本框 59" o:spid="_x0000_s1026" o:spt="202" type="#_x0000_t202" style="position:absolute;left:14537;top:1089726;height:2509;width:3040;" fillcolor="#FFFFFF" filled="t" stroked="t"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fill on="t" focussize="0,0"/>
                  <v:stroke weight="0.5pt" color="#000000 [3213]" joinstyle="round"/>
                  <v:imagedata o:title=""/>
                  <o:lock v:ext="edit" aspectratio="f"/>
                  <v:textbox>
                    <w:txbxContent>
                      <w:p w14:paraId="3139D909">
                        <w:pPr>
                          <w:jc w:val="center"/>
                          <w:rPr>
                            <w:b/>
                            <w:bCs/>
                          </w:rPr>
                        </w:pPr>
                        <w:r>
                          <w:rPr>
                            <w:rFonts w:hint="eastAsia"/>
                            <w:b/>
                            <w:bCs/>
                          </w:rPr>
                          <w:t>图  例</w:t>
                        </w:r>
                      </w:p>
                      <w:p w14:paraId="4D831852">
                        <w:pPr>
                          <w:pStyle w:val="46"/>
                          <w:keepNext w:val="0"/>
                          <w:keepLines w:val="0"/>
                          <w:pageBreakBefore w:val="0"/>
                          <w:widowControl w:val="0"/>
                          <w:kinsoku/>
                          <w:wordWrap w:val="0"/>
                          <w:overflowPunct/>
                          <w:topLinePunct/>
                          <w:bidi w:val="0"/>
                          <w:adjustRightInd/>
                          <w:snapToGrid/>
                          <w:ind w:firstLine="0" w:firstLineChars="0"/>
                          <w:textAlignment w:val="auto"/>
                        </w:pPr>
                        <w:r>
                          <w:rPr>
                            <w:rFonts w:hint="eastAsia"/>
                          </w:rPr>
                          <w:t>厂      界</w:t>
                        </w:r>
                      </w:p>
                      <w:p w14:paraId="2AC17B83">
                        <w:pPr>
                          <w:pStyle w:val="46"/>
                          <w:keepNext w:val="0"/>
                          <w:keepLines w:val="0"/>
                          <w:pageBreakBefore w:val="0"/>
                          <w:widowControl w:val="0"/>
                          <w:kinsoku/>
                          <w:wordWrap w:val="0"/>
                          <w:overflowPunct/>
                          <w:topLinePunct/>
                          <w:bidi w:val="0"/>
                          <w:adjustRightInd/>
                          <w:snapToGrid/>
                          <w:ind w:firstLine="0" w:firstLineChars="0"/>
                          <w:textAlignment w:val="auto"/>
                        </w:pPr>
                        <w:r>
                          <w:rPr>
                            <w:rFonts w:hint="eastAsia"/>
                          </w:rPr>
                          <w:t>排</w:t>
                        </w:r>
                        <w:r>
                          <w:rPr>
                            <w:rFonts w:hint="eastAsia"/>
                            <w:lang w:val="en-US" w:eastAsia="zh-CN"/>
                          </w:rPr>
                          <w:t xml:space="preserve">  </w:t>
                        </w:r>
                        <w:r>
                          <w:rPr>
                            <w:rFonts w:hint="eastAsia"/>
                          </w:rPr>
                          <w:t>气</w:t>
                        </w:r>
                        <w:r>
                          <w:rPr>
                            <w:rFonts w:hint="eastAsia"/>
                            <w:lang w:val="en-US" w:eastAsia="zh-CN"/>
                          </w:rPr>
                          <w:t xml:space="preserve">  </w:t>
                        </w:r>
                        <w:r>
                          <w:rPr>
                            <w:rFonts w:hint="eastAsia"/>
                          </w:rPr>
                          <w:t>筒</w:t>
                        </w:r>
                      </w:p>
                      <w:p w14:paraId="2E66255E">
                        <w:pPr>
                          <w:pStyle w:val="46"/>
                          <w:keepNext w:val="0"/>
                          <w:keepLines w:val="0"/>
                          <w:pageBreakBefore w:val="0"/>
                          <w:widowControl w:val="0"/>
                          <w:kinsoku/>
                          <w:wordWrap w:val="0"/>
                          <w:overflowPunct/>
                          <w:topLinePunct/>
                          <w:bidi w:val="0"/>
                          <w:adjustRightInd/>
                          <w:snapToGrid/>
                          <w:ind w:firstLine="0" w:firstLineChars="0"/>
                          <w:textAlignment w:val="auto"/>
                          <w:rPr>
                            <w:rFonts w:hint="eastAsia"/>
                            <w:lang w:val="en-US" w:eastAsia="zh-CN"/>
                          </w:rPr>
                        </w:pPr>
                        <w:r>
                          <w:rPr>
                            <w:rFonts w:hint="eastAsia"/>
                            <w:lang w:val="en-US" w:eastAsia="zh-CN"/>
                          </w:rPr>
                          <w:t>简单防渗区</w:t>
                        </w:r>
                      </w:p>
                      <w:p w14:paraId="64F32238">
                        <w:pPr>
                          <w:pStyle w:val="46"/>
                          <w:keepNext w:val="0"/>
                          <w:keepLines w:val="0"/>
                          <w:pageBreakBefore w:val="0"/>
                          <w:widowControl w:val="0"/>
                          <w:kinsoku/>
                          <w:wordWrap w:val="0"/>
                          <w:overflowPunct/>
                          <w:topLinePunct/>
                          <w:bidi w:val="0"/>
                          <w:adjustRightInd/>
                          <w:snapToGrid/>
                          <w:ind w:firstLine="0" w:firstLineChars="0"/>
                          <w:textAlignment w:val="auto"/>
                          <w:rPr>
                            <w:rFonts w:hint="default"/>
                            <w:lang w:val="en-US"/>
                          </w:rPr>
                        </w:pPr>
                        <w:r>
                          <w:rPr>
                            <w:rFonts w:hint="eastAsia"/>
                            <w:lang w:val="en-US" w:eastAsia="zh-CN"/>
                          </w:rPr>
                          <w:t>一般防渗区</w:t>
                        </w:r>
                      </w:p>
                    </w:txbxContent>
                  </v:textbox>
                </v:shape>
                <v:group id="_x0000_s1026" o:spid="_x0000_s1026" o:spt="203" style="position:absolute;left:16411;top:1090300;height:1728;width:917;" coordorigin="16411,1090300" coordsize="917,1728"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group id="组合 58" o:spid="_x0000_s1026" o:spt="203" style="position:absolute;left:16411;top:1090300;height:1211;width:795;" coordorigin="19477,908617" coordsize="795,1211"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rect id="_x0000_s1026" o:spid="_x0000_s1026" o:spt="1" style="position:absolute;left:19477;top:908617;height:309;width:795;v-text-anchor:middle;" filled="f" stroked="t" coordsize="21600,21600" o:gfxdata="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EnHfbsAAADb&#10;AAAADwAAAAAAAAABACAAAAAiAAAAZHJzL2Rvd25yZXYueG1sUEsBAhQAFAAAAAgAh07iQDMvBZ47&#10;AAAAOQAAABAAAAAAAAAAAQAgAAAACgEAAGRycy9zaGFwZXhtbC54bWxQSwUGAAAAAAYABgBbAQAA&#10;tAMAAAAA&#10;">
                      <v:fill on="f" focussize="0,0"/>
                      <v:stroke weight="1pt" color="#FF0000" miterlimit="8" joinstyle="miter"/>
                      <v:imagedata o:title=""/>
                      <o:lock v:ext="edit" aspectratio="f"/>
                    </v:rect>
                    <v:shape id="_x0000_s1026" o:spid="_x0000_s1026" o:spt="23" type="#_x0000_t23" style="position:absolute;left:19729;top:909086;height:280;width:290;v-text-anchor:middle;" fillcolor="#5B9BD5" filled="t" stroked="t" coordsize="21600,21600" o:gfxdata="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PSA9a5AAAA2wAA&#10;AA8AAAAAAAAAAQAgAAAAIgAAAGRycy9kb3ducmV2LnhtbFBLAQIUABQAAAAIAIdO4kAzLwWeOwAA&#10;ADkAAAAQAAAAAAAAAAEAIAAAAAgBAABkcnMvc2hhcGV4bWwueG1sUEsFBgAAAAAGAAYAWwEAALID&#10;AAAAAA==&#10;" adj="5213">
                      <v:fill on="t" focussize="0,0"/>
                      <v:stroke weight="1pt" color="#41719C" miterlimit="8" joinstyle="miter"/>
                      <v:imagedata o:title=""/>
                      <o:lock v:ext="edit" aspectratio="f"/>
                    </v:shape>
                    <v:rect id="矩形 57" o:spid="_x0000_s1026" o:spt="1" style="position:absolute;left:19492;top:909519;height:309;width:397;v-text-anchor:middle;" fillcolor="#FFFFFF [3212]" filled="t" stroked="t" coordsize="21600,21600" o:gfxdata="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0TKkvQAA&#10;ANsAAAAPAAAAAAAAAAEAIAAAACIAAABkcnMvZG93bnJldi54bWxQSwECFAAUAAAACACHTuJAMy8F&#10;njsAAAA5AAAAEAAAAAAAAAABACAAAAAMAQAAZHJzL3NoYXBleG1sLnhtbFBLBQYAAAAABgAGAFsB&#10;AAC2AwAAAAA=&#10;">
                      <v:fill on="t" focussize="0,0"/>
                      <v:stroke weight="1pt" color="#FF0000" miterlimit="8" joinstyle="miter"/>
                      <v:imagedata o:title=""/>
                      <o:lock v:ext="edit" aspectratio="f"/>
                    </v:rect>
                  </v:group>
                  <v:rect id="矩形 83" o:spid="_x0000_s1026" o:spt="1" style="position:absolute;left:16931;top:1091203;height:312;width:397;v-text-anchor:middle;" filled="f" stroked="t" coordsize="21600,21600" o:gfxdata="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5LfrsAAADb&#10;AAAADwAAAAAAAAABACAAAAAiAAAAZHJzL2Rvd25yZXYueG1sUEsBAhQAFAAAAAgAh07iQDMvBZ47&#10;AAAAOQAAABAAAAAAAAAAAQAgAAAACgEAAGRycy9zaGFwZXhtbC54bWxQSwUGAAAAAAYABgBbAQAA&#10;tAMAAAAA&#10;">
                    <v:fill on="f" focussize="0,0"/>
                    <v:stroke weight="2pt" color="#0101FF [2404]" joinstyle="round"/>
                    <v:imagedata o:title=""/>
                    <o:lock v:ext="edit" aspectratio="f"/>
                  </v:rect>
                  <v:rect id="_x0000_s1026" o:spid="_x0000_s1026" o:spt="1" style="position:absolute;left:16436;top:1091698;height:330;width:735;v-text-anchor:middle;" filled="f" stroked="t" coordsize="21600,21600" o:gfxdata="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X1AKvQAA&#10;ANsAAAAPAAAAAAAAAAEAIAAAACIAAABkcnMvZG93bnJldi54bWxQSwECFAAUAAAACACHTuJAMy8F&#10;njsAAAA5AAAAEAAAAAAAAAABACAAAAAMAQAAZHJzL3NoYXBleG1sLnhtbFBLBQYAAAAABgAGAFsB&#10;AAC2AwAAAAA=&#10;">
                    <v:fill on="f" focussize="0,0"/>
                    <v:stroke weight="2pt" color="#FFC000 [2404]" joinstyle="round"/>
                    <v:imagedata o:title=""/>
                    <o:lock v:ext="edit" aspectratio="f"/>
                  </v:rect>
                </v:group>
              </v:group>
            </w:pict>
          </mc:Fallback>
        </mc:AlternateContent>
      </w:r>
    </w:p>
    <w:p w14:paraId="09062F4D">
      <w:pPr>
        <w:pStyle w:val="64"/>
        <w:jc w:val="left"/>
        <w:rPr>
          <w:rFonts w:hint="default" w:ascii="Times New Roman" w:hAnsi="Times New Roman" w:cs="Times New Roman"/>
          <w:color w:val="auto"/>
          <w:highlight w:val="none"/>
        </w:rPr>
      </w:pPr>
      <w:bookmarkStart w:id="30" w:name="_Toc9333"/>
      <w:bookmarkStart w:id="31" w:name="_Toc32230"/>
      <w:r>
        <w:rPr>
          <w:rFonts w:hint="default" w:ascii="Times New Roman" w:hAnsi="Times New Roman" w:cs="Times New Roman"/>
          <w:color w:val="auto"/>
          <w:highlight w:val="none"/>
        </w:rPr>
        <w:t>附图</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项目周边环境现状照片</w:t>
      </w:r>
      <w:bookmarkEnd w:id="30"/>
      <w:bookmarkEnd w:id="31"/>
    </w:p>
    <w:tbl>
      <w:tblPr>
        <w:tblStyle w:val="38"/>
        <w:tblW w:w="4999" w:type="pct"/>
        <w:jc w:val="center"/>
        <w:tblLayout w:type="autofit"/>
        <w:tblCellMar>
          <w:top w:w="0" w:type="dxa"/>
          <w:left w:w="108" w:type="dxa"/>
          <w:bottom w:w="0" w:type="dxa"/>
          <w:right w:w="108" w:type="dxa"/>
        </w:tblCellMar>
      </w:tblPr>
      <w:tblGrid>
        <w:gridCol w:w="6748"/>
        <w:gridCol w:w="6703"/>
      </w:tblGrid>
      <w:tr w14:paraId="2C5180AF">
        <w:tblPrEx>
          <w:tblCellMar>
            <w:top w:w="0" w:type="dxa"/>
            <w:left w:w="108" w:type="dxa"/>
            <w:bottom w:w="0" w:type="dxa"/>
            <w:right w:w="108" w:type="dxa"/>
          </w:tblCellMar>
        </w:tblPrEx>
        <w:trPr>
          <w:trHeight w:val="3388" w:hRule="atLeast"/>
          <w:jc w:val="center"/>
        </w:trPr>
        <w:tc>
          <w:tcPr>
            <w:tcW w:w="2508" w:type="pct"/>
            <w:shd w:val="clear" w:color="auto" w:fill="auto"/>
            <w:noWrap w:val="0"/>
            <w:vAlign w:val="center"/>
          </w:tcPr>
          <w:p w14:paraId="76209564">
            <w:pPr>
              <w:pStyle w:val="56"/>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drawing>
                <wp:inline distT="0" distB="0" distL="114300" distR="114300">
                  <wp:extent cx="2880995" cy="2160270"/>
                  <wp:effectExtent l="0" t="0" r="14605" b="11430"/>
                  <wp:docPr id="86" name="图片 86" descr="0cea8363ee86d263a1e4d4eb1e7b1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0cea8363ee86d263a1e4d4eb1e7b1d01"/>
                          <pic:cNvPicPr>
                            <a:picLocks noChangeAspect="1"/>
                          </pic:cNvPicPr>
                        </pic:nvPicPr>
                        <pic:blipFill>
                          <a:blip r:embed="rId80"/>
                          <a:stretch>
                            <a:fillRect/>
                          </a:stretch>
                        </pic:blipFill>
                        <pic:spPr>
                          <a:xfrm>
                            <a:off x="0" y="0"/>
                            <a:ext cx="2880995" cy="2160270"/>
                          </a:xfrm>
                          <a:prstGeom prst="rect">
                            <a:avLst/>
                          </a:prstGeom>
                        </pic:spPr>
                      </pic:pic>
                    </a:graphicData>
                  </a:graphic>
                </wp:inline>
              </w:drawing>
            </w:r>
          </w:p>
        </w:tc>
        <w:tc>
          <w:tcPr>
            <w:tcW w:w="2491" w:type="pct"/>
            <w:shd w:val="clear" w:color="auto" w:fill="auto"/>
            <w:noWrap w:val="0"/>
            <w:vAlign w:val="center"/>
          </w:tcPr>
          <w:p w14:paraId="5E10B91C">
            <w:pPr>
              <w:pStyle w:val="56"/>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drawing>
                <wp:inline distT="0" distB="0" distL="114300" distR="114300">
                  <wp:extent cx="2880360" cy="2160270"/>
                  <wp:effectExtent l="0" t="0" r="15240" b="11430"/>
                  <wp:docPr id="87" name="图片 87" descr="12b1a1af042287d38b8d34b429f4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12b1a1af042287d38b8d34b429f47422"/>
                          <pic:cNvPicPr>
                            <a:picLocks noChangeAspect="1"/>
                          </pic:cNvPicPr>
                        </pic:nvPicPr>
                        <pic:blipFill>
                          <a:blip r:embed="rId81"/>
                          <a:stretch>
                            <a:fillRect/>
                          </a:stretch>
                        </pic:blipFill>
                        <pic:spPr>
                          <a:xfrm>
                            <a:off x="0" y="0"/>
                            <a:ext cx="2880360" cy="2160270"/>
                          </a:xfrm>
                          <a:prstGeom prst="rect">
                            <a:avLst/>
                          </a:prstGeom>
                        </pic:spPr>
                      </pic:pic>
                    </a:graphicData>
                  </a:graphic>
                </wp:inline>
              </w:drawing>
            </w:r>
          </w:p>
        </w:tc>
      </w:tr>
      <w:tr w14:paraId="1CCE94FE">
        <w:tblPrEx>
          <w:tblCellMar>
            <w:top w:w="0" w:type="dxa"/>
            <w:left w:w="108" w:type="dxa"/>
            <w:bottom w:w="0" w:type="dxa"/>
            <w:right w:w="108" w:type="dxa"/>
          </w:tblCellMar>
        </w:tblPrEx>
        <w:trPr>
          <w:trHeight w:val="587" w:hRule="atLeast"/>
          <w:jc w:val="center"/>
        </w:trPr>
        <w:tc>
          <w:tcPr>
            <w:tcW w:w="2508" w:type="pct"/>
            <w:shd w:val="clear" w:color="auto" w:fill="auto"/>
            <w:noWrap w:val="0"/>
            <w:vAlign w:val="center"/>
          </w:tcPr>
          <w:p w14:paraId="49D49E69">
            <w:pPr>
              <w:pStyle w:val="50"/>
              <w:bidi w:val="0"/>
              <w:rPr>
                <w:rFonts w:hint="eastAsia" w:ascii="Times New Roman" w:hAnsi="Times New Roman" w:eastAsia="宋体" w:cs="Times New Roman"/>
                <w:b/>
                <w:bCs/>
                <w:color w:val="auto"/>
                <w:szCs w:val="24"/>
                <w:highlight w:val="none"/>
                <w:lang w:eastAsia="zh-CN"/>
              </w:rPr>
            </w:pPr>
            <w:r>
              <w:rPr>
                <w:rFonts w:hint="default"/>
              </w:rPr>
              <w:t>厂区</w:t>
            </w:r>
            <w:r>
              <w:rPr>
                <w:rFonts w:hint="default"/>
                <w:lang w:val="en-US" w:eastAsia="zh-CN"/>
              </w:rPr>
              <w:t>北</w:t>
            </w:r>
            <w:r>
              <w:rPr>
                <w:rFonts w:hint="default"/>
              </w:rPr>
              <w:t>侧</w:t>
            </w:r>
            <w:r>
              <w:rPr>
                <w:rFonts w:hint="eastAsia"/>
                <w:lang w:eastAsia="zh-CN"/>
              </w:rPr>
              <w:t>（农田路</w:t>
            </w:r>
            <w:r>
              <w:rPr>
                <w:rFonts w:hint="eastAsia"/>
                <w:lang w:val="en-US" w:eastAsia="zh-CN"/>
              </w:rPr>
              <w:t>，隔道路为331公路项目部临时商混站</w:t>
            </w:r>
            <w:r>
              <w:rPr>
                <w:rFonts w:hint="eastAsia"/>
                <w:lang w:eastAsia="zh-CN"/>
              </w:rPr>
              <w:t>）</w:t>
            </w:r>
          </w:p>
        </w:tc>
        <w:tc>
          <w:tcPr>
            <w:tcW w:w="2491" w:type="pct"/>
            <w:shd w:val="clear" w:color="auto" w:fill="auto"/>
            <w:noWrap w:val="0"/>
            <w:vAlign w:val="center"/>
          </w:tcPr>
          <w:p w14:paraId="516868AC">
            <w:pPr>
              <w:pStyle w:val="56"/>
              <w:textAlignment w:val="center"/>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厂区</w:t>
            </w:r>
            <w:r>
              <w:rPr>
                <w:rFonts w:hint="default" w:ascii="Times New Roman" w:hAnsi="Times New Roman" w:cs="Times New Roman"/>
                <w:b/>
                <w:bCs/>
                <w:color w:val="auto"/>
                <w:sz w:val="24"/>
                <w:szCs w:val="24"/>
                <w:highlight w:val="none"/>
                <w:lang w:val="en-US" w:eastAsia="zh-CN"/>
              </w:rPr>
              <w:t>南</w:t>
            </w:r>
            <w:r>
              <w:rPr>
                <w:rFonts w:hint="default" w:ascii="Times New Roman" w:hAnsi="Times New Roman" w:cs="Times New Roman"/>
                <w:b/>
                <w:bCs/>
                <w:color w:val="auto"/>
                <w:sz w:val="24"/>
                <w:szCs w:val="24"/>
                <w:highlight w:val="none"/>
              </w:rPr>
              <w:t>侧</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农田</w:t>
            </w:r>
            <w:r>
              <w:rPr>
                <w:rFonts w:hint="eastAsia" w:cs="Times New Roman"/>
                <w:b/>
                <w:bCs/>
                <w:color w:val="auto"/>
                <w:sz w:val="24"/>
                <w:szCs w:val="24"/>
                <w:highlight w:val="none"/>
                <w:lang w:eastAsia="zh-CN"/>
              </w:rPr>
              <w:t>）</w:t>
            </w:r>
          </w:p>
        </w:tc>
      </w:tr>
      <w:tr w14:paraId="3F35FE33">
        <w:tblPrEx>
          <w:tblCellMar>
            <w:top w:w="0" w:type="dxa"/>
            <w:left w:w="108" w:type="dxa"/>
            <w:bottom w:w="0" w:type="dxa"/>
            <w:right w:w="108" w:type="dxa"/>
          </w:tblCellMar>
        </w:tblPrEx>
        <w:trPr>
          <w:trHeight w:val="3357" w:hRule="atLeast"/>
          <w:jc w:val="center"/>
        </w:trPr>
        <w:tc>
          <w:tcPr>
            <w:tcW w:w="2508" w:type="pct"/>
            <w:shd w:val="clear" w:color="auto" w:fill="auto"/>
            <w:noWrap w:val="0"/>
            <w:vAlign w:val="center"/>
          </w:tcPr>
          <w:p w14:paraId="0AA8802F">
            <w:pPr>
              <w:pStyle w:val="56"/>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drawing>
                <wp:inline distT="0" distB="0" distL="114300" distR="114300">
                  <wp:extent cx="2880360" cy="2160270"/>
                  <wp:effectExtent l="0" t="0" r="15240" b="11430"/>
                  <wp:docPr id="88" name="图片 88" descr="d95ab58f01d369fd0d060f5122ed8c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d95ab58f01d369fd0d060f5122ed8c73"/>
                          <pic:cNvPicPr>
                            <a:picLocks noChangeAspect="1"/>
                          </pic:cNvPicPr>
                        </pic:nvPicPr>
                        <pic:blipFill>
                          <a:blip r:embed="rId82"/>
                          <a:stretch>
                            <a:fillRect/>
                          </a:stretch>
                        </pic:blipFill>
                        <pic:spPr>
                          <a:xfrm>
                            <a:off x="0" y="0"/>
                            <a:ext cx="2880360" cy="2160270"/>
                          </a:xfrm>
                          <a:prstGeom prst="rect">
                            <a:avLst/>
                          </a:prstGeom>
                        </pic:spPr>
                      </pic:pic>
                    </a:graphicData>
                  </a:graphic>
                </wp:inline>
              </w:drawing>
            </w:r>
          </w:p>
        </w:tc>
        <w:tc>
          <w:tcPr>
            <w:tcW w:w="2491" w:type="pct"/>
            <w:shd w:val="clear" w:color="auto" w:fill="auto"/>
            <w:noWrap w:val="0"/>
            <w:vAlign w:val="center"/>
          </w:tcPr>
          <w:p w14:paraId="4E2A459C">
            <w:pPr>
              <w:pStyle w:val="56"/>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drawing>
                <wp:inline distT="0" distB="0" distL="114300" distR="114300">
                  <wp:extent cx="2880360" cy="2160270"/>
                  <wp:effectExtent l="0" t="0" r="15240" b="11430"/>
                  <wp:docPr id="89" name="图片 89" descr="4fee4cc7945787417eb05fb688f309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4fee4cc7945787417eb05fb688f3099c"/>
                          <pic:cNvPicPr>
                            <a:picLocks noChangeAspect="1"/>
                          </pic:cNvPicPr>
                        </pic:nvPicPr>
                        <pic:blipFill>
                          <a:blip r:embed="rId83"/>
                          <a:stretch>
                            <a:fillRect/>
                          </a:stretch>
                        </pic:blipFill>
                        <pic:spPr>
                          <a:xfrm>
                            <a:off x="0" y="0"/>
                            <a:ext cx="2880360" cy="2160270"/>
                          </a:xfrm>
                          <a:prstGeom prst="rect">
                            <a:avLst/>
                          </a:prstGeom>
                        </pic:spPr>
                      </pic:pic>
                    </a:graphicData>
                  </a:graphic>
                </wp:inline>
              </w:drawing>
            </w:r>
          </w:p>
        </w:tc>
      </w:tr>
      <w:tr w14:paraId="047AB776">
        <w:tblPrEx>
          <w:tblCellMar>
            <w:top w:w="0" w:type="dxa"/>
            <w:left w:w="108" w:type="dxa"/>
            <w:bottom w:w="0" w:type="dxa"/>
            <w:right w:w="108" w:type="dxa"/>
          </w:tblCellMar>
        </w:tblPrEx>
        <w:trPr>
          <w:trHeight w:val="587" w:hRule="atLeast"/>
          <w:jc w:val="center"/>
        </w:trPr>
        <w:tc>
          <w:tcPr>
            <w:tcW w:w="2508" w:type="pct"/>
            <w:shd w:val="clear" w:color="auto" w:fill="auto"/>
            <w:noWrap w:val="0"/>
            <w:vAlign w:val="center"/>
          </w:tcPr>
          <w:p w14:paraId="68F1D1F0">
            <w:pPr>
              <w:pStyle w:val="56"/>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厂区</w:t>
            </w:r>
            <w:r>
              <w:rPr>
                <w:rFonts w:hint="default" w:ascii="Times New Roman" w:hAnsi="Times New Roman" w:cs="Times New Roman"/>
                <w:b/>
                <w:bCs/>
                <w:color w:val="auto"/>
                <w:sz w:val="24"/>
                <w:szCs w:val="24"/>
                <w:highlight w:val="none"/>
                <w:lang w:val="en-US" w:eastAsia="zh-CN"/>
              </w:rPr>
              <w:t>西</w:t>
            </w:r>
            <w:r>
              <w:rPr>
                <w:rFonts w:hint="default" w:ascii="Times New Roman" w:hAnsi="Times New Roman" w:cs="Times New Roman"/>
                <w:b/>
                <w:bCs/>
                <w:color w:val="auto"/>
                <w:sz w:val="24"/>
                <w:szCs w:val="24"/>
                <w:highlight w:val="none"/>
              </w:rPr>
              <w:t>侧</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农田</w:t>
            </w:r>
            <w:r>
              <w:rPr>
                <w:rFonts w:hint="eastAsia" w:cs="Times New Roman"/>
                <w:b/>
                <w:bCs/>
                <w:color w:val="auto"/>
                <w:sz w:val="24"/>
                <w:szCs w:val="24"/>
                <w:highlight w:val="none"/>
                <w:lang w:eastAsia="zh-CN"/>
              </w:rPr>
              <w:t>）</w:t>
            </w:r>
          </w:p>
        </w:tc>
        <w:tc>
          <w:tcPr>
            <w:tcW w:w="2491" w:type="pct"/>
            <w:shd w:val="clear" w:color="auto" w:fill="auto"/>
            <w:noWrap w:val="0"/>
            <w:vAlign w:val="center"/>
          </w:tcPr>
          <w:p w14:paraId="69A9EF18">
            <w:pPr>
              <w:pStyle w:val="56"/>
              <w:textAlignment w:val="center"/>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厂区</w:t>
            </w:r>
            <w:r>
              <w:rPr>
                <w:rFonts w:hint="default" w:ascii="Times New Roman" w:hAnsi="Times New Roman" w:cs="Times New Roman"/>
                <w:b/>
                <w:bCs/>
                <w:color w:val="auto"/>
                <w:sz w:val="24"/>
                <w:szCs w:val="24"/>
                <w:highlight w:val="none"/>
                <w:lang w:val="en-US" w:eastAsia="zh-CN"/>
              </w:rPr>
              <w:t>东</w:t>
            </w:r>
            <w:r>
              <w:rPr>
                <w:rFonts w:hint="default" w:ascii="Times New Roman" w:hAnsi="Times New Roman" w:cs="Times New Roman"/>
                <w:b/>
                <w:bCs/>
                <w:color w:val="auto"/>
                <w:sz w:val="24"/>
                <w:szCs w:val="24"/>
                <w:highlight w:val="none"/>
              </w:rPr>
              <w:t>侧</w:t>
            </w: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农田</w:t>
            </w:r>
            <w:r>
              <w:rPr>
                <w:rFonts w:hint="eastAsia" w:cs="Times New Roman"/>
                <w:b/>
                <w:bCs/>
                <w:color w:val="auto"/>
                <w:sz w:val="24"/>
                <w:szCs w:val="24"/>
                <w:highlight w:val="none"/>
                <w:lang w:eastAsia="zh-CN"/>
              </w:rPr>
              <w:t>）</w:t>
            </w:r>
          </w:p>
        </w:tc>
      </w:tr>
    </w:tbl>
    <w:p w14:paraId="2B94DECD">
      <w:pPr>
        <w:pStyle w:val="59"/>
        <w:ind w:firstLine="480"/>
        <w:rPr>
          <w:rFonts w:hint="default" w:ascii="Times New Roman" w:hAnsi="Times New Roman" w:cs="Times New Roman"/>
          <w:color w:val="auto"/>
          <w:highlight w:val="none"/>
        </w:rPr>
      </w:pPr>
    </w:p>
    <w:p w14:paraId="40962CBD">
      <w:pPr>
        <w:pStyle w:val="59"/>
        <w:ind w:firstLine="480"/>
        <w:rPr>
          <w:rFonts w:hint="default" w:ascii="Times New Roman" w:hAnsi="Times New Roman" w:cs="Times New Roman"/>
          <w:color w:val="auto"/>
          <w:highlight w:val="none"/>
        </w:rPr>
        <w:sectPr>
          <w:pgSz w:w="16838" w:h="11906" w:orient="landscape"/>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p>
    <w:p w14:paraId="251AE30D">
      <w:pPr>
        <w:pStyle w:val="64"/>
        <w:jc w:val="left"/>
        <w:rPr>
          <w:rFonts w:hint="default" w:cs="Times New Roman"/>
          <w:color w:val="auto"/>
          <w:highlight w:val="none"/>
          <w:lang w:val="en-US" w:eastAsia="zh-CN"/>
        </w:rPr>
      </w:pPr>
      <w:bookmarkStart w:id="32" w:name="_Toc13633"/>
      <w:bookmarkStart w:id="33" w:name="_Toc32372"/>
      <w:bookmarkStart w:id="34" w:name="_Toc3725"/>
      <w:bookmarkStart w:id="35" w:name="_Toc11513"/>
      <w:r>
        <w:rPr>
          <w:rFonts w:hint="default" w:ascii="Times New Roman" w:hAnsi="Times New Roman" w:cs="Times New Roman"/>
          <w:color w:val="auto"/>
          <w:highlight w:val="none"/>
        </w:rPr>
        <w:t xml:space="preserve">附件1 </w:t>
      </w:r>
      <w:bookmarkEnd w:id="32"/>
      <w:bookmarkEnd w:id="33"/>
      <w:r>
        <w:rPr>
          <w:rFonts w:hint="eastAsia" w:cs="Times New Roman"/>
          <w:color w:val="auto"/>
          <w:highlight w:val="none"/>
          <w:lang w:val="en-US" w:eastAsia="zh-CN"/>
        </w:rPr>
        <w:t>土地手续</w:t>
      </w:r>
      <w:bookmarkEnd w:id="34"/>
    </w:p>
    <w:p w14:paraId="71531619">
      <w:pPr>
        <w:pStyle w:val="50"/>
        <w:bidi w:val="0"/>
        <w:rPr>
          <w:rFonts w:hint="default"/>
          <w:highlight w:val="none"/>
          <w:lang w:val="en-US" w:eastAsia="zh-CN"/>
        </w:rPr>
        <w:sectPr>
          <w:headerReference r:id="rId11" w:type="default"/>
          <w:footerReference r:id="rId12" w:type="default"/>
          <w:pgSz w:w="11906" w:h="16838"/>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12" w:charSpace="0"/>
        </w:sectPr>
      </w:pPr>
      <w:r>
        <w:rPr>
          <w:rFonts w:hint="default"/>
          <w:highlight w:val="none"/>
          <w:lang w:val="en-US" w:eastAsia="zh-CN"/>
        </w:rPr>
        <w:drawing>
          <wp:anchor distT="0" distB="0" distL="114300" distR="114300" simplePos="0" relativeHeight="251682816" behindDoc="1" locked="0" layoutInCell="1" allowOverlap="1">
            <wp:simplePos x="0" y="0"/>
            <wp:positionH relativeFrom="column">
              <wp:posOffset>2540</wp:posOffset>
            </wp:positionH>
            <wp:positionV relativeFrom="paragraph">
              <wp:posOffset>-8255</wp:posOffset>
            </wp:positionV>
            <wp:extent cx="5725795" cy="7682230"/>
            <wp:effectExtent l="0" t="0" r="8255" b="13970"/>
            <wp:wrapNone/>
            <wp:docPr id="20" name="图片 20" descr="土地手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土地手续"/>
                    <pic:cNvPicPr>
                      <a:picLocks noChangeAspect="1"/>
                    </pic:cNvPicPr>
                  </pic:nvPicPr>
                  <pic:blipFill>
                    <a:blip r:embed="rId84"/>
                    <a:stretch>
                      <a:fillRect/>
                    </a:stretch>
                  </pic:blipFill>
                  <pic:spPr>
                    <a:xfrm>
                      <a:off x="0" y="0"/>
                      <a:ext cx="5725795" cy="7682230"/>
                    </a:xfrm>
                    <a:prstGeom prst="rect">
                      <a:avLst/>
                    </a:prstGeom>
                  </pic:spPr>
                </pic:pic>
              </a:graphicData>
            </a:graphic>
          </wp:anchor>
        </w:drawing>
      </w:r>
    </w:p>
    <w:p w14:paraId="79862B7A">
      <w:pPr>
        <w:pStyle w:val="64"/>
        <w:jc w:val="left"/>
        <w:rPr>
          <w:rFonts w:hint="default" w:ascii="Times New Roman" w:hAnsi="Times New Roman" w:cs="Times New Roman"/>
          <w:color w:val="auto"/>
          <w:highlight w:val="none"/>
        </w:rPr>
      </w:pPr>
      <w:bookmarkStart w:id="36" w:name="_Toc28422"/>
      <w:r>
        <w:rPr>
          <w:rFonts w:hint="eastAsia"/>
          <w:highlight w:val="none"/>
          <w:lang w:eastAsia="zh-CN"/>
        </w:rPr>
        <w:drawing>
          <wp:anchor distT="0" distB="0" distL="114300" distR="114300" simplePos="0" relativeHeight="251681792" behindDoc="1" locked="0" layoutInCell="1" allowOverlap="1">
            <wp:simplePos x="0" y="0"/>
            <wp:positionH relativeFrom="column">
              <wp:posOffset>1674495</wp:posOffset>
            </wp:positionH>
            <wp:positionV relativeFrom="paragraph">
              <wp:posOffset>-1327150</wp:posOffset>
            </wp:positionV>
            <wp:extent cx="5057775" cy="8385810"/>
            <wp:effectExtent l="0" t="0" r="15240" b="9525"/>
            <wp:wrapNone/>
            <wp:docPr id="22" name="图片 22"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营业执照"/>
                    <pic:cNvPicPr>
                      <a:picLocks noChangeAspect="1"/>
                    </pic:cNvPicPr>
                  </pic:nvPicPr>
                  <pic:blipFill>
                    <a:blip r:embed="rId85"/>
                    <a:srcRect t="1398" b="5325"/>
                    <a:stretch>
                      <a:fillRect/>
                    </a:stretch>
                  </pic:blipFill>
                  <pic:spPr>
                    <a:xfrm rot="16200000">
                      <a:off x="0" y="0"/>
                      <a:ext cx="5057775" cy="8385810"/>
                    </a:xfrm>
                    <a:prstGeom prst="rect">
                      <a:avLst/>
                    </a:prstGeom>
                  </pic:spPr>
                </pic:pic>
              </a:graphicData>
            </a:graphic>
          </wp:anchor>
        </w:drawing>
      </w:r>
      <w:r>
        <w:rPr>
          <w:rFonts w:hint="default" w:ascii="Times New Roman" w:hAnsi="Times New Roman" w:cs="Times New Roman"/>
          <w:color w:val="auto"/>
          <w:highlight w:val="none"/>
        </w:rPr>
        <w:t>附件</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营业执照</w:t>
      </w:r>
      <w:bookmarkEnd w:id="36"/>
    </w:p>
    <w:p w14:paraId="3901C882">
      <w:pPr>
        <w:pStyle w:val="50"/>
        <w:bidi w:val="0"/>
        <w:rPr>
          <w:rFonts w:hint="eastAsia"/>
          <w:highlight w:val="none"/>
          <w:lang w:eastAsia="zh-CN"/>
        </w:rPr>
        <w:sectPr>
          <w:pgSz w:w="16838" w:h="11906" w:orient="landscape"/>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p>
    <w:bookmarkEnd w:id="35"/>
    <w:p w14:paraId="51AAE04E">
      <w:pPr>
        <w:pStyle w:val="2"/>
        <w:keepNext w:val="0"/>
        <w:keepLines w:val="0"/>
        <w:pageBreakBefore w:val="0"/>
        <w:widowControl w:val="0"/>
        <w:kinsoku/>
        <w:wordWrap w:val="0"/>
        <w:overflowPunct/>
        <w:topLinePunct/>
        <w:autoSpaceDE/>
        <w:autoSpaceDN/>
        <w:bidi w:val="0"/>
        <w:adjustRightInd/>
        <w:snapToGrid/>
        <w:textAlignment w:val="center"/>
        <w:rPr>
          <w:rFonts w:hint="eastAsia" w:ascii="Times New Roman" w:hAnsi="Times New Roman"/>
          <w:color w:val="auto"/>
          <w:highlight w:val="none"/>
          <w:lang w:val="en-US" w:eastAsia="zh-CN"/>
        </w:rPr>
      </w:pPr>
      <w:bookmarkStart w:id="37" w:name="_Toc12031"/>
      <w:bookmarkStart w:id="38" w:name="_Toc14556"/>
      <w:bookmarkStart w:id="39" w:name="_Toc1216"/>
      <w:bookmarkStart w:id="40" w:name="_Toc4746"/>
      <w:r>
        <w:rPr>
          <w:rFonts w:hint="eastAsia" w:ascii="Times New Roman" w:hAnsi="Times New Roman"/>
          <w:color w:val="auto"/>
          <w:highlight w:val="none"/>
          <w:lang w:val="en-US" w:eastAsia="zh-CN"/>
        </w:rPr>
        <w:t>附件</w:t>
      </w:r>
      <w:r>
        <w:rPr>
          <w:rFonts w:hint="eastAsia"/>
          <w:color w:val="auto"/>
          <w:highlight w:val="none"/>
          <w:lang w:val="en-US" w:eastAsia="zh-CN"/>
        </w:rPr>
        <w:t>3</w:t>
      </w:r>
      <w:r>
        <w:rPr>
          <w:rFonts w:hint="eastAsia" w:ascii="Times New Roman" w:hAnsi="Times New Roman"/>
          <w:color w:val="auto"/>
          <w:highlight w:val="none"/>
          <w:lang w:val="en-US" w:eastAsia="zh-CN"/>
        </w:rPr>
        <w:t xml:space="preserve"> 生物质</w:t>
      </w:r>
      <w:r>
        <w:rPr>
          <w:rFonts w:hint="eastAsia"/>
          <w:color w:val="auto"/>
          <w:highlight w:val="none"/>
          <w:lang w:val="en-US" w:eastAsia="zh-CN"/>
        </w:rPr>
        <w:t>成型燃料</w:t>
      </w:r>
      <w:r>
        <w:rPr>
          <w:rFonts w:hint="eastAsia" w:ascii="Times New Roman" w:hAnsi="Times New Roman"/>
          <w:color w:val="auto"/>
          <w:highlight w:val="none"/>
          <w:lang w:val="en-US" w:eastAsia="zh-CN"/>
        </w:rPr>
        <w:t>检测报告</w:t>
      </w:r>
      <w:bookmarkEnd w:id="37"/>
      <w:bookmarkEnd w:id="38"/>
    </w:p>
    <w:p w14:paraId="30E26347">
      <w:pPr>
        <w:keepNext w:val="0"/>
        <w:keepLines w:val="0"/>
        <w:pageBreakBefore w:val="0"/>
        <w:widowControl w:val="0"/>
        <w:kinsoku/>
        <w:wordWrap w:val="0"/>
        <w:overflowPunct/>
        <w:topLinePunct/>
        <w:autoSpaceDE/>
        <w:autoSpaceDN/>
        <w:bidi w:val="0"/>
        <w:adjustRightInd/>
        <w:snapToGrid/>
        <w:textAlignment w:val="center"/>
        <w:rPr>
          <w:rFonts w:eastAsia="宋体"/>
          <w:color w:val="auto"/>
          <w:highlight w:val="none"/>
        </w:rPr>
      </w:pPr>
      <w:r>
        <w:rPr>
          <w:rFonts w:eastAsia="宋体"/>
          <w:color w:val="auto"/>
          <w:highlight w:val="none"/>
        </w:rPr>
        <w:drawing>
          <wp:inline distT="0" distB="0" distL="0" distR="0">
            <wp:extent cx="5274310" cy="3819525"/>
            <wp:effectExtent l="19050" t="19050" r="21590" b="28575"/>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274310" cy="3819760"/>
                    </a:xfrm>
                    <a:prstGeom prst="rect">
                      <a:avLst/>
                    </a:prstGeom>
                    <a:noFill/>
                    <a:ln w="19050">
                      <a:solidFill>
                        <a:schemeClr val="tx1"/>
                      </a:solidFill>
                    </a:ln>
                  </pic:spPr>
                </pic:pic>
              </a:graphicData>
            </a:graphic>
          </wp:inline>
        </w:drawing>
      </w:r>
    </w:p>
    <w:p w14:paraId="0F744343">
      <w:pPr>
        <w:pStyle w:val="125"/>
        <w:keepNext w:val="0"/>
        <w:keepLines w:val="0"/>
        <w:pageBreakBefore w:val="0"/>
        <w:widowControl w:val="0"/>
        <w:kinsoku/>
        <w:wordWrap w:val="0"/>
        <w:overflowPunct/>
        <w:topLinePunct/>
        <w:autoSpaceDE/>
        <w:autoSpaceDN/>
        <w:bidi w:val="0"/>
        <w:adjustRightInd/>
        <w:snapToGrid/>
        <w:textAlignment w:val="center"/>
        <w:rPr>
          <w:rFonts w:eastAsia="宋体"/>
          <w:color w:val="auto"/>
          <w:highlight w:val="none"/>
        </w:rPr>
      </w:pPr>
    </w:p>
    <w:p w14:paraId="254A87CD">
      <w:pPr>
        <w:pStyle w:val="125"/>
        <w:keepNext w:val="0"/>
        <w:keepLines w:val="0"/>
        <w:pageBreakBefore w:val="0"/>
        <w:widowControl w:val="0"/>
        <w:kinsoku/>
        <w:wordWrap w:val="0"/>
        <w:overflowPunct/>
        <w:topLinePunct/>
        <w:autoSpaceDE/>
        <w:autoSpaceDN/>
        <w:bidi w:val="0"/>
        <w:adjustRightInd/>
        <w:snapToGrid/>
        <w:textAlignment w:val="center"/>
        <w:rPr>
          <w:rFonts w:eastAsia="宋体"/>
          <w:color w:val="auto"/>
          <w:highlight w:val="none"/>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linePitch="312" w:charSpace="0"/>
        </w:sectPr>
      </w:pPr>
      <w:r>
        <w:rPr>
          <w:rFonts w:eastAsia="宋体"/>
          <w:color w:val="auto"/>
          <w:highlight w:val="none"/>
        </w:rPr>
        <w:drawing>
          <wp:inline distT="0" distB="0" distL="0" distR="0">
            <wp:extent cx="5274310" cy="3713480"/>
            <wp:effectExtent l="19050" t="19050" r="21590" b="2032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274310" cy="3713606"/>
                    </a:xfrm>
                    <a:prstGeom prst="rect">
                      <a:avLst/>
                    </a:prstGeom>
                    <a:noFill/>
                    <a:ln w="19050">
                      <a:solidFill>
                        <a:schemeClr val="tx1"/>
                      </a:solidFill>
                    </a:ln>
                  </pic:spPr>
                </pic:pic>
              </a:graphicData>
            </a:graphic>
          </wp:inline>
        </w:drawing>
      </w:r>
    </w:p>
    <w:p w14:paraId="78B4DDE4">
      <w:pPr>
        <w:pStyle w:val="64"/>
        <w:jc w:val="left"/>
        <w:rPr>
          <w:rFonts w:hint="eastAsia" w:cs="Times New Roman"/>
          <w:color w:val="auto"/>
          <w:highlight w:val="none"/>
          <w:lang w:val="en-US" w:eastAsia="zh-CN"/>
        </w:rPr>
      </w:pPr>
      <w:bookmarkStart w:id="41" w:name="_Toc16598"/>
      <w:r>
        <w:rPr>
          <w:rFonts w:hint="default" w:ascii="Times New Roman" w:hAnsi="Times New Roman" w:cs="Times New Roman"/>
          <w:color w:val="auto"/>
          <w:highlight w:val="none"/>
        </w:rPr>
        <w:t>附件</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w:t>
      </w:r>
      <w:r>
        <w:rPr>
          <w:rFonts w:hint="eastAsia"/>
          <w:color w:val="auto"/>
          <w:highlight w:val="none"/>
          <w:lang w:val="en-US" w:eastAsia="zh-CN"/>
        </w:rPr>
        <w:t>引用</w:t>
      </w:r>
      <w:r>
        <w:rPr>
          <w:rFonts w:hint="eastAsia" w:cs="Times New Roman"/>
          <w:color w:val="auto"/>
          <w:highlight w:val="none"/>
          <w:lang w:val="en-US" w:eastAsia="zh-CN"/>
        </w:rPr>
        <w:t>现状监测报告</w:t>
      </w:r>
      <w:bookmarkEnd w:id="41"/>
    </w:p>
    <w:p w14:paraId="38B7DFDE">
      <w:pPr>
        <w:pStyle w:val="50"/>
        <w:bidi w:val="0"/>
        <w:rPr>
          <w:rFonts w:hint="eastAsia"/>
          <w:lang w:val="en-US" w:eastAsia="zh-CN"/>
        </w:rPr>
      </w:pPr>
    </w:p>
    <w:p w14:paraId="6C8F6F72">
      <w:pPr>
        <w:pStyle w:val="50"/>
        <w:bidi w:val="0"/>
        <w:rPr>
          <w:rFonts w:hint="eastAsia"/>
          <w:lang w:val="en-US" w:eastAsia="zh-CN"/>
        </w:rPr>
      </w:pPr>
    </w:p>
    <w:p w14:paraId="1B43B34D">
      <w:pPr>
        <w:pStyle w:val="50"/>
        <w:bidi w:val="0"/>
        <w:rPr>
          <w:rFonts w:hint="eastAsia"/>
          <w:lang w:eastAsia="zh-CN"/>
        </w:rPr>
      </w:pPr>
      <w:r>
        <w:drawing>
          <wp:inline distT="0" distB="0" distL="114300" distR="114300">
            <wp:extent cx="5265420" cy="7447280"/>
            <wp:effectExtent l="0" t="0" r="11430" b="1270"/>
            <wp:docPr id="2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7"/>
                    <pic:cNvPicPr>
                      <a:picLocks noChangeAspect="1"/>
                    </pic:cNvPicPr>
                  </pic:nvPicPr>
                  <pic:blipFill>
                    <a:blip r:embed="rId88"/>
                    <a:stretch>
                      <a:fillRect/>
                    </a:stretch>
                  </pic:blipFill>
                  <pic:spPr>
                    <a:xfrm>
                      <a:off x="0" y="0"/>
                      <a:ext cx="5265420" cy="7447280"/>
                    </a:xfrm>
                    <a:prstGeom prst="rect">
                      <a:avLst/>
                    </a:prstGeom>
                    <a:noFill/>
                    <a:ln>
                      <a:noFill/>
                    </a:ln>
                  </pic:spPr>
                </pic:pic>
              </a:graphicData>
            </a:graphic>
          </wp:inline>
        </w:drawing>
      </w:r>
    </w:p>
    <w:p w14:paraId="7DB36DEE">
      <w:pPr>
        <w:pStyle w:val="50"/>
        <w:bidi w:val="0"/>
        <w:rPr>
          <w:rFonts w:hint="eastAsia"/>
          <w:lang w:eastAsia="zh-CN"/>
        </w:rPr>
      </w:pPr>
    </w:p>
    <w:p w14:paraId="4E1EB0C7">
      <w:pPr>
        <w:pStyle w:val="50"/>
        <w:bidi w:val="0"/>
        <w:rPr>
          <w:rFonts w:hint="eastAsia"/>
          <w:lang w:eastAsia="zh-CN"/>
        </w:rPr>
      </w:pPr>
    </w:p>
    <w:p w14:paraId="21D92388">
      <w:pPr>
        <w:pStyle w:val="50"/>
        <w:bidi w:val="0"/>
        <w:rPr>
          <w:rFonts w:hint="eastAsia"/>
          <w:highlight w:val="none"/>
          <w:lang w:eastAsia="zh-CN"/>
        </w:rPr>
      </w:pPr>
    </w:p>
    <w:p w14:paraId="0A088626">
      <w:pPr>
        <w:pStyle w:val="50"/>
        <w:bidi w:val="0"/>
        <w:rPr>
          <w:rFonts w:hint="eastAsia"/>
          <w:highlight w:val="none"/>
          <w:lang w:eastAsia="zh-CN"/>
        </w:rPr>
      </w:pPr>
    </w:p>
    <w:p w14:paraId="03C95880">
      <w:pPr>
        <w:pStyle w:val="50"/>
        <w:bidi w:val="0"/>
        <w:rPr>
          <w:rFonts w:hint="eastAsia"/>
          <w:highlight w:val="none"/>
          <w:lang w:eastAsia="zh-CN"/>
        </w:rPr>
      </w:pPr>
    </w:p>
    <w:p w14:paraId="05E9AF8A">
      <w:pPr>
        <w:pStyle w:val="50"/>
        <w:bidi w:val="0"/>
        <w:rPr>
          <w:rFonts w:hint="eastAsia"/>
          <w:highlight w:val="none"/>
          <w:lang w:eastAsia="zh-CN"/>
        </w:rPr>
      </w:pPr>
    </w:p>
    <w:p w14:paraId="196C0BFC">
      <w:pPr>
        <w:pStyle w:val="50"/>
        <w:bidi w:val="0"/>
      </w:pPr>
      <w:r>
        <w:drawing>
          <wp:inline distT="0" distB="0" distL="114300" distR="114300">
            <wp:extent cx="5266055" cy="7490460"/>
            <wp:effectExtent l="0" t="0" r="10795" b="15240"/>
            <wp:docPr id="2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8"/>
                    <pic:cNvPicPr>
                      <a:picLocks noChangeAspect="1"/>
                    </pic:cNvPicPr>
                  </pic:nvPicPr>
                  <pic:blipFill>
                    <a:blip r:embed="rId89"/>
                    <a:stretch>
                      <a:fillRect/>
                    </a:stretch>
                  </pic:blipFill>
                  <pic:spPr>
                    <a:xfrm>
                      <a:off x="0" y="0"/>
                      <a:ext cx="5266055" cy="7490460"/>
                    </a:xfrm>
                    <a:prstGeom prst="rect">
                      <a:avLst/>
                    </a:prstGeom>
                    <a:noFill/>
                    <a:ln>
                      <a:noFill/>
                    </a:ln>
                  </pic:spPr>
                </pic:pic>
              </a:graphicData>
            </a:graphic>
          </wp:inline>
        </w:drawing>
      </w:r>
    </w:p>
    <w:p w14:paraId="4D3445C0">
      <w:pPr>
        <w:pStyle w:val="50"/>
        <w:bidi w:val="0"/>
      </w:pPr>
    </w:p>
    <w:p w14:paraId="149FAFDC">
      <w:pPr>
        <w:pStyle w:val="50"/>
        <w:bidi w:val="0"/>
      </w:pPr>
    </w:p>
    <w:p w14:paraId="34742EE6">
      <w:pPr>
        <w:pStyle w:val="50"/>
        <w:bidi w:val="0"/>
      </w:pPr>
    </w:p>
    <w:p w14:paraId="320365DD">
      <w:pPr>
        <w:pStyle w:val="50"/>
        <w:bidi w:val="0"/>
      </w:pPr>
    </w:p>
    <w:p w14:paraId="21798EAC">
      <w:pPr>
        <w:pStyle w:val="50"/>
        <w:bidi w:val="0"/>
      </w:pPr>
    </w:p>
    <w:p w14:paraId="29E8E399">
      <w:pPr>
        <w:pStyle w:val="50"/>
        <w:bidi w:val="0"/>
      </w:pPr>
    </w:p>
    <w:p w14:paraId="4E429B41">
      <w:pPr>
        <w:pStyle w:val="50"/>
        <w:bidi w:val="0"/>
      </w:pPr>
    </w:p>
    <w:p w14:paraId="6721EC4A">
      <w:pPr>
        <w:pStyle w:val="50"/>
        <w:bidi w:val="0"/>
      </w:pPr>
      <w:r>
        <w:drawing>
          <wp:inline distT="0" distB="0" distL="114300" distR="114300">
            <wp:extent cx="5270500" cy="7454900"/>
            <wp:effectExtent l="0" t="0" r="6350" b="12700"/>
            <wp:docPr id="2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pic:cNvPicPr>
                      <a:picLocks noChangeAspect="1"/>
                    </pic:cNvPicPr>
                  </pic:nvPicPr>
                  <pic:blipFill>
                    <a:blip r:embed="rId90"/>
                    <a:stretch>
                      <a:fillRect/>
                    </a:stretch>
                  </pic:blipFill>
                  <pic:spPr>
                    <a:xfrm>
                      <a:off x="0" y="0"/>
                      <a:ext cx="5270500" cy="7454900"/>
                    </a:xfrm>
                    <a:prstGeom prst="rect">
                      <a:avLst/>
                    </a:prstGeom>
                    <a:noFill/>
                    <a:ln>
                      <a:noFill/>
                    </a:ln>
                  </pic:spPr>
                </pic:pic>
              </a:graphicData>
            </a:graphic>
          </wp:inline>
        </w:drawing>
      </w:r>
    </w:p>
    <w:p w14:paraId="0557907C">
      <w:pPr>
        <w:pStyle w:val="50"/>
        <w:bidi w:val="0"/>
      </w:pPr>
    </w:p>
    <w:p w14:paraId="6A9BCD08">
      <w:pPr>
        <w:pStyle w:val="50"/>
        <w:bidi w:val="0"/>
      </w:pPr>
    </w:p>
    <w:p w14:paraId="1DDC5824">
      <w:pPr>
        <w:pStyle w:val="50"/>
        <w:bidi w:val="0"/>
      </w:pPr>
    </w:p>
    <w:p w14:paraId="4202E7E2">
      <w:pPr>
        <w:pStyle w:val="50"/>
        <w:bidi w:val="0"/>
      </w:pPr>
    </w:p>
    <w:p w14:paraId="08D4D3E2">
      <w:pPr>
        <w:pStyle w:val="50"/>
        <w:bidi w:val="0"/>
      </w:pPr>
    </w:p>
    <w:p w14:paraId="1702BC80">
      <w:pPr>
        <w:pStyle w:val="50"/>
        <w:bidi w:val="0"/>
      </w:pPr>
    </w:p>
    <w:p w14:paraId="05E973DF">
      <w:pPr>
        <w:pStyle w:val="50"/>
        <w:bidi w:val="0"/>
      </w:pPr>
    </w:p>
    <w:p w14:paraId="21B0FE12">
      <w:pPr>
        <w:pStyle w:val="50"/>
        <w:bidi w:val="0"/>
      </w:pPr>
      <w:r>
        <w:drawing>
          <wp:inline distT="0" distB="0" distL="114300" distR="114300">
            <wp:extent cx="5271770" cy="7455535"/>
            <wp:effectExtent l="0" t="0" r="5080" b="12065"/>
            <wp:docPr id="2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0"/>
                    <pic:cNvPicPr>
                      <a:picLocks noChangeAspect="1"/>
                    </pic:cNvPicPr>
                  </pic:nvPicPr>
                  <pic:blipFill>
                    <a:blip r:embed="rId91"/>
                    <a:stretch>
                      <a:fillRect/>
                    </a:stretch>
                  </pic:blipFill>
                  <pic:spPr>
                    <a:xfrm>
                      <a:off x="0" y="0"/>
                      <a:ext cx="5271770" cy="7455535"/>
                    </a:xfrm>
                    <a:prstGeom prst="rect">
                      <a:avLst/>
                    </a:prstGeom>
                    <a:noFill/>
                    <a:ln>
                      <a:noFill/>
                    </a:ln>
                  </pic:spPr>
                </pic:pic>
              </a:graphicData>
            </a:graphic>
          </wp:inline>
        </w:drawing>
      </w:r>
    </w:p>
    <w:p w14:paraId="04F56D4A">
      <w:pPr>
        <w:pStyle w:val="50"/>
        <w:bidi w:val="0"/>
        <w:rPr>
          <w:rFonts w:hint="eastAsia"/>
          <w:lang w:eastAsia="zh-CN"/>
        </w:rPr>
      </w:pPr>
    </w:p>
    <w:bookmarkEnd w:id="39"/>
    <w:bookmarkEnd w:id="40"/>
    <w:p w14:paraId="2384361B">
      <w:pPr>
        <w:pStyle w:val="50"/>
        <w:bidi w:val="0"/>
        <w:rPr>
          <w:rFonts w:hint="default"/>
          <w:highlight w:val="none"/>
          <w:lang w:val="en-US" w:eastAsia="zh-CN"/>
        </w:rPr>
      </w:pPr>
    </w:p>
    <w:p w14:paraId="55B7AE09">
      <w:pPr>
        <w:pStyle w:val="50"/>
        <w:bidi w:val="0"/>
        <w:rPr>
          <w:rFonts w:hint="default"/>
          <w:highlight w:val="none"/>
          <w:lang w:val="en-US" w:eastAsia="zh-CN"/>
        </w:rPr>
      </w:pPr>
    </w:p>
    <w:p w14:paraId="181773C3">
      <w:pPr>
        <w:pStyle w:val="50"/>
        <w:bidi w:val="0"/>
        <w:rPr>
          <w:rFonts w:hint="default"/>
          <w:highlight w:val="none"/>
          <w:lang w:val="en-US" w:eastAsia="zh-CN"/>
        </w:rPr>
      </w:pPr>
    </w:p>
    <w:p w14:paraId="4F3DE624">
      <w:pPr>
        <w:pStyle w:val="50"/>
        <w:bidi w:val="0"/>
        <w:rPr>
          <w:rFonts w:hint="default"/>
          <w:highlight w:val="none"/>
          <w:lang w:val="en-US" w:eastAsia="zh-CN"/>
        </w:rPr>
      </w:pPr>
    </w:p>
    <w:p w14:paraId="7BF9B4A1">
      <w:pPr>
        <w:pStyle w:val="50"/>
        <w:bidi w:val="0"/>
        <w:rPr>
          <w:rFonts w:hint="default"/>
          <w:highlight w:val="none"/>
          <w:lang w:val="en-US" w:eastAsia="zh-CN"/>
        </w:rPr>
      </w:pPr>
    </w:p>
    <w:p w14:paraId="1DAC3AB8">
      <w:pPr>
        <w:pStyle w:val="50"/>
        <w:bidi w:val="0"/>
        <w:rPr>
          <w:rFonts w:hint="default"/>
          <w:highlight w:val="none"/>
          <w:lang w:val="en-US" w:eastAsia="zh-CN"/>
        </w:rPr>
      </w:pPr>
    </w:p>
    <w:p w14:paraId="0A3BBF94">
      <w:pPr>
        <w:pStyle w:val="50"/>
        <w:bidi w:val="0"/>
        <w:rPr>
          <w:rFonts w:hint="default"/>
          <w:highlight w:val="none"/>
          <w:lang w:val="en-US" w:eastAsia="zh-CN"/>
        </w:rPr>
      </w:pPr>
      <w:r>
        <w:drawing>
          <wp:inline distT="0" distB="0" distL="114300" distR="114300">
            <wp:extent cx="5272405" cy="7407910"/>
            <wp:effectExtent l="0" t="0" r="4445" b="2540"/>
            <wp:docPr id="2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1"/>
                    <pic:cNvPicPr>
                      <a:picLocks noChangeAspect="1"/>
                    </pic:cNvPicPr>
                  </pic:nvPicPr>
                  <pic:blipFill>
                    <a:blip r:embed="rId92"/>
                    <a:stretch>
                      <a:fillRect/>
                    </a:stretch>
                  </pic:blipFill>
                  <pic:spPr>
                    <a:xfrm>
                      <a:off x="0" y="0"/>
                      <a:ext cx="5272405" cy="7407910"/>
                    </a:xfrm>
                    <a:prstGeom prst="rect">
                      <a:avLst/>
                    </a:prstGeom>
                    <a:noFill/>
                    <a:ln>
                      <a:noFill/>
                    </a:ln>
                  </pic:spPr>
                </pic:pic>
              </a:graphicData>
            </a:graphic>
          </wp:inline>
        </w:drawing>
      </w:r>
    </w:p>
    <w:p w14:paraId="09228739">
      <w:pPr>
        <w:pStyle w:val="50"/>
        <w:bidi w:val="0"/>
        <w:rPr>
          <w:rFonts w:hint="default"/>
          <w:highlight w:val="none"/>
          <w:lang w:val="en-US" w:eastAsia="zh-CN"/>
        </w:rPr>
      </w:pPr>
    </w:p>
    <w:p w14:paraId="15437BCF">
      <w:pPr>
        <w:pStyle w:val="50"/>
        <w:bidi w:val="0"/>
        <w:rPr>
          <w:rFonts w:hint="default"/>
          <w:highlight w:val="none"/>
          <w:lang w:val="en-US" w:eastAsia="zh-CN"/>
        </w:rPr>
        <w:sectPr>
          <w:footerReference r:id="rId14" w:type="default"/>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p>
    <w:p w14:paraId="75BDDFE2">
      <w:pPr>
        <w:pStyle w:val="2"/>
        <w:keepNext w:val="0"/>
        <w:keepLines w:val="0"/>
        <w:pageBreakBefore w:val="0"/>
        <w:widowControl w:val="0"/>
        <w:kinsoku/>
        <w:wordWrap w:val="0"/>
        <w:overflowPunct/>
        <w:topLinePunct/>
        <w:autoSpaceDE/>
        <w:autoSpaceDN/>
        <w:bidi w:val="0"/>
        <w:adjustRightInd/>
        <w:snapToGrid/>
        <w:textAlignment w:val="center"/>
        <w:rPr>
          <w:rFonts w:hint="default" w:ascii="Times New Roman" w:hAnsi="Times New Roman" w:eastAsia="宋体" w:cs="Times New Roman"/>
          <w:color w:val="auto"/>
          <w:highlight w:val="none"/>
          <w:lang w:val="en-US" w:eastAsia="zh-CN"/>
        </w:rPr>
      </w:pPr>
      <w:bookmarkStart w:id="42" w:name="_Toc29756"/>
      <w:r>
        <w:rPr>
          <w:rFonts w:hint="default" w:ascii="Times New Roman" w:hAnsi="Times New Roman" w:eastAsia="宋体" w:cs="Times New Roman"/>
          <w:color w:val="auto"/>
          <w:highlight w:val="none"/>
          <w:lang w:val="en-US" w:eastAsia="zh-CN"/>
        </w:rPr>
        <w:t>附件</w:t>
      </w:r>
      <w:r>
        <w:rPr>
          <w:rFonts w:hint="eastAsia" w:cs="Times New Roman"/>
          <w:color w:val="auto"/>
          <w:highlight w:val="none"/>
          <w:lang w:val="en-US" w:eastAsia="zh-CN"/>
        </w:rPr>
        <w:t>5</w:t>
      </w:r>
      <w:r>
        <w:rPr>
          <w:rFonts w:hint="default" w:ascii="Times New Roman" w:hAnsi="Times New Roman" w:eastAsia="宋体" w:cs="Times New Roman"/>
          <w:color w:val="auto"/>
          <w:highlight w:val="none"/>
          <w:lang w:val="en-US" w:eastAsia="zh-CN"/>
        </w:rPr>
        <w:t xml:space="preserve"> 生态环境分区管控分析报告</w:t>
      </w:r>
      <w:bookmarkEnd w:id="42"/>
    </w:p>
    <w:p w14:paraId="1ACEA948">
      <w:pPr>
        <w:pStyle w:val="50"/>
        <w:bidi w:val="0"/>
        <w:rPr>
          <w:rFonts w:hint="default"/>
          <w:lang w:val="en-US" w:eastAsia="zh-CN"/>
        </w:rPr>
        <w:sectPr>
          <w:pgSz w:w="16838" w:h="11906" w:orient="landscape"/>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12" w:charSpace="0"/>
        </w:sectPr>
      </w:pPr>
      <w:r>
        <w:rPr>
          <w:rFonts w:hint="default"/>
          <w:lang w:val="en-US" w:eastAsia="zh-CN"/>
        </w:rPr>
        <w:drawing>
          <wp:inline distT="0" distB="0" distL="114300" distR="114300">
            <wp:extent cx="7348220" cy="5196205"/>
            <wp:effectExtent l="0" t="0" r="5080" b="4445"/>
            <wp:docPr id="104" name="图片 104" descr="呼玛县瑞和种植专业合作社建设_2026年08月18日101639_分析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呼玛县瑞和种植专业合作社建设_2026年08月18日101639_分析报告_01"/>
                    <pic:cNvPicPr>
                      <a:picLocks noChangeAspect="1"/>
                    </pic:cNvPicPr>
                  </pic:nvPicPr>
                  <pic:blipFill>
                    <a:blip r:embed="rId93"/>
                    <a:stretch>
                      <a:fillRect/>
                    </a:stretch>
                  </pic:blipFill>
                  <pic:spPr>
                    <a:xfrm>
                      <a:off x="0" y="0"/>
                      <a:ext cx="7348220" cy="519620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102" name="图片 102" descr="呼玛县瑞和种植专业合作社建设_2026年08月18日101639_分析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呼玛县瑞和种植专业合作社建设_2026年08月18日101639_分析报告_02"/>
                    <pic:cNvPicPr>
                      <a:picLocks noChangeAspect="1"/>
                    </pic:cNvPicPr>
                  </pic:nvPicPr>
                  <pic:blipFill>
                    <a:blip r:embed="rId94"/>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101" name="图片 101" descr="呼玛县瑞和种植专业合作社建设_2026年08月18日101639_分析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呼玛县瑞和种植专业合作社建设_2026年08月18日101639_分析报告_03"/>
                    <pic:cNvPicPr>
                      <a:picLocks noChangeAspect="1"/>
                    </pic:cNvPicPr>
                  </pic:nvPicPr>
                  <pic:blipFill>
                    <a:blip r:embed="rId95"/>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36255" cy="5753100"/>
            <wp:effectExtent l="0" t="0" r="17145" b="0"/>
            <wp:docPr id="100" name="图片 100" descr="呼玛县瑞和种植专业合作社建设_2026年08月18日101639_分析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呼玛县瑞和种植专业合作社建设_2026年08月18日101639_分析报告_04"/>
                    <pic:cNvPicPr>
                      <a:picLocks noChangeAspect="1"/>
                    </pic:cNvPicPr>
                  </pic:nvPicPr>
                  <pic:blipFill>
                    <a:blip r:embed="rId96"/>
                    <a:stretch>
                      <a:fillRect/>
                    </a:stretch>
                  </pic:blipFill>
                  <pic:spPr>
                    <a:xfrm>
                      <a:off x="0" y="0"/>
                      <a:ext cx="8136255" cy="5753100"/>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7" name="图片 97" descr="呼玛县瑞和种植专业合作社建设_2026年08月18日101639_分析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呼玛县瑞和种植专业合作社建设_2026年08月18日101639_分析报告_05"/>
                    <pic:cNvPicPr>
                      <a:picLocks noChangeAspect="1"/>
                    </pic:cNvPicPr>
                  </pic:nvPicPr>
                  <pic:blipFill>
                    <a:blip r:embed="rId97"/>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4" name="图片 94" descr="呼玛县瑞和种植专业合作社建设_2026年08月18日101639_分析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呼玛县瑞和种植专业合作社建设_2026年08月18日101639_分析报告_06"/>
                    <pic:cNvPicPr>
                      <a:picLocks noChangeAspect="1"/>
                    </pic:cNvPicPr>
                  </pic:nvPicPr>
                  <pic:blipFill>
                    <a:blip r:embed="rId98"/>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3" name="图片 93" descr="呼玛县瑞和种植专业合作社建设_2026年08月18日101639_分析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呼玛县瑞和种植专业合作社建设_2026年08月18日101639_分析报告_07"/>
                    <pic:cNvPicPr>
                      <a:picLocks noChangeAspect="1"/>
                    </pic:cNvPicPr>
                  </pic:nvPicPr>
                  <pic:blipFill>
                    <a:blip r:embed="rId99"/>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2" name="图片 92" descr="呼玛县瑞和种植专业合作社建设_2026年08月18日101639_分析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呼玛县瑞和种植专业合作社建设_2026年08月18日101639_分析报告_08"/>
                    <pic:cNvPicPr>
                      <a:picLocks noChangeAspect="1"/>
                    </pic:cNvPicPr>
                  </pic:nvPicPr>
                  <pic:blipFill>
                    <a:blip r:embed="rId100"/>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1" name="图片 91" descr="呼玛县瑞和种植专业合作社建设_2026年08月18日101639_分析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呼玛县瑞和种植专业合作社建设_2026年08月18日101639_分析报告_09"/>
                    <pic:cNvPicPr>
                      <a:picLocks noChangeAspect="1"/>
                    </pic:cNvPicPr>
                  </pic:nvPicPr>
                  <pic:blipFill>
                    <a:blip r:embed="rId101"/>
                    <a:stretch>
                      <a:fillRect/>
                    </a:stretch>
                  </pic:blipFill>
                  <pic:spPr>
                    <a:xfrm>
                      <a:off x="0" y="0"/>
                      <a:ext cx="8145780" cy="5760085"/>
                    </a:xfrm>
                    <a:prstGeom prst="rect">
                      <a:avLst/>
                    </a:prstGeom>
                  </pic:spPr>
                </pic:pic>
              </a:graphicData>
            </a:graphic>
          </wp:inline>
        </w:drawing>
      </w:r>
      <w:r>
        <w:rPr>
          <w:rFonts w:hint="default"/>
          <w:lang w:val="en-US" w:eastAsia="zh-CN"/>
        </w:rPr>
        <w:drawing>
          <wp:inline distT="0" distB="0" distL="114300" distR="114300">
            <wp:extent cx="8145780" cy="5760085"/>
            <wp:effectExtent l="0" t="0" r="7620" b="12065"/>
            <wp:docPr id="90" name="图片 90" descr="呼玛县瑞和种植专业合作社建设_2026年08月18日101639_分析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呼玛县瑞和种植专业合作社建设_2026年08月18日101639_分析报告_10"/>
                    <pic:cNvPicPr>
                      <a:picLocks noChangeAspect="1"/>
                    </pic:cNvPicPr>
                  </pic:nvPicPr>
                  <pic:blipFill>
                    <a:blip r:embed="rId102"/>
                    <a:stretch>
                      <a:fillRect/>
                    </a:stretch>
                  </pic:blipFill>
                  <pic:spPr>
                    <a:xfrm>
                      <a:off x="0" y="0"/>
                      <a:ext cx="8145780" cy="5760085"/>
                    </a:xfrm>
                    <a:prstGeom prst="rect">
                      <a:avLst/>
                    </a:prstGeom>
                  </pic:spPr>
                </pic:pic>
              </a:graphicData>
            </a:graphic>
          </wp:inline>
        </w:drawing>
      </w:r>
    </w:p>
    <w:p w14:paraId="342D0907">
      <w:pPr>
        <w:pStyle w:val="2"/>
        <w:keepNext w:val="0"/>
        <w:keepLines w:val="0"/>
        <w:pageBreakBefore w:val="0"/>
        <w:widowControl w:val="0"/>
        <w:kinsoku/>
        <w:wordWrap w:val="0"/>
        <w:overflowPunct/>
        <w:topLinePunct/>
        <w:autoSpaceDE/>
        <w:autoSpaceDN/>
        <w:bidi w:val="0"/>
        <w:adjustRightInd/>
        <w:snapToGrid/>
        <w:textAlignment w:val="center"/>
        <w:rPr>
          <w:rFonts w:hint="default" w:ascii="Times New Roman" w:hAnsi="Times New Roman" w:eastAsia="宋体" w:cs="Times New Roman"/>
          <w:color w:val="auto"/>
          <w:highlight w:val="none"/>
          <w:lang w:val="en-US" w:eastAsia="zh-CN"/>
        </w:rPr>
      </w:pPr>
      <w:bookmarkStart w:id="43" w:name="_Toc15709"/>
      <w:bookmarkStart w:id="44" w:name="_Toc17593"/>
      <w:r>
        <w:rPr>
          <w:rFonts w:hint="default" w:ascii="Times New Roman" w:hAnsi="Times New Roman" w:eastAsia="宋体" w:cs="Times New Roman"/>
          <w:color w:val="auto"/>
          <w:highlight w:val="none"/>
          <w:lang w:val="en-US" w:eastAsia="zh-CN"/>
        </w:rPr>
        <w:t>附件</w:t>
      </w:r>
      <w:r>
        <w:rPr>
          <w:rFonts w:hint="eastAsia" w:cs="Times New Roman"/>
          <w:color w:val="auto"/>
          <w:highlight w:val="none"/>
          <w:lang w:val="en-US" w:eastAsia="zh-CN"/>
        </w:rPr>
        <w:t>6</w:t>
      </w:r>
      <w:r>
        <w:rPr>
          <w:rFonts w:hint="default" w:ascii="Times New Roman" w:hAnsi="Times New Roman" w:eastAsia="宋体" w:cs="Times New Roman"/>
          <w:color w:val="auto"/>
          <w:highlight w:val="none"/>
          <w:lang w:val="en-US" w:eastAsia="zh-CN"/>
        </w:rPr>
        <w:t xml:space="preserve"> 核定排放量计算说明</w:t>
      </w:r>
      <w:bookmarkEnd w:id="43"/>
      <w:bookmarkEnd w:id="44"/>
    </w:p>
    <w:p w14:paraId="472C3C10">
      <w:pPr>
        <w:pStyle w:val="46"/>
        <w:bidi w:val="0"/>
        <w:rPr>
          <w:rFonts w:hint="default"/>
          <w:color w:val="auto"/>
          <w:highlight w:val="none"/>
        </w:rPr>
      </w:pPr>
      <w:bookmarkStart w:id="45" w:name="_Toc12415"/>
      <w:r>
        <w:rPr>
          <w:rFonts w:hint="default"/>
          <w:color w:val="auto"/>
          <w:highlight w:val="none"/>
        </w:rPr>
        <w:t>本项目</w:t>
      </w:r>
      <w:r>
        <w:rPr>
          <w:rFonts w:hint="default"/>
          <w:color w:val="auto"/>
          <w:highlight w:val="none"/>
          <w:lang w:val="en-US" w:eastAsia="zh-CN"/>
        </w:rPr>
        <w:t>设有</w:t>
      </w:r>
      <w:r>
        <w:rPr>
          <w:rFonts w:hint="eastAsia"/>
          <w:color w:val="auto"/>
          <w:highlight w:val="none"/>
          <w:lang w:val="en-US" w:eastAsia="zh-CN"/>
        </w:rPr>
        <w:t>3台</w:t>
      </w:r>
      <w:r>
        <w:rPr>
          <w:rFonts w:hint="default"/>
          <w:color w:val="auto"/>
          <w:highlight w:val="none"/>
        </w:rPr>
        <w:t>生物质热风炉</w:t>
      </w:r>
      <w:r>
        <w:rPr>
          <w:rFonts w:hint="eastAsia"/>
          <w:color w:val="auto"/>
          <w:highlight w:val="none"/>
          <w:lang w:eastAsia="zh-CN"/>
        </w:rPr>
        <w:t>，</w:t>
      </w:r>
      <w:r>
        <w:rPr>
          <w:rFonts w:hint="default"/>
          <w:color w:val="auto"/>
          <w:highlight w:val="none"/>
        </w:rPr>
        <w:t>年耗生物质成型燃料</w:t>
      </w:r>
      <w:r>
        <w:rPr>
          <w:rFonts w:hint="eastAsia"/>
          <w:color w:val="auto"/>
          <w:highlight w:val="none"/>
          <w:lang w:val="en-US" w:eastAsia="zh-CN"/>
        </w:rPr>
        <w:t>3050.13</w:t>
      </w:r>
      <w:r>
        <w:rPr>
          <w:rFonts w:hint="default"/>
          <w:color w:val="auto"/>
          <w:highlight w:val="none"/>
          <w:lang w:val="en-US" w:eastAsia="zh-CN"/>
        </w:rPr>
        <w:t>t</w:t>
      </w:r>
      <w:r>
        <w:rPr>
          <w:rFonts w:hint="default"/>
          <w:color w:val="auto"/>
          <w:highlight w:val="none"/>
        </w:rPr>
        <w:t>。本次评价参照《</w:t>
      </w:r>
      <w:r>
        <w:rPr>
          <w:rFonts w:hint="eastAsia"/>
          <w:color w:val="auto"/>
          <w:highlight w:val="none"/>
          <w:lang w:eastAsia="zh-CN"/>
        </w:rPr>
        <w:t>排污许可证申请与核发技术规范 工业炉窑</w:t>
      </w:r>
      <w:r>
        <w:rPr>
          <w:rFonts w:hint="default"/>
          <w:color w:val="auto"/>
          <w:highlight w:val="none"/>
        </w:rPr>
        <w:t>》（HJ1121—2020）中绩效法公式及参考绩效值计算</w:t>
      </w:r>
      <w:r>
        <w:rPr>
          <w:rFonts w:hint="eastAsia"/>
          <w:color w:val="auto"/>
          <w:highlight w:val="none"/>
          <w:lang w:val="en-US" w:eastAsia="zh-CN"/>
        </w:rPr>
        <w:t>颗粒物、</w:t>
      </w:r>
      <w:r>
        <w:rPr>
          <w:rFonts w:hint="default"/>
          <w:color w:val="auto"/>
          <w:highlight w:val="none"/>
        </w:rPr>
        <w:t>二氧化硫及氮氧化物污染物核定排放量</w:t>
      </w:r>
      <w:r>
        <w:rPr>
          <w:rFonts w:hint="eastAsia"/>
          <w:color w:val="auto"/>
          <w:highlight w:val="none"/>
          <w:lang w:eastAsia="zh-CN"/>
        </w:rPr>
        <w:t>。</w:t>
      </w:r>
      <w:r>
        <w:rPr>
          <w:rFonts w:hint="default"/>
          <w:color w:val="auto"/>
          <w:highlight w:val="none"/>
        </w:rPr>
        <w:t>绩效法计算公式如下：</w:t>
      </w:r>
    </w:p>
    <w:p w14:paraId="6109848E">
      <w:pPr>
        <w:pStyle w:val="50"/>
        <w:bidi w:val="0"/>
        <w:rPr>
          <w:rFonts w:hint="default"/>
          <w:color w:val="auto"/>
          <w:highlight w:val="none"/>
        </w:rPr>
      </w:pPr>
      <w:r>
        <w:rPr>
          <w:rFonts w:hint="default" w:ascii="Times New Roman" w:hAnsi="Times New Roman" w:cs="Times New Roman"/>
          <w:color w:val="auto"/>
          <w:position w:val="-10"/>
          <w:highlight w:val="none"/>
        </w:rPr>
        <w:object>
          <v:shape id="_x0000_i1051" o:spt="75" type="#_x0000_t75" style="height:17.25pt;width:77.25pt;" o:ole="t" filled="f" o:preferrelative="t" stroked="f" coordsize="21600,21600">
            <v:path/>
            <v:fill on="f" focussize="0,0"/>
            <v:stroke on="f" joinstyle="miter"/>
            <v:imagedata r:id="rId104" o:title=""/>
            <o:lock v:ext="edit" aspectratio="t"/>
            <w10:wrap type="none"/>
            <w10:anchorlock/>
          </v:shape>
          <o:OLEObject Type="Embed" ProgID="Equation.KSEE3" ShapeID="_x0000_i1051" DrawAspect="Content" ObjectID="_1468075751" r:id="rId103">
            <o:LockedField>false</o:LockedField>
          </o:OLEObject>
        </w:object>
      </w:r>
    </w:p>
    <w:p w14:paraId="53DF132A">
      <w:pPr>
        <w:pStyle w:val="46"/>
        <w:bidi w:val="0"/>
        <w:rPr>
          <w:rFonts w:hint="default"/>
          <w:color w:val="auto"/>
          <w:highlight w:val="none"/>
        </w:rPr>
      </w:pPr>
      <w:r>
        <w:rPr>
          <w:rFonts w:hint="default"/>
          <w:color w:val="auto"/>
          <w:highlight w:val="none"/>
        </w:rPr>
        <w:t>式中：</w:t>
      </w:r>
    </w:p>
    <w:p w14:paraId="43DA6903">
      <w:pPr>
        <w:pStyle w:val="46"/>
        <w:bidi w:val="0"/>
        <w:rPr>
          <w:rFonts w:hint="default"/>
          <w:color w:val="auto"/>
          <w:highlight w:val="none"/>
        </w:rPr>
      </w:pPr>
      <w:r>
        <w:rPr>
          <w:rFonts w:hint="default" w:ascii="Times New Roman" w:hAnsi="Times New Roman" w:cs="Times New Roman"/>
          <w:color w:val="auto"/>
          <w:position w:val="-12"/>
          <w:highlight w:val="none"/>
        </w:rPr>
        <w:object>
          <v:shape id="_x0000_i1052" o:spt="75" type="#_x0000_t75" style="height:18.75pt;width:18.75pt;" o:ole="t" filled="f" o:preferrelative="t" stroked="f" coordsize="21600,21600">
            <v:path/>
            <v:fill on="f" focussize="0,0"/>
            <v:stroke on="f" joinstyle="miter"/>
            <v:imagedata r:id="rId106" o:title=""/>
            <o:lock v:ext="edit" aspectratio="t"/>
            <w10:wrap type="none"/>
            <w10:anchorlock/>
          </v:shape>
          <o:OLEObject Type="Embed" ProgID="Equation.KSEE3" ShapeID="_x0000_i1052" DrawAspect="Content" ObjectID="_1468075752" r:id="rId105">
            <o:LockedField>false</o:LockedField>
          </o:OLEObject>
        </w:object>
      </w:r>
      <w:r>
        <w:rPr>
          <w:rFonts w:hint="default"/>
          <w:color w:val="auto"/>
          <w:highlight w:val="none"/>
        </w:rPr>
        <w:t>—第i个排放口污染</w:t>
      </w:r>
      <w:r>
        <w:rPr>
          <w:rFonts w:hint="eastAsia"/>
          <w:color w:val="auto"/>
          <w:highlight w:val="none"/>
          <w:lang w:val="en-US" w:eastAsia="zh-CN"/>
        </w:rPr>
        <w:t>物</w:t>
      </w:r>
      <w:r>
        <w:rPr>
          <w:rFonts w:hint="default"/>
          <w:color w:val="auto"/>
          <w:highlight w:val="none"/>
        </w:rPr>
        <w:t>年核定排放量，t/a；</w:t>
      </w:r>
    </w:p>
    <w:p w14:paraId="5897BB10">
      <w:pPr>
        <w:pStyle w:val="46"/>
        <w:bidi w:val="0"/>
        <w:rPr>
          <w:rFonts w:hint="default"/>
          <w:color w:val="auto"/>
          <w:highlight w:val="none"/>
        </w:rPr>
      </w:pPr>
      <w:r>
        <w:rPr>
          <w:rFonts w:hint="default" w:ascii="Times New Roman" w:hAnsi="Times New Roman" w:cs="Times New Roman"/>
          <w:color w:val="auto"/>
          <w:position w:val="-4"/>
          <w:szCs w:val="24"/>
          <w:highlight w:val="none"/>
        </w:rPr>
        <w:object>
          <v:shape id="_x0000_i1053" o:spt="75" type="#_x0000_t75" style="height:12.75pt;width:12pt;" o:ole="t" filled="f" o:preferrelative="t" stroked="f" coordsize="21600,21600">
            <v:path/>
            <v:fill on="f" focussize="0,0"/>
            <v:stroke on="f" joinstyle="miter"/>
            <v:imagedata r:id="rId108" o:title=""/>
            <o:lock v:ext="edit" aspectratio="t"/>
            <w10:wrap type="none"/>
            <w10:anchorlock/>
          </v:shape>
          <o:OLEObject Type="Embed" ProgID="Equation.KSEE3" ShapeID="_x0000_i1053" DrawAspect="Content" ObjectID="_1468075753" r:id="rId107">
            <o:LockedField>false</o:LockedField>
          </o:OLEObject>
        </w:object>
      </w:r>
      <w:r>
        <w:rPr>
          <w:rFonts w:hint="default"/>
          <w:color w:val="auto"/>
          <w:highlight w:val="none"/>
        </w:rPr>
        <w:t>—第i个排放口对应工业炉窑前三年实际产量最大值（若不足一年或前三年实际产量最大值超过设计产能，则以设计产能为准）或前三年实际燃料消耗量最大值（若不足一年或前三年实际燃料消耗量最大值超过设计消耗量，则以设计消耗量为准），万t或万</w:t>
      </w:r>
      <w:r>
        <w:rPr>
          <w:rFonts w:hint="eastAsia"/>
          <w:color w:val="auto"/>
          <w:highlight w:val="none"/>
          <w:lang w:eastAsia="zh-CN"/>
        </w:rPr>
        <w:t>m</w:t>
      </w:r>
      <w:r>
        <w:rPr>
          <w:rFonts w:hint="eastAsia"/>
          <w:color w:val="auto"/>
          <w:highlight w:val="none"/>
          <w:vertAlign w:val="superscript"/>
          <w:lang w:eastAsia="zh-CN"/>
        </w:rPr>
        <w:t>3</w:t>
      </w:r>
      <w:r>
        <w:rPr>
          <w:rFonts w:hint="eastAsia"/>
          <w:color w:val="auto"/>
          <w:highlight w:val="none"/>
          <w:lang w:eastAsia="zh-CN"/>
        </w:rPr>
        <w:t>，</w:t>
      </w:r>
      <w:r>
        <w:rPr>
          <w:rFonts w:hint="eastAsia"/>
          <w:color w:val="auto"/>
          <w:highlight w:val="none"/>
          <w:lang w:val="en-US" w:eastAsia="zh-CN"/>
        </w:rPr>
        <w:t>以0.033</w:t>
      </w:r>
      <w:r>
        <w:rPr>
          <w:rFonts w:hint="default"/>
          <w:color w:val="auto"/>
          <w:highlight w:val="none"/>
        </w:rPr>
        <w:t>万t</w:t>
      </w:r>
      <w:r>
        <w:rPr>
          <w:rFonts w:hint="eastAsia"/>
          <w:color w:val="auto"/>
          <w:highlight w:val="none"/>
          <w:lang w:val="en-US" w:eastAsia="zh-CN"/>
        </w:rPr>
        <w:t>计</w:t>
      </w:r>
      <w:r>
        <w:rPr>
          <w:rFonts w:hint="default"/>
          <w:color w:val="auto"/>
          <w:highlight w:val="none"/>
        </w:rPr>
        <w:t>；</w:t>
      </w:r>
    </w:p>
    <w:p w14:paraId="26DFDF88">
      <w:pPr>
        <w:pStyle w:val="46"/>
        <w:bidi w:val="0"/>
        <w:rPr>
          <w:rFonts w:hint="default"/>
          <w:color w:val="auto"/>
          <w:highlight w:val="none"/>
        </w:rPr>
      </w:pPr>
      <w:r>
        <w:rPr>
          <w:rFonts w:hint="default" w:ascii="Times New Roman" w:hAnsi="Times New Roman" w:cs="Times New Roman"/>
          <w:color w:val="auto"/>
          <w:position w:val="-6"/>
          <w:szCs w:val="24"/>
          <w:highlight w:val="none"/>
        </w:rPr>
        <w:object>
          <v:shape id="_x0000_i1054" o:spt="75" type="#_x0000_t75" style="height:14.25pt;width:12.75pt;" o:ole="t" filled="f" o:preferrelative="t" stroked="f" coordsize="21600,21600">
            <v:path/>
            <v:fill on="f" focussize="0,0"/>
            <v:stroke on="f" joinstyle="miter"/>
            <v:imagedata r:id="rId110" o:title=""/>
            <o:lock v:ext="edit" aspectratio="t"/>
            <w10:wrap type="none"/>
            <w10:anchorlock/>
          </v:shape>
          <o:OLEObject Type="Embed" ProgID="Equation.KSEE3" ShapeID="_x0000_i1054" DrawAspect="Content" ObjectID="_1468075754" r:id="rId109">
            <o:LockedField>false</o:LockedField>
          </o:OLEObject>
        </w:object>
      </w:r>
      <w:r>
        <w:rPr>
          <w:rFonts w:hint="default"/>
          <w:color w:val="auto"/>
          <w:highlight w:val="none"/>
        </w:rPr>
        <w:t>—绩效值，kg/t产品，kg/t燃料或kg/</w:t>
      </w:r>
      <w:r>
        <w:rPr>
          <w:rFonts w:hint="eastAsia"/>
          <w:color w:val="auto"/>
          <w:highlight w:val="none"/>
          <w:lang w:eastAsia="zh-CN"/>
        </w:rPr>
        <w:t>m</w:t>
      </w:r>
      <w:r>
        <w:rPr>
          <w:rFonts w:hint="eastAsia"/>
          <w:color w:val="auto"/>
          <w:highlight w:val="none"/>
          <w:vertAlign w:val="superscript"/>
          <w:lang w:eastAsia="zh-CN"/>
        </w:rPr>
        <w:t>3</w:t>
      </w:r>
      <w:r>
        <w:rPr>
          <w:rFonts w:hint="default"/>
          <w:color w:val="auto"/>
          <w:highlight w:val="none"/>
        </w:rPr>
        <w:t>燃料；</w:t>
      </w:r>
    </w:p>
    <w:p w14:paraId="0382ED40">
      <w:pPr>
        <w:pStyle w:val="46"/>
        <w:bidi w:val="0"/>
        <w:rPr>
          <w:rFonts w:hint="default"/>
          <w:color w:val="auto"/>
          <w:highlight w:val="none"/>
        </w:rPr>
      </w:pPr>
      <w:r>
        <w:rPr>
          <w:rFonts w:hint="default"/>
          <w:color w:val="auto"/>
          <w:highlight w:val="none"/>
        </w:rPr>
        <w:t>本项目使用的生物质成型燃料低位发热量为</w:t>
      </w:r>
      <w:r>
        <w:rPr>
          <w:rFonts w:hint="eastAsia"/>
          <w:color w:val="auto"/>
          <w:highlight w:val="none"/>
          <w:lang w:val="en-US" w:eastAsia="zh-CN"/>
        </w:rPr>
        <w:t>17.77</w:t>
      </w:r>
      <w:r>
        <w:rPr>
          <w:rFonts w:hint="default"/>
          <w:color w:val="auto"/>
          <w:highlight w:val="none"/>
        </w:rPr>
        <w:t>MJ/kg，对照《</w:t>
      </w:r>
      <w:r>
        <w:rPr>
          <w:rFonts w:hint="eastAsia"/>
          <w:color w:val="auto"/>
          <w:highlight w:val="none"/>
          <w:lang w:eastAsia="zh-CN"/>
        </w:rPr>
        <w:t>排污许可证申请与核发技术规范 工业炉窑</w:t>
      </w:r>
      <w:r>
        <w:rPr>
          <w:rFonts w:hint="default"/>
          <w:color w:val="auto"/>
          <w:highlight w:val="none"/>
        </w:rPr>
        <w:t>》（HJ1121—2020）表6采用插值法计算绩效值结果见下表。</w:t>
      </w:r>
    </w:p>
    <w:p w14:paraId="21BD784D">
      <w:pPr>
        <w:pStyle w:val="50"/>
        <w:bidi w:val="0"/>
        <w:rPr>
          <w:color w:val="auto"/>
          <w:highlight w:val="none"/>
        </w:rPr>
      </w:pPr>
      <w:r>
        <w:rPr>
          <w:color w:val="auto"/>
          <w:highlight w:val="none"/>
        </w:rPr>
        <w:t>表</w:t>
      </w:r>
      <w:r>
        <w:rPr>
          <w:rFonts w:hint="eastAsia"/>
          <w:color w:val="auto"/>
          <w:highlight w:val="none"/>
        </w:rPr>
        <w:t>1</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color w:val="auto"/>
          <w:highlight w:val="none"/>
        </w:rPr>
        <w:t>参考绩效值</w:t>
      </w:r>
      <w:r>
        <w:rPr>
          <w:color w:val="auto"/>
          <w:highlight w:val="none"/>
        </w:rPr>
        <w:t>表</w:t>
      </w:r>
    </w:p>
    <w:tbl>
      <w:tblPr>
        <w:tblStyle w:val="3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27"/>
        <w:gridCol w:w="2138"/>
        <w:gridCol w:w="2138"/>
        <w:gridCol w:w="2139"/>
      </w:tblGrid>
      <w:tr w14:paraId="7E532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2" w:type="dxa"/>
            <w:gridSpan w:val="4"/>
            <w:tcBorders>
              <w:tl2br w:val="nil"/>
              <w:tr2bl w:val="nil"/>
            </w:tcBorders>
            <w:noWrap w:val="0"/>
            <w:vAlign w:val="center"/>
          </w:tcPr>
          <w:p w14:paraId="3E7E59FA">
            <w:pPr>
              <w:pStyle w:val="60"/>
              <w:bidi w:val="0"/>
              <w:rPr>
                <w:color w:val="auto"/>
                <w:highlight w:val="none"/>
              </w:rPr>
            </w:pPr>
            <w:r>
              <w:rPr>
                <w:rFonts w:hint="eastAsia"/>
                <w:color w:val="auto"/>
                <w:highlight w:val="none"/>
              </w:rPr>
              <w:t>固体燃料</w:t>
            </w:r>
          </w:p>
        </w:tc>
      </w:tr>
      <w:tr w14:paraId="353A7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8" w:type="dxa"/>
            <w:tcBorders>
              <w:tl2br w:val="nil"/>
              <w:tr2bl w:val="nil"/>
            </w:tcBorders>
            <w:noWrap w:val="0"/>
            <w:vAlign w:val="center"/>
          </w:tcPr>
          <w:p w14:paraId="282ED497">
            <w:pPr>
              <w:pStyle w:val="60"/>
              <w:bidi w:val="0"/>
              <w:rPr>
                <w:color w:val="auto"/>
                <w:highlight w:val="none"/>
              </w:rPr>
            </w:pPr>
            <w:r>
              <w:rPr>
                <w:rFonts w:hint="eastAsia"/>
                <w:color w:val="auto"/>
                <w:highlight w:val="none"/>
              </w:rPr>
              <w:t>低位热值（MJ/kg）</w:t>
            </w:r>
          </w:p>
        </w:tc>
        <w:tc>
          <w:tcPr>
            <w:tcW w:w="1971" w:type="dxa"/>
            <w:tcBorders>
              <w:tl2br w:val="nil"/>
              <w:tr2bl w:val="nil"/>
            </w:tcBorders>
            <w:noWrap w:val="0"/>
            <w:vAlign w:val="center"/>
          </w:tcPr>
          <w:p w14:paraId="128BA54E">
            <w:pPr>
              <w:pStyle w:val="60"/>
              <w:bidi w:val="0"/>
              <w:ind w:firstLine="0" w:firstLineChars="0"/>
              <w:rPr>
                <w:color w:val="auto"/>
                <w:highlight w:val="none"/>
              </w:rPr>
            </w:pPr>
            <w:r>
              <w:rPr>
                <w:rFonts w:hint="eastAsia"/>
                <w:color w:val="auto"/>
                <w:highlight w:val="none"/>
                <w:lang w:val="en-US" w:eastAsia="zh-CN"/>
              </w:rPr>
              <w:t>16.75</w:t>
            </w:r>
          </w:p>
        </w:tc>
        <w:tc>
          <w:tcPr>
            <w:tcW w:w="1971" w:type="dxa"/>
            <w:tcBorders>
              <w:tl2br w:val="nil"/>
              <w:tr2bl w:val="nil"/>
            </w:tcBorders>
            <w:noWrap w:val="0"/>
            <w:vAlign w:val="center"/>
          </w:tcPr>
          <w:p w14:paraId="0C634218">
            <w:pPr>
              <w:pStyle w:val="60"/>
              <w:bidi w:val="0"/>
              <w:rPr>
                <w:rFonts w:hint="default"/>
                <w:color w:val="auto"/>
                <w:highlight w:val="none"/>
                <w:lang w:val="en-US" w:eastAsia="zh-CN"/>
              </w:rPr>
            </w:pPr>
            <w:r>
              <w:rPr>
                <w:rFonts w:hint="eastAsia"/>
                <w:color w:val="auto"/>
                <w:highlight w:val="none"/>
                <w:lang w:val="en-US" w:eastAsia="zh-CN"/>
              </w:rPr>
              <w:t>17.77</w:t>
            </w:r>
          </w:p>
        </w:tc>
        <w:tc>
          <w:tcPr>
            <w:tcW w:w="1972" w:type="dxa"/>
            <w:tcBorders>
              <w:tl2br w:val="nil"/>
              <w:tr2bl w:val="nil"/>
            </w:tcBorders>
            <w:noWrap w:val="0"/>
            <w:vAlign w:val="center"/>
          </w:tcPr>
          <w:p w14:paraId="051FEE49">
            <w:pPr>
              <w:pStyle w:val="60"/>
              <w:bidi w:val="0"/>
              <w:rPr>
                <w:rFonts w:hint="default"/>
                <w:color w:val="auto"/>
                <w:highlight w:val="none"/>
                <w:lang w:val="en-US" w:eastAsia="zh-CN"/>
              </w:rPr>
            </w:pPr>
            <w:r>
              <w:rPr>
                <w:rFonts w:hint="eastAsia"/>
                <w:color w:val="auto"/>
                <w:highlight w:val="none"/>
                <w:lang w:val="en-US" w:eastAsia="zh-CN"/>
              </w:rPr>
              <w:t>18.84</w:t>
            </w:r>
          </w:p>
        </w:tc>
      </w:tr>
      <w:tr w14:paraId="6CB78A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8" w:type="dxa"/>
            <w:tcBorders>
              <w:tl2br w:val="nil"/>
              <w:tr2bl w:val="nil"/>
            </w:tcBorders>
            <w:noWrap w:val="0"/>
            <w:vAlign w:val="center"/>
          </w:tcPr>
          <w:p w14:paraId="510A9AD1">
            <w:pPr>
              <w:pStyle w:val="60"/>
              <w:bidi w:val="0"/>
              <w:rPr>
                <w:rFonts w:hint="eastAsia" w:eastAsia="宋体"/>
                <w:color w:val="auto"/>
                <w:highlight w:val="none"/>
                <w:lang w:val="en-US" w:eastAsia="zh-CN"/>
              </w:rPr>
            </w:pPr>
            <w:r>
              <w:rPr>
                <w:rFonts w:hint="eastAsia"/>
                <w:color w:val="auto"/>
                <w:highlight w:val="none"/>
                <w:lang w:val="en-US" w:eastAsia="zh-CN"/>
              </w:rPr>
              <w:t>颗粒物</w:t>
            </w:r>
            <w:r>
              <w:rPr>
                <w:rFonts w:hint="eastAsia"/>
                <w:color w:val="auto"/>
                <w:highlight w:val="none"/>
              </w:rPr>
              <w:t>绩效值（kg/t）</w:t>
            </w:r>
          </w:p>
        </w:tc>
        <w:tc>
          <w:tcPr>
            <w:tcW w:w="1971" w:type="dxa"/>
            <w:tcBorders>
              <w:tl2br w:val="nil"/>
              <w:tr2bl w:val="nil"/>
            </w:tcBorders>
            <w:noWrap w:val="0"/>
            <w:vAlign w:val="center"/>
          </w:tcPr>
          <w:p w14:paraId="15F893D4">
            <w:pPr>
              <w:pStyle w:val="60"/>
              <w:bidi w:val="0"/>
              <w:ind w:firstLine="0" w:firstLineChars="0"/>
              <w:rPr>
                <w:rFonts w:hint="default"/>
                <w:color w:val="auto"/>
                <w:highlight w:val="none"/>
                <w:lang w:val="en-US" w:eastAsia="zh-CN"/>
              </w:rPr>
            </w:pPr>
            <w:r>
              <w:rPr>
                <w:rFonts w:hint="eastAsia"/>
                <w:color w:val="auto"/>
                <w:highlight w:val="none"/>
                <w:lang w:val="en-US" w:eastAsia="zh-CN"/>
              </w:rPr>
              <w:t>0.252</w:t>
            </w:r>
          </w:p>
        </w:tc>
        <w:tc>
          <w:tcPr>
            <w:tcW w:w="1971" w:type="dxa"/>
            <w:tcBorders>
              <w:tl2br w:val="nil"/>
              <w:tr2bl w:val="nil"/>
            </w:tcBorders>
            <w:noWrap w:val="0"/>
            <w:vAlign w:val="center"/>
          </w:tcPr>
          <w:p w14:paraId="2C20E216">
            <w:pPr>
              <w:pStyle w:val="60"/>
              <w:bidi w:val="0"/>
              <w:rPr>
                <w:rFonts w:hint="default"/>
                <w:color w:val="auto"/>
                <w:highlight w:val="none"/>
                <w:lang w:val="en-US" w:eastAsia="zh-CN"/>
              </w:rPr>
            </w:pPr>
            <w:r>
              <w:rPr>
                <w:rFonts w:hint="eastAsia"/>
                <w:color w:val="auto"/>
                <w:highlight w:val="none"/>
                <w:lang w:val="en-US" w:eastAsia="zh-CN"/>
              </w:rPr>
              <w:t>0.264</w:t>
            </w:r>
          </w:p>
        </w:tc>
        <w:tc>
          <w:tcPr>
            <w:tcW w:w="1972" w:type="dxa"/>
            <w:tcBorders>
              <w:tl2br w:val="nil"/>
              <w:tr2bl w:val="nil"/>
            </w:tcBorders>
            <w:noWrap w:val="0"/>
            <w:vAlign w:val="center"/>
          </w:tcPr>
          <w:p w14:paraId="378F76ED">
            <w:pPr>
              <w:pStyle w:val="60"/>
              <w:bidi w:val="0"/>
              <w:rPr>
                <w:rFonts w:hint="default"/>
                <w:color w:val="auto"/>
                <w:highlight w:val="none"/>
                <w:lang w:val="en-US" w:eastAsia="zh-CN"/>
              </w:rPr>
            </w:pPr>
            <w:r>
              <w:rPr>
                <w:rFonts w:hint="eastAsia"/>
                <w:color w:val="auto"/>
                <w:highlight w:val="none"/>
                <w:lang w:val="en-US" w:eastAsia="zh-CN"/>
              </w:rPr>
              <w:t>0.276</w:t>
            </w:r>
          </w:p>
        </w:tc>
      </w:tr>
      <w:tr w14:paraId="17156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8" w:type="dxa"/>
            <w:tcBorders>
              <w:tl2br w:val="nil"/>
              <w:tr2bl w:val="nil"/>
            </w:tcBorders>
            <w:noWrap w:val="0"/>
            <w:vAlign w:val="center"/>
          </w:tcPr>
          <w:p w14:paraId="2E5D09C3">
            <w:pPr>
              <w:pStyle w:val="60"/>
              <w:bidi w:val="0"/>
              <w:rPr>
                <w:rFonts w:hint="eastAsia" w:eastAsia="宋体"/>
                <w:color w:val="auto"/>
                <w:highlight w:val="none"/>
                <w:lang w:val="en-US" w:eastAsia="zh-CN"/>
              </w:rPr>
            </w:pPr>
            <w:r>
              <w:rPr>
                <w:rFonts w:hint="eastAsia"/>
                <w:color w:val="auto"/>
                <w:highlight w:val="none"/>
                <w:lang w:val="en-US" w:eastAsia="zh-CN"/>
              </w:rPr>
              <w:t>二氧化硫</w:t>
            </w:r>
            <w:r>
              <w:rPr>
                <w:rFonts w:hint="eastAsia"/>
                <w:color w:val="auto"/>
                <w:highlight w:val="none"/>
              </w:rPr>
              <w:t>绩效值（kg/t）</w:t>
            </w:r>
          </w:p>
        </w:tc>
        <w:tc>
          <w:tcPr>
            <w:tcW w:w="1971" w:type="dxa"/>
            <w:tcBorders>
              <w:tl2br w:val="nil"/>
              <w:tr2bl w:val="nil"/>
            </w:tcBorders>
            <w:noWrap w:val="0"/>
            <w:vAlign w:val="center"/>
          </w:tcPr>
          <w:p w14:paraId="00F4C80E">
            <w:pPr>
              <w:pStyle w:val="60"/>
              <w:bidi w:val="0"/>
              <w:ind w:firstLine="0" w:firstLineChars="0"/>
              <w:rPr>
                <w:rFonts w:hint="default"/>
                <w:color w:val="auto"/>
                <w:highlight w:val="none"/>
                <w:lang w:val="en-US" w:eastAsia="zh-CN"/>
              </w:rPr>
            </w:pPr>
            <w:r>
              <w:rPr>
                <w:rFonts w:hint="eastAsia"/>
                <w:color w:val="auto"/>
                <w:highlight w:val="none"/>
                <w:lang w:val="en-US" w:eastAsia="zh-CN"/>
              </w:rPr>
              <w:t>0.839</w:t>
            </w:r>
          </w:p>
        </w:tc>
        <w:tc>
          <w:tcPr>
            <w:tcW w:w="1971" w:type="dxa"/>
            <w:tcBorders>
              <w:tl2br w:val="nil"/>
              <w:tr2bl w:val="nil"/>
            </w:tcBorders>
            <w:noWrap w:val="0"/>
            <w:vAlign w:val="center"/>
          </w:tcPr>
          <w:p w14:paraId="65599905">
            <w:pPr>
              <w:pStyle w:val="60"/>
              <w:bidi w:val="0"/>
              <w:rPr>
                <w:rFonts w:hint="default"/>
                <w:color w:val="auto"/>
                <w:highlight w:val="none"/>
                <w:lang w:val="en-US" w:eastAsia="zh-CN"/>
              </w:rPr>
            </w:pPr>
            <w:r>
              <w:rPr>
                <w:rFonts w:hint="eastAsia"/>
                <w:color w:val="auto"/>
                <w:highlight w:val="none"/>
                <w:lang w:val="en-US" w:eastAsia="zh-CN"/>
              </w:rPr>
              <w:t>0.878</w:t>
            </w:r>
          </w:p>
        </w:tc>
        <w:tc>
          <w:tcPr>
            <w:tcW w:w="1972" w:type="dxa"/>
            <w:tcBorders>
              <w:tl2br w:val="nil"/>
              <w:tr2bl w:val="nil"/>
            </w:tcBorders>
            <w:noWrap w:val="0"/>
            <w:vAlign w:val="center"/>
          </w:tcPr>
          <w:p w14:paraId="77B0D536">
            <w:pPr>
              <w:pStyle w:val="60"/>
              <w:bidi w:val="0"/>
              <w:rPr>
                <w:rFonts w:hint="default"/>
                <w:color w:val="auto"/>
                <w:highlight w:val="none"/>
                <w:lang w:val="en-US" w:eastAsia="zh-CN"/>
              </w:rPr>
            </w:pPr>
            <w:r>
              <w:rPr>
                <w:rFonts w:hint="eastAsia"/>
                <w:color w:val="auto"/>
                <w:highlight w:val="none"/>
                <w:lang w:val="en-US" w:eastAsia="zh-CN"/>
              </w:rPr>
              <w:t>0.919</w:t>
            </w:r>
          </w:p>
        </w:tc>
      </w:tr>
      <w:tr w14:paraId="249A6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8" w:type="dxa"/>
            <w:tcBorders>
              <w:tl2br w:val="nil"/>
              <w:tr2bl w:val="nil"/>
            </w:tcBorders>
            <w:noWrap w:val="0"/>
            <w:vAlign w:val="center"/>
          </w:tcPr>
          <w:p w14:paraId="7D417610">
            <w:pPr>
              <w:pStyle w:val="60"/>
              <w:bidi w:val="0"/>
              <w:rPr>
                <w:color w:val="auto"/>
                <w:highlight w:val="none"/>
              </w:rPr>
            </w:pPr>
            <w:r>
              <w:rPr>
                <w:rFonts w:hint="eastAsia"/>
                <w:color w:val="auto"/>
                <w:highlight w:val="none"/>
              </w:rPr>
              <w:t>氮氧化物绩效值（kg/t）</w:t>
            </w:r>
          </w:p>
        </w:tc>
        <w:tc>
          <w:tcPr>
            <w:tcW w:w="1971" w:type="dxa"/>
            <w:tcBorders>
              <w:tl2br w:val="nil"/>
              <w:tr2bl w:val="nil"/>
            </w:tcBorders>
            <w:noWrap w:val="0"/>
            <w:vAlign w:val="center"/>
          </w:tcPr>
          <w:p w14:paraId="0403D111">
            <w:pPr>
              <w:pStyle w:val="60"/>
              <w:bidi w:val="0"/>
              <w:ind w:firstLine="0" w:firstLineChars="0"/>
              <w:rPr>
                <w:color w:val="auto"/>
                <w:highlight w:val="none"/>
              </w:rPr>
            </w:pPr>
            <w:r>
              <w:rPr>
                <w:rFonts w:hint="eastAsia"/>
                <w:color w:val="auto"/>
                <w:highlight w:val="none"/>
                <w:lang w:val="en-US" w:eastAsia="zh-CN"/>
              </w:rPr>
              <w:t>2.516</w:t>
            </w:r>
          </w:p>
        </w:tc>
        <w:tc>
          <w:tcPr>
            <w:tcW w:w="1971" w:type="dxa"/>
            <w:tcBorders>
              <w:tl2br w:val="nil"/>
              <w:tr2bl w:val="nil"/>
            </w:tcBorders>
            <w:noWrap w:val="0"/>
            <w:vAlign w:val="center"/>
          </w:tcPr>
          <w:p w14:paraId="31523198">
            <w:pPr>
              <w:pStyle w:val="60"/>
              <w:bidi w:val="0"/>
              <w:rPr>
                <w:rFonts w:hint="default"/>
                <w:color w:val="auto"/>
                <w:highlight w:val="none"/>
                <w:lang w:val="en-US" w:eastAsia="zh-CN"/>
              </w:rPr>
            </w:pPr>
            <w:r>
              <w:rPr>
                <w:rFonts w:hint="eastAsia"/>
                <w:color w:val="auto"/>
                <w:highlight w:val="none"/>
                <w:lang w:val="en-US" w:eastAsia="zh-CN"/>
              </w:rPr>
              <w:t>2.633</w:t>
            </w:r>
          </w:p>
        </w:tc>
        <w:tc>
          <w:tcPr>
            <w:tcW w:w="1972" w:type="dxa"/>
            <w:tcBorders>
              <w:tl2br w:val="nil"/>
              <w:tr2bl w:val="nil"/>
            </w:tcBorders>
            <w:noWrap w:val="0"/>
            <w:vAlign w:val="center"/>
          </w:tcPr>
          <w:p w14:paraId="27CB1295">
            <w:pPr>
              <w:pStyle w:val="60"/>
              <w:bidi w:val="0"/>
              <w:rPr>
                <w:rFonts w:hint="default"/>
                <w:color w:val="auto"/>
                <w:highlight w:val="none"/>
                <w:lang w:val="en-US" w:eastAsia="zh-CN"/>
              </w:rPr>
            </w:pPr>
            <w:r>
              <w:rPr>
                <w:rFonts w:hint="eastAsia"/>
                <w:color w:val="auto"/>
                <w:highlight w:val="none"/>
                <w:lang w:val="en-US" w:eastAsia="zh-CN"/>
              </w:rPr>
              <w:t>2.756</w:t>
            </w:r>
          </w:p>
        </w:tc>
      </w:tr>
    </w:tbl>
    <w:p w14:paraId="278C05CA">
      <w:pPr>
        <w:pStyle w:val="52"/>
        <w:bidi w:val="0"/>
        <w:rPr>
          <w:rFonts w:hint="eastAsia"/>
          <w:color w:val="auto"/>
          <w:highlight w:val="none"/>
        </w:rPr>
      </w:pPr>
      <w:r>
        <w:rPr>
          <w:rFonts w:hint="eastAsia"/>
          <w:color w:val="auto"/>
          <w:highlight w:val="none"/>
        </w:rPr>
        <w:t>则本项目</w:t>
      </w:r>
      <w:r>
        <w:rPr>
          <w:rFonts w:hint="eastAsia"/>
          <w:color w:val="auto"/>
          <w:highlight w:val="none"/>
          <w:lang w:val="en-US" w:eastAsia="zh-CN"/>
        </w:rPr>
        <w:t>颗粒物、二氧化硫、氮氧化物</w:t>
      </w:r>
      <w:r>
        <w:rPr>
          <w:rFonts w:hint="eastAsia"/>
          <w:color w:val="auto"/>
          <w:highlight w:val="none"/>
        </w:rPr>
        <w:t>污染物核定量计算结果如下：</w:t>
      </w:r>
    </w:p>
    <w:p w14:paraId="22F43238">
      <w:pPr>
        <w:spacing w:line="360" w:lineRule="auto"/>
        <w:ind w:firstLine="1440" w:firstLineChars="600"/>
        <w:rPr>
          <w:color w:val="auto"/>
          <w:sz w:val="24"/>
          <w:highlight w:val="none"/>
        </w:rPr>
      </w:pPr>
      <w:r>
        <w:rPr>
          <w:rFonts w:hint="eastAsia"/>
          <w:color w:val="auto"/>
          <w:sz w:val="24"/>
          <w:highlight w:val="none"/>
        </w:rPr>
        <w:t>E</w:t>
      </w:r>
      <w:r>
        <w:rPr>
          <w:rFonts w:hint="eastAsia"/>
          <w:color w:val="auto"/>
          <w:sz w:val="24"/>
          <w:highlight w:val="none"/>
          <w:vertAlign w:val="subscript"/>
          <w:lang w:val="en-US" w:eastAsia="zh-CN"/>
        </w:rPr>
        <w:t>颗粒物</w:t>
      </w:r>
      <w:r>
        <w:rPr>
          <w:rFonts w:hint="eastAsia"/>
          <w:color w:val="auto"/>
          <w:sz w:val="24"/>
          <w:highlight w:val="none"/>
        </w:rPr>
        <w:t>=</w:t>
      </w:r>
      <w:r>
        <w:rPr>
          <w:rFonts w:hint="eastAsia"/>
          <w:color w:val="auto"/>
          <w:sz w:val="24"/>
          <w:highlight w:val="none"/>
          <w:lang w:val="en-US" w:eastAsia="zh-CN"/>
        </w:rPr>
        <w:t>3050.13</w:t>
      </w:r>
      <w:r>
        <w:rPr>
          <w:rFonts w:hint="eastAsia"/>
          <w:color w:val="auto"/>
          <w:sz w:val="24"/>
          <w:highlight w:val="none"/>
        </w:rPr>
        <w:t>×10</w:t>
      </w:r>
      <w:r>
        <w:rPr>
          <w:rFonts w:hint="eastAsia"/>
          <w:color w:val="auto"/>
          <w:sz w:val="24"/>
          <w:highlight w:val="none"/>
          <w:vertAlign w:val="superscript"/>
        </w:rPr>
        <w:t>-4</w:t>
      </w:r>
      <w:r>
        <w:rPr>
          <w:rFonts w:hint="eastAsia"/>
          <w:color w:val="auto"/>
          <w:sz w:val="24"/>
          <w:highlight w:val="none"/>
        </w:rPr>
        <w:t>×</w:t>
      </w:r>
      <w:r>
        <w:rPr>
          <w:rFonts w:hint="eastAsia"/>
          <w:color w:val="auto"/>
          <w:sz w:val="24"/>
          <w:highlight w:val="none"/>
          <w:lang w:val="en-US" w:eastAsia="zh-CN"/>
        </w:rPr>
        <w:t>0.264</w:t>
      </w:r>
      <w:r>
        <w:rPr>
          <w:rFonts w:hint="eastAsia"/>
          <w:color w:val="auto"/>
          <w:sz w:val="24"/>
          <w:highlight w:val="none"/>
        </w:rPr>
        <w:t>×10=</w:t>
      </w:r>
      <w:r>
        <w:rPr>
          <w:rFonts w:hint="eastAsia"/>
          <w:color w:val="auto"/>
          <w:sz w:val="24"/>
          <w:highlight w:val="none"/>
          <w:lang w:val="en-US" w:eastAsia="zh-CN"/>
        </w:rPr>
        <w:t>0.8052</w:t>
      </w:r>
      <w:r>
        <w:rPr>
          <w:rFonts w:hint="eastAsia"/>
          <w:color w:val="auto"/>
          <w:sz w:val="24"/>
          <w:highlight w:val="none"/>
        </w:rPr>
        <w:t>t/a</w:t>
      </w:r>
    </w:p>
    <w:p w14:paraId="7FF8B305">
      <w:pPr>
        <w:spacing w:line="360" w:lineRule="auto"/>
        <w:ind w:firstLine="1440" w:firstLineChars="600"/>
        <w:rPr>
          <w:color w:val="auto"/>
          <w:sz w:val="24"/>
          <w:highlight w:val="none"/>
        </w:rPr>
      </w:pPr>
      <w:r>
        <w:rPr>
          <w:rFonts w:hint="eastAsia"/>
          <w:color w:val="auto"/>
          <w:sz w:val="24"/>
          <w:highlight w:val="none"/>
        </w:rPr>
        <w:t>E</w:t>
      </w:r>
      <w:r>
        <w:rPr>
          <w:rFonts w:hint="eastAsia"/>
          <w:color w:val="auto"/>
          <w:sz w:val="24"/>
          <w:highlight w:val="none"/>
          <w:vertAlign w:val="subscript"/>
          <w:lang w:val="en-US" w:eastAsia="zh-CN"/>
        </w:rPr>
        <w:t>二氧化硫</w:t>
      </w:r>
      <w:r>
        <w:rPr>
          <w:rFonts w:hint="eastAsia"/>
          <w:color w:val="auto"/>
          <w:sz w:val="24"/>
          <w:highlight w:val="none"/>
        </w:rPr>
        <w:t>=</w:t>
      </w:r>
      <w:r>
        <w:rPr>
          <w:rFonts w:hint="eastAsia"/>
          <w:color w:val="auto"/>
          <w:sz w:val="24"/>
          <w:highlight w:val="none"/>
          <w:lang w:val="en-US" w:eastAsia="zh-CN"/>
        </w:rPr>
        <w:t>3050.13</w:t>
      </w:r>
      <w:r>
        <w:rPr>
          <w:rFonts w:hint="eastAsia"/>
          <w:color w:val="auto"/>
          <w:sz w:val="24"/>
          <w:highlight w:val="none"/>
        </w:rPr>
        <w:t>×10</w:t>
      </w:r>
      <w:r>
        <w:rPr>
          <w:rFonts w:hint="eastAsia"/>
          <w:color w:val="auto"/>
          <w:sz w:val="24"/>
          <w:highlight w:val="none"/>
          <w:vertAlign w:val="superscript"/>
        </w:rPr>
        <w:t>-4</w:t>
      </w:r>
      <w:r>
        <w:rPr>
          <w:rFonts w:hint="eastAsia"/>
          <w:color w:val="auto"/>
          <w:sz w:val="24"/>
          <w:highlight w:val="none"/>
        </w:rPr>
        <w:t>×</w:t>
      </w:r>
      <w:r>
        <w:rPr>
          <w:rFonts w:hint="eastAsia"/>
          <w:color w:val="auto"/>
          <w:sz w:val="24"/>
          <w:highlight w:val="none"/>
          <w:lang w:val="en-US" w:eastAsia="zh-CN"/>
        </w:rPr>
        <w:t>0.878</w:t>
      </w:r>
      <w:r>
        <w:rPr>
          <w:rFonts w:hint="eastAsia"/>
          <w:color w:val="auto"/>
          <w:sz w:val="24"/>
          <w:highlight w:val="none"/>
        </w:rPr>
        <w:t>×10=</w:t>
      </w:r>
      <w:r>
        <w:rPr>
          <w:rFonts w:hint="eastAsia"/>
          <w:color w:val="auto"/>
          <w:sz w:val="24"/>
          <w:highlight w:val="none"/>
          <w:lang w:val="en-US" w:eastAsia="zh-CN"/>
        </w:rPr>
        <w:t>2.6780</w:t>
      </w:r>
      <w:r>
        <w:rPr>
          <w:rFonts w:hint="eastAsia"/>
          <w:color w:val="auto"/>
          <w:sz w:val="24"/>
          <w:highlight w:val="none"/>
        </w:rPr>
        <w:t>t/a</w:t>
      </w:r>
    </w:p>
    <w:p w14:paraId="45B4C52E">
      <w:pPr>
        <w:spacing w:line="360" w:lineRule="auto"/>
        <w:ind w:firstLine="1440" w:firstLineChars="600"/>
        <w:rPr>
          <w:color w:val="auto"/>
          <w:sz w:val="24"/>
          <w:highlight w:val="none"/>
        </w:rPr>
      </w:pPr>
      <w:r>
        <w:rPr>
          <w:rFonts w:hint="eastAsia"/>
          <w:color w:val="auto"/>
          <w:sz w:val="24"/>
          <w:highlight w:val="none"/>
        </w:rPr>
        <w:t>E</w:t>
      </w:r>
      <w:r>
        <w:rPr>
          <w:rFonts w:hint="eastAsia"/>
          <w:color w:val="auto"/>
          <w:sz w:val="24"/>
          <w:highlight w:val="none"/>
          <w:vertAlign w:val="subscript"/>
        </w:rPr>
        <w:t>氮氧化物核定</w:t>
      </w:r>
      <w:r>
        <w:rPr>
          <w:rFonts w:hint="eastAsia"/>
          <w:color w:val="auto"/>
          <w:sz w:val="24"/>
          <w:highlight w:val="none"/>
        </w:rPr>
        <w:t>=</w:t>
      </w:r>
      <w:r>
        <w:rPr>
          <w:rFonts w:hint="eastAsia"/>
          <w:color w:val="auto"/>
          <w:sz w:val="24"/>
          <w:highlight w:val="none"/>
          <w:lang w:val="en-US" w:eastAsia="zh-CN"/>
        </w:rPr>
        <w:t>3050.13</w:t>
      </w:r>
      <w:r>
        <w:rPr>
          <w:rFonts w:hint="eastAsia"/>
          <w:color w:val="auto"/>
          <w:sz w:val="24"/>
          <w:highlight w:val="none"/>
        </w:rPr>
        <w:t>×10</w:t>
      </w:r>
      <w:r>
        <w:rPr>
          <w:rFonts w:hint="eastAsia"/>
          <w:color w:val="auto"/>
          <w:sz w:val="24"/>
          <w:highlight w:val="none"/>
          <w:vertAlign w:val="superscript"/>
        </w:rPr>
        <w:t>-4</w:t>
      </w:r>
      <w:r>
        <w:rPr>
          <w:rFonts w:hint="eastAsia"/>
          <w:color w:val="auto"/>
          <w:sz w:val="24"/>
          <w:highlight w:val="none"/>
        </w:rPr>
        <w:t>×</w:t>
      </w:r>
      <w:r>
        <w:rPr>
          <w:rFonts w:hint="eastAsia"/>
          <w:color w:val="auto"/>
          <w:sz w:val="24"/>
          <w:highlight w:val="none"/>
          <w:lang w:val="en-US" w:eastAsia="zh-CN"/>
        </w:rPr>
        <w:t>2.633</w:t>
      </w:r>
      <w:r>
        <w:rPr>
          <w:rFonts w:hint="eastAsia"/>
          <w:color w:val="auto"/>
          <w:sz w:val="24"/>
          <w:highlight w:val="none"/>
        </w:rPr>
        <w:t>×10=</w:t>
      </w:r>
      <w:r>
        <w:rPr>
          <w:rFonts w:hint="eastAsia"/>
          <w:color w:val="auto"/>
          <w:sz w:val="24"/>
          <w:highlight w:val="none"/>
          <w:lang w:val="en-US" w:eastAsia="zh-CN"/>
        </w:rPr>
        <w:t>8.0310</w:t>
      </w:r>
      <w:r>
        <w:rPr>
          <w:rFonts w:hint="eastAsia"/>
          <w:color w:val="auto"/>
          <w:sz w:val="24"/>
          <w:highlight w:val="none"/>
        </w:rPr>
        <w:t>t/a</w:t>
      </w:r>
    </w:p>
    <w:bookmarkEnd w:id="45"/>
    <w:p w14:paraId="6E83357C">
      <w:pPr>
        <w:pStyle w:val="50"/>
        <w:bidi w:val="0"/>
        <w:rPr>
          <w:rFonts w:hint="default"/>
          <w:lang w:val="en-US" w:eastAsia="zh-CN"/>
        </w:rPr>
      </w:pPr>
    </w:p>
    <w:sectPr>
      <w:pgSz w:w="11906" w:h="16838"/>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12" w:charSpace="0"/>
    </w:sectPr>
  </w:body>
</w:document>
</file>

<file path=word/customizations.xml><?xml version="1.0" encoding="utf-8"?>
<wne:tcg xmlns:r="http://schemas.openxmlformats.org/officeDocument/2006/relationships" xmlns:wne="http://schemas.microsoft.com/office/word/2006/wordml">
  <wne:keymaps>
    <wne:keymap wne:kcmPrimary="0332">
      <wne:acd wne:acdName="acd0"/>
    </wne:keymap>
    <wne:keymap wne:kcmPrimary="0431">
      <wne:acd wne:acdName="acd1"/>
    </wne:keymap>
    <wne:keymap wne:kcmPrimary="0251">
      <wne:acd wne:acdName="acd2"/>
    </wne:keymap>
  </wne:keymaps>
  <wne:acds>
    <wne:acd wne:argValue="AgAwAGiIPGiHZVdbMgA=" wne:acdName="acd0" wne:fciIndexBasedOn="0065"/>
    <wne:acd wne:argValue="AQAAAAEA" wne:acdName="acd1" wne:fciIndexBasedOn="0065"/>
    <wne:acd wne:argValue="AgAakCh1Y2uHZQ==" wne:acdName="acd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F4C05CE7-415F-4372-9195-5627B9159A3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00004FF" w:usb2="00000000" w:usb3="00000000" w:csb0="2000019F" w:csb1="00000000"/>
  </w:font>
  <w:font w:name="宋?">
    <w:altName w:val="宋体"/>
    <w:panose1 w:val="00000000000000000000"/>
    <w:charset w:val="81"/>
    <w:family w:val="auto"/>
    <w:pitch w:val="default"/>
    <w:sig w:usb0="00000000" w:usb1="00000000" w:usb2="00000010" w:usb3="00000000" w:csb0="0008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43FF5721-5579-48BB-8364-09CE1D271F8E}"/>
  </w:font>
  <w:font w:name="思源宋体 CN">
    <w:altName w:val="宋体"/>
    <w:panose1 w:val="00000000000000000000"/>
    <w:charset w:val="00"/>
    <w:family w:val="roman"/>
    <w:pitch w:val="default"/>
    <w:sig w:usb0="00000000" w:usb1="00000000" w:usb2="00000016" w:usb3="00000000" w:csb0="00060107" w:csb1="00000000"/>
  </w:font>
  <w:font w:name="方正仿宋_GBK">
    <w:panose1 w:val="03000509000000000000"/>
    <w:charset w:val="86"/>
    <w:family w:val="auto"/>
    <w:pitch w:val="default"/>
    <w:sig w:usb0="00000001" w:usb1="080E0000" w:usb2="00000000" w:usb3="00000000" w:csb0="00040000" w:csb1="00000000"/>
    <w:embedRegular r:id="rId3" w:fontKey="{43FD7C73-35DB-4ACD-88F7-1DB13A1BE411}"/>
  </w:font>
  <w:font w:name="华文宋体">
    <w:panose1 w:val="02010600040101010101"/>
    <w:charset w:val="86"/>
    <w:family w:val="auto"/>
    <w:pitch w:val="default"/>
    <w:sig w:usb0="00000287" w:usb1="080F0000" w:usb2="00000000" w:usb3="00000000" w:csb0="0004009F" w:csb1="DFD70000"/>
    <w:embedRegular r:id="rId4" w:fontKey="{6416CF7B-8946-4694-88DE-EB05C186F979}"/>
  </w:font>
  <w:font w:name="楷体_GB2312">
    <w:panose1 w:val="02010609030101010101"/>
    <w:charset w:val="86"/>
    <w:family w:val="modern"/>
    <w:pitch w:val="default"/>
    <w:sig w:usb0="00000001" w:usb1="080E0000" w:usb2="00000000" w:usb3="00000000" w:csb0="00040000" w:csb1="00000000"/>
    <w:embedRegular r:id="rId5" w:fontKey="{499EC727-D69A-4BF1-85ED-A31C3A1F7E40}"/>
  </w:font>
  <w:font w:name="Wingdings 2">
    <w:panose1 w:val="05020102010507070707"/>
    <w:charset w:val="02"/>
    <w:family w:val="roman"/>
    <w:pitch w:val="default"/>
    <w:sig w:usb0="00000000" w:usb1="00000000" w:usb2="00000000" w:usb3="00000000" w:csb0="80000000" w:csb1="00000000"/>
    <w:embedRegular r:id="rId6" w:fontKey="{45795F0F-CCAB-47CF-BC19-6DAFD449D5AB}"/>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BC11">
    <w:pPr>
      <w:framePr w:wrap="around" w:vAnchor="text" w:hAnchor="margin" w:xAlign="center" w:y="1"/>
      <w:snapToGrid w:val="0"/>
      <w:jc w:val="left"/>
      <w:rPr>
        <w:rStyle w:val="42"/>
        <w:kern w:val="0"/>
        <w:sz w:val="18"/>
        <w:szCs w:val="20"/>
      </w:rPr>
    </w:pPr>
    <w:r>
      <w:rPr>
        <w:kern w:val="0"/>
        <w:sz w:val="18"/>
        <w:szCs w:val="20"/>
      </w:rPr>
      <w:fldChar w:fldCharType="begin"/>
    </w:r>
    <w:r>
      <w:rPr>
        <w:rStyle w:val="42"/>
        <w:kern w:val="0"/>
        <w:sz w:val="18"/>
        <w:szCs w:val="20"/>
      </w:rPr>
      <w:instrText xml:space="preserve">PAGE  </w:instrText>
    </w:r>
    <w:r>
      <w:rPr>
        <w:kern w:val="0"/>
        <w:sz w:val="18"/>
        <w:szCs w:val="20"/>
      </w:rPr>
      <w:fldChar w:fldCharType="end"/>
    </w:r>
  </w:p>
  <w:p w14:paraId="48C1FC39">
    <w:pPr>
      <w:snapToGrid w:val="0"/>
      <w:ind w:right="360" w:firstLine="360"/>
      <w:jc w:val="left"/>
      <w:rPr>
        <w:kern w:val="0"/>
        <w:sz w:val="18"/>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57A18">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2DD71">
    <w:pPr>
      <w:pStyle w:val="19"/>
      <w:ind w:right="360" w:firstLine="360"/>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7B843">
                          <w:pPr>
                            <w:pStyle w:val="1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777B843">
                    <w:pPr>
                      <w:pStyle w:val="1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FB19">
    <w:pPr>
      <w:pStyle w:val="19"/>
      <w:ind w:right="360" w:firstLine="360"/>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09540">
                          <w:pPr>
                            <w:pStyle w:val="1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3009540">
                    <w:pPr>
                      <w:pStyle w:val="1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89F5">
    <w:pPr>
      <w:pStyle w:val="19"/>
      <w:ind w:right="360" w:firstLine="360"/>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31FED">
                          <w:pPr>
                            <w:pStyle w:val="1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D531FED">
                    <w:pPr>
                      <w:pStyle w:val="1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26180">
    <w:pPr>
      <w:pStyle w:val="19"/>
      <w:ind w:right="360" w:firstLine="360"/>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94181">
                          <w:pPr>
                            <w:pStyle w:val="19"/>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23594181">
                    <w:pPr>
                      <w:pStyle w:val="19"/>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1347D87">
        <w:pPr>
          <w:pStyle w:val="19"/>
          <w:jc w:val="center"/>
        </w:pPr>
        <w:r>
          <w:fldChar w:fldCharType="begin"/>
        </w:r>
        <w:r>
          <w:instrText xml:space="preserve">PAGE   \* MERGEFORMAT</w:instrText>
        </w:r>
        <w:r>
          <w:fldChar w:fldCharType="separate"/>
        </w:r>
        <w:r>
          <w:rPr>
            <w:lang w:val="zh-CN"/>
          </w:rPr>
          <w:t>51</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67855">
    <w:pPr>
      <w:pStyle w:val="19"/>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9A8D8">
                          <w:pPr>
                            <w:pStyle w:val="19"/>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A19A8D8">
                    <w:pPr>
                      <w:pStyle w:val="19"/>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B91F">
    <w:pPr>
      <w:pStyle w:val="2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2B3E9">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4D3847"/>
    <w:multiLevelType w:val="multilevel"/>
    <w:tmpl w:val="644D3847"/>
    <w:lvl w:ilvl="0" w:tentative="0">
      <w:start w:val="1"/>
      <w:numFmt w:val="none"/>
      <w:suff w:val="nothing"/>
      <w:lvlText w:val="%1"/>
      <w:lvlJc w:val="left"/>
      <w:pPr>
        <w:ind w:left="0" w:firstLine="0"/>
      </w:pPr>
      <w:rPr>
        <w:rFonts w:hint="eastAsia"/>
      </w:rPr>
    </w:lvl>
    <w:lvl w:ilvl="1" w:tentative="0">
      <w:start w:val="1"/>
      <w:numFmt w:val="chineseCountingThousand"/>
      <w:suff w:val="nothing"/>
      <w:lvlText w:val="%2、"/>
      <w:lvlJc w:val="left"/>
      <w:pPr>
        <w:ind w:left="0" w:firstLine="0"/>
      </w:pPr>
      <w:rPr>
        <w:rFonts w:hint="eastAsia"/>
      </w:rPr>
    </w:lvl>
    <w:lvl w:ilvl="2" w:tentative="0">
      <w:start w:val="1"/>
      <w:numFmt w:val="decimal"/>
      <w:suff w:val="nothing"/>
      <w:lvlText w:val="%3、"/>
      <w:lvlJc w:val="left"/>
      <w:pPr>
        <w:ind w:left="0" w:firstLine="0"/>
      </w:pPr>
      <w:rPr>
        <w:rFonts w:hint="default" w:ascii="Times New Roman" w:hAnsi="Times New Roman" w:cs="Times New Roman"/>
        <w:b/>
        <w:bCs/>
        <w:sz w:val="21"/>
        <w:szCs w:val="21"/>
      </w:rPr>
    </w:lvl>
    <w:lvl w:ilvl="3" w:tentative="0">
      <w:start w:val="1"/>
      <w:numFmt w:val="decimal"/>
      <w:suff w:val="space"/>
      <w:lvlText w:val="%3.%4"/>
      <w:lvlJc w:val="left"/>
      <w:pPr>
        <w:ind w:left="0" w:firstLine="0"/>
      </w:pPr>
      <w:rPr>
        <w:rFonts w:hint="eastAsia"/>
      </w:rPr>
    </w:lvl>
    <w:lvl w:ilvl="4" w:tentative="0">
      <w:start w:val="1"/>
      <w:numFmt w:val="decimal"/>
      <w:suff w:val="space"/>
      <w:lvlText w:val="%3.%4.%5"/>
      <w:lvlJc w:val="left"/>
      <w:pPr>
        <w:ind w:left="0" w:firstLine="0"/>
      </w:pPr>
      <w:rPr>
        <w:rFonts w:hint="eastAsia"/>
      </w:rPr>
    </w:lvl>
    <w:lvl w:ilvl="5" w:tentative="0">
      <w:start w:val="1"/>
      <w:numFmt w:val="decimal"/>
      <w:lvlRestart w:val="0"/>
      <w:pStyle w:val="165"/>
      <w:suff w:val="space"/>
      <w:lvlText w:val="表%6"/>
      <w:lvlJc w:val="center"/>
      <w:pPr>
        <w:ind w:left="2520" w:firstLine="0"/>
      </w:pPr>
      <w:rPr>
        <w:rFonts w:hint="eastAsia"/>
        <w:b w:val="0"/>
        <w:sz w:val="22"/>
        <w:szCs w:val="22"/>
      </w:rPr>
    </w:lvl>
    <w:lvl w:ilvl="6" w:tentative="0">
      <w:start w:val="1"/>
      <w:numFmt w:val="decimal"/>
      <w:lvlRestart w:val="0"/>
      <w:suff w:val="space"/>
      <w:lvlText w:val="图%7"/>
      <w:lvlJc w:val="center"/>
      <w:pPr>
        <w:ind w:left="273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1">
    <w:nsid w:val="7A099C0A"/>
    <w:multiLevelType w:val="singleLevel"/>
    <w:tmpl w:val="7A099C0A"/>
    <w:lvl w:ilvl="0" w:tentative="0">
      <w:start w:val="1"/>
      <w:numFmt w:val="bullet"/>
      <w:pStyle w:val="17"/>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mNWI3MTYwM2M5NDNjNDk1ZjVhZDMzMmM5YjMzZjQifQ=="/>
  </w:docVars>
  <w:rsids>
    <w:rsidRoot w:val="7A637F35"/>
    <w:rsid w:val="00116499"/>
    <w:rsid w:val="002F279D"/>
    <w:rsid w:val="0045657D"/>
    <w:rsid w:val="00576D6F"/>
    <w:rsid w:val="007C717F"/>
    <w:rsid w:val="008333E3"/>
    <w:rsid w:val="00A60D8C"/>
    <w:rsid w:val="00A65ECA"/>
    <w:rsid w:val="00C824AB"/>
    <w:rsid w:val="00D06161"/>
    <w:rsid w:val="00D85DC5"/>
    <w:rsid w:val="00F96538"/>
    <w:rsid w:val="01603061"/>
    <w:rsid w:val="0196410E"/>
    <w:rsid w:val="01AB446A"/>
    <w:rsid w:val="02125F1C"/>
    <w:rsid w:val="02137272"/>
    <w:rsid w:val="0241669F"/>
    <w:rsid w:val="025F6C73"/>
    <w:rsid w:val="026D3223"/>
    <w:rsid w:val="02801659"/>
    <w:rsid w:val="02965E43"/>
    <w:rsid w:val="02DE1DE2"/>
    <w:rsid w:val="02F62571"/>
    <w:rsid w:val="03332F0A"/>
    <w:rsid w:val="03457CFC"/>
    <w:rsid w:val="041D5EF4"/>
    <w:rsid w:val="04D73E25"/>
    <w:rsid w:val="04DC7CA5"/>
    <w:rsid w:val="056A460E"/>
    <w:rsid w:val="056D03D3"/>
    <w:rsid w:val="058F7D8A"/>
    <w:rsid w:val="05C07288"/>
    <w:rsid w:val="05E5426B"/>
    <w:rsid w:val="062E1473"/>
    <w:rsid w:val="06654211"/>
    <w:rsid w:val="06A2464C"/>
    <w:rsid w:val="06E02891"/>
    <w:rsid w:val="0743798E"/>
    <w:rsid w:val="07483B1A"/>
    <w:rsid w:val="07572B98"/>
    <w:rsid w:val="076808B4"/>
    <w:rsid w:val="07747507"/>
    <w:rsid w:val="07FC5372"/>
    <w:rsid w:val="085B6240"/>
    <w:rsid w:val="087D6B3A"/>
    <w:rsid w:val="088B3C51"/>
    <w:rsid w:val="088C3CD7"/>
    <w:rsid w:val="08C16076"/>
    <w:rsid w:val="08FB1626"/>
    <w:rsid w:val="091647BE"/>
    <w:rsid w:val="0977772B"/>
    <w:rsid w:val="09894A24"/>
    <w:rsid w:val="09AC66E2"/>
    <w:rsid w:val="0A907A58"/>
    <w:rsid w:val="0B5E62B6"/>
    <w:rsid w:val="0BC443D7"/>
    <w:rsid w:val="0C3347E4"/>
    <w:rsid w:val="0C3E220E"/>
    <w:rsid w:val="0C422784"/>
    <w:rsid w:val="0C683EF5"/>
    <w:rsid w:val="0C874EE1"/>
    <w:rsid w:val="0CA43E6C"/>
    <w:rsid w:val="0CBE3470"/>
    <w:rsid w:val="0CDB04B8"/>
    <w:rsid w:val="0CEB1914"/>
    <w:rsid w:val="0D3A3408"/>
    <w:rsid w:val="0D566AB8"/>
    <w:rsid w:val="0D5D6FDB"/>
    <w:rsid w:val="0D6B4A79"/>
    <w:rsid w:val="0DAD3ED7"/>
    <w:rsid w:val="0DF90060"/>
    <w:rsid w:val="0E370B89"/>
    <w:rsid w:val="0E552DBD"/>
    <w:rsid w:val="0E6B1594"/>
    <w:rsid w:val="0EA617CE"/>
    <w:rsid w:val="0EB835CB"/>
    <w:rsid w:val="0F087FB5"/>
    <w:rsid w:val="1051771A"/>
    <w:rsid w:val="10540A9B"/>
    <w:rsid w:val="109703CA"/>
    <w:rsid w:val="10973B61"/>
    <w:rsid w:val="10DC06DD"/>
    <w:rsid w:val="11080D41"/>
    <w:rsid w:val="113A4FD2"/>
    <w:rsid w:val="11405963"/>
    <w:rsid w:val="11442367"/>
    <w:rsid w:val="114C55D8"/>
    <w:rsid w:val="119539DE"/>
    <w:rsid w:val="124451B1"/>
    <w:rsid w:val="1298498E"/>
    <w:rsid w:val="130403D0"/>
    <w:rsid w:val="13081DE0"/>
    <w:rsid w:val="13226EDA"/>
    <w:rsid w:val="1355521F"/>
    <w:rsid w:val="139D4FEA"/>
    <w:rsid w:val="139F6FB4"/>
    <w:rsid w:val="13D80718"/>
    <w:rsid w:val="14414D4A"/>
    <w:rsid w:val="14766F68"/>
    <w:rsid w:val="14EE06E6"/>
    <w:rsid w:val="14F03A8A"/>
    <w:rsid w:val="14F670A8"/>
    <w:rsid w:val="150721FC"/>
    <w:rsid w:val="151B4D60"/>
    <w:rsid w:val="15C9656A"/>
    <w:rsid w:val="162F2654"/>
    <w:rsid w:val="164640C8"/>
    <w:rsid w:val="16E44C4A"/>
    <w:rsid w:val="17216BB8"/>
    <w:rsid w:val="17364E09"/>
    <w:rsid w:val="17463BEB"/>
    <w:rsid w:val="18624D77"/>
    <w:rsid w:val="186B2AD2"/>
    <w:rsid w:val="187C4EAE"/>
    <w:rsid w:val="18A87472"/>
    <w:rsid w:val="18A94F8B"/>
    <w:rsid w:val="19235F91"/>
    <w:rsid w:val="195B397D"/>
    <w:rsid w:val="19DD2EB7"/>
    <w:rsid w:val="1A6E4B9C"/>
    <w:rsid w:val="1A910AD4"/>
    <w:rsid w:val="1AE300CE"/>
    <w:rsid w:val="1AF9357A"/>
    <w:rsid w:val="1B0A6B18"/>
    <w:rsid w:val="1B5B5A5C"/>
    <w:rsid w:val="1BAC1E9F"/>
    <w:rsid w:val="1C166281"/>
    <w:rsid w:val="1C91095E"/>
    <w:rsid w:val="1C9B387A"/>
    <w:rsid w:val="1CCA4376"/>
    <w:rsid w:val="1D1C03C5"/>
    <w:rsid w:val="1D2A2761"/>
    <w:rsid w:val="1DDC351E"/>
    <w:rsid w:val="1E217117"/>
    <w:rsid w:val="1E8411B3"/>
    <w:rsid w:val="1E9874A1"/>
    <w:rsid w:val="1E9C7397"/>
    <w:rsid w:val="1EAF0D67"/>
    <w:rsid w:val="1EFC3A55"/>
    <w:rsid w:val="1F146E5E"/>
    <w:rsid w:val="1F5514F4"/>
    <w:rsid w:val="1F71783D"/>
    <w:rsid w:val="1F7538D1"/>
    <w:rsid w:val="1F94485C"/>
    <w:rsid w:val="1FD350A6"/>
    <w:rsid w:val="1FEA5A5B"/>
    <w:rsid w:val="200E0021"/>
    <w:rsid w:val="20160AAB"/>
    <w:rsid w:val="201B1E89"/>
    <w:rsid w:val="208626A9"/>
    <w:rsid w:val="20867466"/>
    <w:rsid w:val="20E319A6"/>
    <w:rsid w:val="214A393F"/>
    <w:rsid w:val="215E7060"/>
    <w:rsid w:val="21875A5E"/>
    <w:rsid w:val="21AE3541"/>
    <w:rsid w:val="21ED538F"/>
    <w:rsid w:val="22091FA8"/>
    <w:rsid w:val="22166AFA"/>
    <w:rsid w:val="224413EA"/>
    <w:rsid w:val="228D52A6"/>
    <w:rsid w:val="22DF347E"/>
    <w:rsid w:val="22DF4A10"/>
    <w:rsid w:val="23130702"/>
    <w:rsid w:val="232C4996"/>
    <w:rsid w:val="2343492B"/>
    <w:rsid w:val="23547B16"/>
    <w:rsid w:val="23B23ECA"/>
    <w:rsid w:val="23C235F0"/>
    <w:rsid w:val="23C30A9D"/>
    <w:rsid w:val="241D431B"/>
    <w:rsid w:val="24625408"/>
    <w:rsid w:val="24A84A87"/>
    <w:rsid w:val="250F6455"/>
    <w:rsid w:val="254A69BD"/>
    <w:rsid w:val="25B96962"/>
    <w:rsid w:val="25C56523"/>
    <w:rsid w:val="25E62ACD"/>
    <w:rsid w:val="25E82A1C"/>
    <w:rsid w:val="26500F9B"/>
    <w:rsid w:val="2665260C"/>
    <w:rsid w:val="27150332"/>
    <w:rsid w:val="27285AFB"/>
    <w:rsid w:val="274441F8"/>
    <w:rsid w:val="275277FE"/>
    <w:rsid w:val="276A7FFA"/>
    <w:rsid w:val="2783567B"/>
    <w:rsid w:val="278C389C"/>
    <w:rsid w:val="28092E94"/>
    <w:rsid w:val="282C0524"/>
    <w:rsid w:val="28E55011"/>
    <w:rsid w:val="28EA6E9B"/>
    <w:rsid w:val="28F55100"/>
    <w:rsid w:val="2941203E"/>
    <w:rsid w:val="2A3816C0"/>
    <w:rsid w:val="2A7305D4"/>
    <w:rsid w:val="2A8E57DC"/>
    <w:rsid w:val="2AA85113"/>
    <w:rsid w:val="2AAB29A7"/>
    <w:rsid w:val="2ABF56CA"/>
    <w:rsid w:val="2ADC6D1E"/>
    <w:rsid w:val="2B944ACD"/>
    <w:rsid w:val="2BAF7519"/>
    <w:rsid w:val="2BD17A88"/>
    <w:rsid w:val="2BD4060E"/>
    <w:rsid w:val="2C3E5738"/>
    <w:rsid w:val="2C6D5C00"/>
    <w:rsid w:val="2CB800AB"/>
    <w:rsid w:val="2CBF4A47"/>
    <w:rsid w:val="2CD2022A"/>
    <w:rsid w:val="2E163EBF"/>
    <w:rsid w:val="2EB7614A"/>
    <w:rsid w:val="2EE308BE"/>
    <w:rsid w:val="2F9B341C"/>
    <w:rsid w:val="2FDA2D05"/>
    <w:rsid w:val="30142680"/>
    <w:rsid w:val="30197B70"/>
    <w:rsid w:val="30462597"/>
    <w:rsid w:val="30597400"/>
    <w:rsid w:val="306E2FE1"/>
    <w:rsid w:val="307E7640"/>
    <w:rsid w:val="309455CA"/>
    <w:rsid w:val="309923A3"/>
    <w:rsid w:val="30B97A4A"/>
    <w:rsid w:val="31047678"/>
    <w:rsid w:val="311D7312"/>
    <w:rsid w:val="314F59AB"/>
    <w:rsid w:val="31AB7CD7"/>
    <w:rsid w:val="31F51F83"/>
    <w:rsid w:val="32691F42"/>
    <w:rsid w:val="329F0927"/>
    <w:rsid w:val="32A65E69"/>
    <w:rsid w:val="32B1522D"/>
    <w:rsid w:val="32DA1B9A"/>
    <w:rsid w:val="331205A8"/>
    <w:rsid w:val="34462526"/>
    <w:rsid w:val="34810577"/>
    <w:rsid w:val="349804D9"/>
    <w:rsid w:val="34A60E44"/>
    <w:rsid w:val="34EF405D"/>
    <w:rsid w:val="355B7F36"/>
    <w:rsid w:val="35891A89"/>
    <w:rsid w:val="35E60D87"/>
    <w:rsid w:val="35FE7713"/>
    <w:rsid w:val="36056CF3"/>
    <w:rsid w:val="363E0457"/>
    <w:rsid w:val="36767DCD"/>
    <w:rsid w:val="36950FFF"/>
    <w:rsid w:val="36E52680"/>
    <w:rsid w:val="36FD3E6E"/>
    <w:rsid w:val="372E4D8B"/>
    <w:rsid w:val="374E036D"/>
    <w:rsid w:val="37565695"/>
    <w:rsid w:val="376D0C8D"/>
    <w:rsid w:val="3794100B"/>
    <w:rsid w:val="37B75977"/>
    <w:rsid w:val="380D47B3"/>
    <w:rsid w:val="38AA2A4D"/>
    <w:rsid w:val="38D45083"/>
    <w:rsid w:val="38F13FE0"/>
    <w:rsid w:val="3AA14A2B"/>
    <w:rsid w:val="3AA750F4"/>
    <w:rsid w:val="3AD60C5E"/>
    <w:rsid w:val="3ADB521F"/>
    <w:rsid w:val="3AE96BE3"/>
    <w:rsid w:val="3CA44E56"/>
    <w:rsid w:val="3CE17E03"/>
    <w:rsid w:val="3CFB15C5"/>
    <w:rsid w:val="3D0C3EA6"/>
    <w:rsid w:val="3D131301"/>
    <w:rsid w:val="3D242BEF"/>
    <w:rsid w:val="3D2A5F2E"/>
    <w:rsid w:val="3DFE541E"/>
    <w:rsid w:val="3E094DB7"/>
    <w:rsid w:val="3E22480F"/>
    <w:rsid w:val="3E66054B"/>
    <w:rsid w:val="3EBB298C"/>
    <w:rsid w:val="3ED80E56"/>
    <w:rsid w:val="3EF67B4D"/>
    <w:rsid w:val="3F1D6B7B"/>
    <w:rsid w:val="3F4D2505"/>
    <w:rsid w:val="3FB64A3D"/>
    <w:rsid w:val="3FC1513B"/>
    <w:rsid w:val="3FC370F5"/>
    <w:rsid w:val="3FFD6C8D"/>
    <w:rsid w:val="400A5B52"/>
    <w:rsid w:val="402F1F43"/>
    <w:rsid w:val="406A48BE"/>
    <w:rsid w:val="40750485"/>
    <w:rsid w:val="409C308F"/>
    <w:rsid w:val="40DA2B8F"/>
    <w:rsid w:val="40F63E08"/>
    <w:rsid w:val="41247E9E"/>
    <w:rsid w:val="41546A3C"/>
    <w:rsid w:val="41571C4A"/>
    <w:rsid w:val="415A1C8A"/>
    <w:rsid w:val="418F1B67"/>
    <w:rsid w:val="41932D04"/>
    <w:rsid w:val="41A67DC1"/>
    <w:rsid w:val="41A83096"/>
    <w:rsid w:val="41AE6491"/>
    <w:rsid w:val="41BE47EB"/>
    <w:rsid w:val="422D520E"/>
    <w:rsid w:val="425F4815"/>
    <w:rsid w:val="42A83742"/>
    <w:rsid w:val="42C615B8"/>
    <w:rsid w:val="43E2713C"/>
    <w:rsid w:val="43FA1A7C"/>
    <w:rsid w:val="444C5FA7"/>
    <w:rsid w:val="44D92943"/>
    <w:rsid w:val="457E617A"/>
    <w:rsid w:val="45B129AB"/>
    <w:rsid w:val="45FB77CB"/>
    <w:rsid w:val="46183B80"/>
    <w:rsid w:val="465B295F"/>
    <w:rsid w:val="468B0579"/>
    <w:rsid w:val="46B7490E"/>
    <w:rsid w:val="46DE589F"/>
    <w:rsid w:val="4758787C"/>
    <w:rsid w:val="47922069"/>
    <w:rsid w:val="484D7554"/>
    <w:rsid w:val="4872727E"/>
    <w:rsid w:val="487E4C21"/>
    <w:rsid w:val="48EB1A26"/>
    <w:rsid w:val="48F4311E"/>
    <w:rsid w:val="49830203"/>
    <w:rsid w:val="498875C7"/>
    <w:rsid w:val="499312B1"/>
    <w:rsid w:val="49FD7874"/>
    <w:rsid w:val="4A01737A"/>
    <w:rsid w:val="4A115C6C"/>
    <w:rsid w:val="4A7A2AB2"/>
    <w:rsid w:val="4A887F92"/>
    <w:rsid w:val="4AAE48D9"/>
    <w:rsid w:val="4AB368C6"/>
    <w:rsid w:val="4BDB1CA3"/>
    <w:rsid w:val="4C1519C4"/>
    <w:rsid w:val="4C7D362F"/>
    <w:rsid w:val="4C96024D"/>
    <w:rsid w:val="4C971FAC"/>
    <w:rsid w:val="4CA30081"/>
    <w:rsid w:val="4CF55611"/>
    <w:rsid w:val="4D151ABA"/>
    <w:rsid w:val="4D951A08"/>
    <w:rsid w:val="4DC86039"/>
    <w:rsid w:val="4DE475EB"/>
    <w:rsid w:val="4DEB45C9"/>
    <w:rsid w:val="4DF32161"/>
    <w:rsid w:val="4E3C4E24"/>
    <w:rsid w:val="4E685116"/>
    <w:rsid w:val="4EA87FBA"/>
    <w:rsid w:val="4ED41501"/>
    <w:rsid w:val="4FFE281B"/>
    <w:rsid w:val="501F0345"/>
    <w:rsid w:val="503443E2"/>
    <w:rsid w:val="504D2B2B"/>
    <w:rsid w:val="504E257D"/>
    <w:rsid w:val="5079462A"/>
    <w:rsid w:val="50961602"/>
    <w:rsid w:val="50F00BC8"/>
    <w:rsid w:val="512237AB"/>
    <w:rsid w:val="51AE4500"/>
    <w:rsid w:val="51FD37FA"/>
    <w:rsid w:val="52A34A91"/>
    <w:rsid w:val="52D72F69"/>
    <w:rsid w:val="52FD3A8D"/>
    <w:rsid w:val="53251ACA"/>
    <w:rsid w:val="53322BAF"/>
    <w:rsid w:val="53357F0C"/>
    <w:rsid w:val="53427D28"/>
    <w:rsid w:val="536C0EDF"/>
    <w:rsid w:val="546805F4"/>
    <w:rsid w:val="546F6A60"/>
    <w:rsid w:val="55052414"/>
    <w:rsid w:val="55191426"/>
    <w:rsid w:val="556D0A3D"/>
    <w:rsid w:val="55A95A17"/>
    <w:rsid w:val="561A7B63"/>
    <w:rsid w:val="562C3EEE"/>
    <w:rsid w:val="572172AD"/>
    <w:rsid w:val="57393B78"/>
    <w:rsid w:val="57426B9C"/>
    <w:rsid w:val="583462AF"/>
    <w:rsid w:val="59B84842"/>
    <w:rsid w:val="5A146C55"/>
    <w:rsid w:val="5A3C350B"/>
    <w:rsid w:val="5A421A14"/>
    <w:rsid w:val="5AA700A3"/>
    <w:rsid w:val="5AE96334"/>
    <w:rsid w:val="5AFC53C6"/>
    <w:rsid w:val="5B13515F"/>
    <w:rsid w:val="5BF86773"/>
    <w:rsid w:val="5CC22998"/>
    <w:rsid w:val="5E182722"/>
    <w:rsid w:val="5E277DD8"/>
    <w:rsid w:val="5F555107"/>
    <w:rsid w:val="5F8B04F2"/>
    <w:rsid w:val="5FD059D6"/>
    <w:rsid w:val="600E20C2"/>
    <w:rsid w:val="60240D37"/>
    <w:rsid w:val="60BC3D36"/>
    <w:rsid w:val="61260FB1"/>
    <w:rsid w:val="614163AB"/>
    <w:rsid w:val="616566BB"/>
    <w:rsid w:val="61783112"/>
    <w:rsid w:val="618865F9"/>
    <w:rsid w:val="61A2563A"/>
    <w:rsid w:val="61A67C66"/>
    <w:rsid w:val="61AE798F"/>
    <w:rsid w:val="61B30FF7"/>
    <w:rsid w:val="61F378EA"/>
    <w:rsid w:val="626363CC"/>
    <w:rsid w:val="62B74337"/>
    <w:rsid w:val="632D11C2"/>
    <w:rsid w:val="638C6549"/>
    <w:rsid w:val="639613FB"/>
    <w:rsid w:val="63981452"/>
    <w:rsid w:val="63BF7C1B"/>
    <w:rsid w:val="642C2A48"/>
    <w:rsid w:val="64631B12"/>
    <w:rsid w:val="64940CDB"/>
    <w:rsid w:val="64F07592"/>
    <w:rsid w:val="652809F9"/>
    <w:rsid w:val="652D6409"/>
    <w:rsid w:val="65300370"/>
    <w:rsid w:val="653B2028"/>
    <w:rsid w:val="65CD6BBC"/>
    <w:rsid w:val="65F755BB"/>
    <w:rsid w:val="661204ED"/>
    <w:rsid w:val="664571AA"/>
    <w:rsid w:val="66D76900"/>
    <w:rsid w:val="67566121"/>
    <w:rsid w:val="6780592A"/>
    <w:rsid w:val="67FB61F7"/>
    <w:rsid w:val="681A06DF"/>
    <w:rsid w:val="684C2240"/>
    <w:rsid w:val="684E3661"/>
    <w:rsid w:val="68573F2E"/>
    <w:rsid w:val="68F30DAD"/>
    <w:rsid w:val="694F4437"/>
    <w:rsid w:val="699600CE"/>
    <w:rsid w:val="699658D9"/>
    <w:rsid w:val="69EE301F"/>
    <w:rsid w:val="6A2B4FC3"/>
    <w:rsid w:val="6A333127"/>
    <w:rsid w:val="6A64152D"/>
    <w:rsid w:val="6AC33838"/>
    <w:rsid w:val="6AC56FCF"/>
    <w:rsid w:val="6ACC2824"/>
    <w:rsid w:val="6ADD4C21"/>
    <w:rsid w:val="6B321631"/>
    <w:rsid w:val="6B445431"/>
    <w:rsid w:val="6B50794D"/>
    <w:rsid w:val="6BEF2663"/>
    <w:rsid w:val="6BEF307E"/>
    <w:rsid w:val="6BF855A6"/>
    <w:rsid w:val="6BFA6365"/>
    <w:rsid w:val="6C052E33"/>
    <w:rsid w:val="6C200D8F"/>
    <w:rsid w:val="6C3B3BB5"/>
    <w:rsid w:val="6C411AAB"/>
    <w:rsid w:val="6C5F34A3"/>
    <w:rsid w:val="6C5F6D51"/>
    <w:rsid w:val="6C821FC6"/>
    <w:rsid w:val="6CF05300"/>
    <w:rsid w:val="6CF729C0"/>
    <w:rsid w:val="6CF929C7"/>
    <w:rsid w:val="6DEF55B7"/>
    <w:rsid w:val="6E10627F"/>
    <w:rsid w:val="6E1C2556"/>
    <w:rsid w:val="6E52661D"/>
    <w:rsid w:val="6EBA3E17"/>
    <w:rsid w:val="6EE13152"/>
    <w:rsid w:val="6F143527"/>
    <w:rsid w:val="6F2A116E"/>
    <w:rsid w:val="6FB84736"/>
    <w:rsid w:val="71104836"/>
    <w:rsid w:val="71272672"/>
    <w:rsid w:val="71CD79BE"/>
    <w:rsid w:val="72413835"/>
    <w:rsid w:val="72622D99"/>
    <w:rsid w:val="727673C4"/>
    <w:rsid w:val="72794C7F"/>
    <w:rsid w:val="72EB77E2"/>
    <w:rsid w:val="73EF16E1"/>
    <w:rsid w:val="74454183"/>
    <w:rsid w:val="74B9247B"/>
    <w:rsid w:val="75144452"/>
    <w:rsid w:val="753C37D8"/>
    <w:rsid w:val="75562062"/>
    <w:rsid w:val="75977E7E"/>
    <w:rsid w:val="75A13617"/>
    <w:rsid w:val="75FD0B93"/>
    <w:rsid w:val="765946F6"/>
    <w:rsid w:val="76AB3DE9"/>
    <w:rsid w:val="76B46377"/>
    <w:rsid w:val="77A75181"/>
    <w:rsid w:val="77AA2EC6"/>
    <w:rsid w:val="77FF0FBD"/>
    <w:rsid w:val="784230EA"/>
    <w:rsid w:val="788A254F"/>
    <w:rsid w:val="78A87E00"/>
    <w:rsid w:val="78F75D2C"/>
    <w:rsid w:val="78F84D34"/>
    <w:rsid w:val="790E7AE3"/>
    <w:rsid w:val="79261A11"/>
    <w:rsid w:val="79526D89"/>
    <w:rsid w:val="79692435"/>
    <w:rsid w:val="79AB2CDA"/>
    <w:rsid w:val="79B069A0"/>
    <w:rsid w:val="79BE0C60"/>
    <w:rsid w:val="7A50522C"/>
    <w:rsid w:val="7A637F35"/>
    <w:rsid w:val="7AD03553"/>
    <w:rsid w:val="7AD25CFB"/>
    <w:rsid w:val="7B12576F"/>
    <w:rsid w:val="7B2D423F"/>
    <w:rsid w:val="7B3A02CB"/>
    <w:rsid w:val="7B817CD3"/>
    <w:rsid w:val="7B8A089C"/>
    <w:rsid w:val="7BBF9536"/>
    <w:rsid w:val="7BE518BB"/>
    <w:rsid w:val="7C236887"/>
    <w:rsid w:val="7C3C3EC7"/>
    <w:rsid w:val="7CBB3234"/>
    <w:rsid w:val="7CD72A99"/>
    <w:rsid w:val="7CEF3FEE"/>
    <w:rsid w:val="7D135F20"/>
    <w:rsid w:val="7D1D48E5"/>
    <w:rsid w:val="7D225F55"/>
    <w:rsid w:val="7D75146B"/>
    <w:rsid w:val="7DA77112"/>
    <w:rsid w:val="7E095505"/>
    <w:rsid w:val="7E142C59"/>
    <w:rsid w:val="7E503A42"/>
    <w:rsid w:val="7E663674"/>
    <w:rsid w:val="7E7C71ED"/>
    <w:rsid w:val="7E867872"/>
    <w:rsid w:val="7EBB70E0"/>
    <w:rsid w:val="7ED03AE3"/>
    <w:rsid w:val="7EF7251E"/>
    <w:rsid w:val="7F1D46EF"/>
    <w:rsid w:val="7F2B4385"/>
    <w:rsid w:val="7FA97221"/>
    <w:rsid w:val="7FED3F39"/>
    <w:rsid w:val="ED7F79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99" w:semiHidden="0" w:name="Subtitle"/>
    <w:lsdException w:qFormat="1"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65"/>
    <w:qFormat/>
    <w:uiPriority w:val="99"/>
    <w:pPr>
      <w:keepNext w:val="0"/>
      <w:overflowPunct/>
      <w:topLinePunct/>
      <w:snapToGrid/>
      <w:spacing w:before="120" w:after="160" w:line="260" w:lineRule="auto"/>
      <w:ind w:left="0" w:firstLine="0" w:firstLineChars="0"/>
      <w:outlineLvl w:val="0"/>
    </w:pPr>
    <w:rPr>
      <w:rFonts w:ascii="Times New Roman" w:hAnsi="Times New Roman" w:eastAsia="宋体"/>
      <w:b/>
      <w:bCs/>
      <w:kern w:val="44"/>
      <w:sz w:val="30"/>
      <w:szCs w:val="30"/>
    </w:rPr>
  </w:style>
  <w:style w:type="paragraph" w:styleId="3">
    <w:name w:val="heading 2"/>
    <w:basedOn w:val="1"/>
    <w:next w:val="1"/>
    <w:unhideWhenUsed/>
    <w:qFormat/>
    <w:uiPriority w:val="0"/>
    <w:pPr>
      <w:keepNext/>
      <w:keepLines/>
      <w:outlineLvl w:val="1"/>
    </w:pPr>
    <w:rPr>
      <w:rFonts w:ascii="Calibri Light" w:hAnsi="Calibri Light" w:eastAsia="Times New Roman" w:cs="Times New Roman"/>
      <w:b/>
      <w:bCs/>
      <w:sz w:val="24"/>
      <w:szCs w:val="32"/>
    </w:rPr>
  </w:style>
  <w:style w:type="paragraph" w:styleId="4">
    <w:name w:val="heading 3"/>
    <w:basedOn w:val="1"/>
    <w:next w:val="1"/>
    <w:unhideWhenUsed/>
    <w:qFormat/>
    <w:uiPriority w:val="0"/>
    <w:pPr>
      <w:spacing w:line="360" w:lineRule="auto"/>
      <w:ind w:firstLine="0" w:firstLineChars="0"/>
      <w:outlineLvl w:val="2"/>
    </w:pPr>
    <w:rPr>
      <w:rFonts w:ascii="Times New Roman" w:hAnsi="Times New Roman" w:cs="Times New Roman"/>
      <w:b/>
      <w:bCs/>
      <w:color w:val="000000" w:themeColor="text1"/>
      <w:sz w:val="28"/>
      <w14:textFill>
        <w14:solidFill>
          <w14:schemeClr w14:val="tx1"/>
        </w14:solidFill>
      </w14:textFill>
    </w:rPr>
  </w:style>
  <w:style w:type="paragraph" w:styleId="5">
    <w:name w:val="heading 4"/>
    <w:basedOn w:val="1"/>
    <w:next w:val="1"/>
    <w:qFormat/>
    <w:uiPriority w:val="1"/>
    <w:pPr>
      <w:ind w:left="1132"/>
      <w:outlineLvl w:val="3"/>
    </w:pPr>
    <w:rPr>
      <w:rFonts w:ascii="宋体" w:hAnsi="宋体" w:eastAsia="宋体" w:cs="宋体"/>
      <w:b/>
      <w:bCs/>
      <w:sz w:val="28"/>
      <w:szCs w:val="28"/>
      <w:lang w:val="zh-CN" w:eastAsia="zh-CN" w:bidi="zh-CN"/>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6">
    <w:name w:val="List 3"/>
    <w:basedOn w:val="1"/>
    <w:next w:val="1"/>
    <w:qFormat/>
    <w:uiPriority w:val="0"/>
    <w:pPr>
      <w:widowControl w:val="0"/>
      <w:autoSpaceDE w:val="0"/>
      <w:autoSpaceDN w:val="0"/>
      <w:spacing w:before="0" w:after="0" w:line="288" w:lineRule="auto"/>
      <w:ind w:left="1260" w:hanging="420"/>
    </w:pPr>
    <w:rPr>
      <w:rFonts w:ascii="Times New Roman" w:eastAsia="宋体"/>
      <w:sz w:val="24"/>
    </w:rPr>
  </w:style>
  <w:style w:type="paragraph" w:styleId="7">
    <w:name w:val="table of authorities"/>
    <w:basedOn w:val="1"/>
    <w:next w:val="1"/>
    <w:qFormat/>
    <w:uiPriority w:val="0"/>
    <w:pPr>
      <w:spacing w:line="360" w:lineRule="auto"/>
      <w:ind w:left="420" w:leftChars="200" w:firstLine="640" w:firstLineChars="200"/>
    </w:pPr>
    <w:rPr>
      <w:sz w:val="24"/>
    </w:rPr>
  </w:style>
  <w:style w:type="paragraph" w:styleId="8">
    <w:name w:val="Normal Indent"/>
    <w:basedOn w:val="1"/>
    <w:next w:val="1"/>
    <w:qFormat/>
    <w:uiPriority w:val="0"/>
    <w:pPr>
      <w:spacing w:line="360" w:lineRule="auto"/>
      <w:ind w:firstLine="420" w:firstLineChars="200"/>
    </w:pPr>
    <w:rPr>
      <w:rFonts w:ascii="宋体" w:hAnsi="宋体"/>
      <w:kern w:val="0"/>
      <w:sz w:val="24"/>
      <w:szCs w:val="24"/>
    </w:rPr>
  </w:style>
  <w:style w:type="paragraph" w:styleId="9">
    <w:name w:val="caption"/>
    <w:basedOn w:val="1"/>
    <w:next w:val="10"/>
    <w:qFormat/>
    <w:uiPriority w:val="0"/>
    <w:rPr>
      <w:rFonts w:ascii="Arial" w:hAnsi="Arial" w:eastAsia="黑体"/>
      <w:sz w:val="20"/>
      <w:szCs w:val="20"/>
    </w:rPr>
  </w:style>
  <w:style w:type="paragraph" w:customStyle="1" w:styleId="10">
    <w:name w:val="..正文格式"/>
    <w:basedOn w:val="1"/>
    <w:autoRedefine/>
    <w:qFormat/>
    <w:uiPriority w:val="0"/>
    <w:pPr>
      <w:spacing w:line="500" w:lineRule="exact"/>
      <w:ind w:firstLine="480" w:firstLineChars="200"/>
    </w:pPr>
    <w:rPr>
      <w:snapToGrid w:val="0"/>
      <w:kern w:val="0"/>
    </w:rPr>
  </w:style>
  <w:style w:type="paragraph" w:styleId="11">
    <w:name w:val="annotation text"/>
    <w:basedOn w:val="1"/>
    <w:link w:val="145"/>
    <w:qFormat/>
    <w:uiPriority w:val="0"/>
    <w:pPr>
      <w:jc w:val="left"/>
    </w:pPr>
  </w:style>
  <w:style w:type="paragraph" w:styleId="12">
    <w:name w:val="Salutation"/>
    <w:basedOn w:val="1"/>
    <w:next w:val="1"/>
    <w:qFormat/>
    <w:uiPriority w:val="0"/>
    <w:rPr>
      <w:sz w:val="21"/>
    </w:rPr>
  </w:style>
  <w:style w:type="paragraph" w:styleId="13">
    <w:name w:val="Body Text"/>
    <w:basedOn w:val="1"/>
    <w:next w:val="1"/>
    <w:qFormat/>
    <w:uiPriority w:val="0"/>
    <w:pPr>
      <w:widowControl/>
      <w:snapToGrid w:val="0"/>
      <w:spacing w:before="60" w:after="160" w:line="259" w:lineRule="auto"/>
      <w:ind w:right="113"/>
    </w:pPr>
    <w:rPr>
      <w:kern w:val="0"/>
      <w:sz w:val="18"/>
      <w:szCs w:val="20"/>
    </w:rPr>
  </w:style>
  <w:style w:type="paragraph" w:styleId="14">
    <w:name w:val="Body Text Indent"/>
    <w:basedOn w:val="1"/>
    <w:qFormat/>
    <w:uiPriority w:val="0"/>
    <w:pPr>
      <w:spacing w:after="120"/>
      <w:ind w:left="420" w:leftChars="200"/>
    </w:pPr>
    <w:rPr>
      <w:kern w:val="0"/>
      <w:sz w:val="24"/>
      <w:szCs w:val="20"/>
    </w:rPr>
  </w:style>
  <w:style w:type="paragraph" w:styleId="15">
    <w:name w:val="Block Text"/>
    <w:basedOn w:val="1"/>
    <w:qFormat/>
    <w:uiPriority w:val="0"/>
    <w:pPr>
      <w:spacing w:before="120" w:line="360" w:lineRule="auto"/>
      <w:ind w:left="113" w:right="113"/>
    </w:pPr>
  </w:style>
  <w:style w:type="paragraph" w:styleId="16">
    <w:name w:val="Plain Text"/>
    <w:basedOn w:val="1"/>
    <w:next w:val="12"/>
    <w:qFormat/>
    <w:uiPriority w:val="0"/>
    <w:rPr>
      <w:rFonts w:ascii="宋体" w:hAnsi="Courier New"/>
    </w:rPr>
  </w:style>
  <w:style w:type="paragraph" w:styleId="17">
    <w:name w:val="List Bullet 5"/>
    <w:basedOn w:val="1"/>
    <w:qFormat/>
    <w:uiPriority w:val="0"/>
    <w:pPr>
      <w:numPr>
        <w:ilvl w:val="0"/>
        <w:numId w:val="1"/>
      </w:numPr>
    </w:pPr>
  </w:style>
  <w:style w:type="paragraph" w:styleId="18">
    <w:name w:val="Body Text Indent 2"/>
    <w:basedOn w:val="1"/>
    <w:next w:val="1"/>
    <w:qFormat/>
    <w:uiPriority w:val="0"/>
    <w:pPr>
      <w:spacing w:after="120" w:line="480" w:lineRule="auto"/>
      <w:ind w:left="420" w:leftChars="200"/>
    </w:pPr>
    <w:rPr>
      <w:rFonts w:eastAsia="宋体"/>
    </w:rPr>
  </w:style>
  <w:style w:type="paragraph" w:styleId="19">
    <w:name w:val="footer"/>
    <w:basedOn w:val="1"/>
    <w:next w:val="1"/>
    <w:qFormat/>
    <w:uiPriority w:val="99"/>
    <w:pPr>
      <w:tabs>
        <w:tab w:val="center" w:pos="4153"/>
        <w:tab w:val="right" w:pos="8306"/>
      </w:tabs>
      <w:wordWrap w:val="0"/>
      <w:topLinePunct/>
      <w:snapToGrid/>
      <w:spacing w:line="240" w:lineRule="auto"/>
      <w:jc w:val="center"/>
    </w:pPr>
    <w:rPr>
      <w:rFonts w:ascii="Times New Roman" w:hAnsi="Times New Roman" w:eastAsia="宋体"/>
      <w:kern w:val="0"/>
      <w:sz w:val="21"/>
      <w:szCs w:val="21"/>
    </w:rPr>
  </w:style>
  <w:style w:type="paragraph" w:styleId="20">
    <w:name w:val="header"/>
    <w:basedOn w:val="1"/>
    <w:next w:val="21"/>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1">
    <w:name w:val="样式5"/>
    <w:basedOn w:val="1"/>
    <w:qFormat/>
    <w:uiPriority w:val="0"/>
    <w:pPr>
      <w:spacing w:line="380" w:lineRule="exact"/>
      <w:ind w:firstLine="566" w:firstLineChars="202"/>
    </w:pPr>
    <w:rPr>
      <w:rFonts w:eastAsia="华文行楷"/>
    </w:rPr>
  </w:style>
  <w:style w:type="paragraph" w:styleId="22">
    <w:name w:val="toc 1"/>
    <w:basedOn w:val="1"/>
    <w:next w:val="1"/>
    <w:qFormat/>
    <w:uiPriority w:val="39"/>
  </w:style>
  <w:style w:type="paragraph" w:styleId="23">
    <w:name w:val="index heading"/>
    <w:basedOn w:val="1"/>
    <w:next w:val="24"/>
    <w:qFormat/>
    <w:uiPriority w:val="99"/>
    <w:rPr>
      <w:szCs w:val="20"/>
    </w:rPr>
  </w:style>
  <w:style w:type="paragraph" w:styleId="24">
    <w:name w:val="index 1"/>
    <w:basedOn w:val="1"/>
    <w:next w:val="1"/>
    <w:unhideWhenUsed/>
    <w:qFormat/>
    <w:uiPriority w:val="0"/>
  </w:style>
  <w:style w:type="paragraph" w:styleId="25">
    <w:name w:val="Subtitle"/>
    <w:basedOn w:val="1"/>
    <w:next w:val="1"/>
    <w:qFormat/>
    <w:uiPriority w:val="99"/>
    <w:pPr>
      <w:spacing w:line="320" w:lineRule="exact"/>
      <w:ind w:firstLine="200" w:firstLineChars="200"/>
      <w:jc w:val="center"/>
    </w:pPr>
    <w:rPr>
      <w:rFonts w:ascii="Cambria" w:hAnsi="Cambria" w:eastAsia="Times New Roman"/>
      <w:bCs/>
      <w:kern w:val="28"/>
      <w:sz w:val="24"/>
      <w:szCs w:val="32"/>
    </w:rPr>
  </w:style>
  <w:style w:type="paragraph" w:styleId="26">
    <w:name w:val="List"/>
    <w:basedOn w:val="1"/>
    <w:next w:val="1"/>
    <w:qFormat/>
    <w:uiPriority w:val="0"/>
    <w:pPr>
      <w:ind w:left="200" w:hanging="200" w:hangingChars="200"/>
    </w:pPr>
  </w:style>
  <w:style w:type="paragraph" w:styleId="27">
    <w:name w:val="toc 6"/>
    <w:basedOn w:val="1"/>
    <w:next w:val="1"/>
    <w:qFormat/>
    <w:uiPriority w:val="0"/>
    <w:pPr>
      <w:ind w:left="2100" w:leftChars="1000"/>
    </w:pPr>
  </w:style>
  <w:style w:type="paragraph" w:styleId="28">
    <w:name w:val="Body Text Indent 3"/>
    <w:basedOn w:val="1"/>
    <w:qFormat/>
    <w:uiPriority w:val="0"/>
    <w:pPr>
      <w:spacing w:after="120"/>
      <w:ind w:left="420" w:leftChars="200"/>
    </w:pPr>
    <w:rPr>
      <w:sz w:val="16"/>
      <w:szCs w:val="16"/>
    </w:rPr>
  </w:style>
  <w:style w:type="paragraph" w:styleId="29">
    <w:name w:val="table of figures"/>
    <w:basedOn w:val="1"/>
    <w:next w:val="1"/>
    <w:qFormat/>
    <w:uiPriority w:val="0"/>
    <w:pPr>
      <w:ind w:left="200" w:leftChars="200" w:hanging="200" w:hangingChars="200"/>
    </w:pPr>
  </w:style>
  <w:style w:type="paragraph" w:styleId="30">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31">
    <w:name w:val="Message Header"/>
    <w:basedOn w:val="1"/>
    <w:next w:val="32"/>
    <w:qFormat/>
    <w:uiPriority w:val="0"/>
    <w:pPr>
      <w:keepNext/>
      <w:pBdr>
        <w:top w:val="single" w:color="auto" w:sz="6" w:space="1"/>
        <w:left w:val="single" w:color="auto" w:sz="6" w:space="1"/>
        <w:bottom w:val="single" w:color="auto" w:sz="6" w:space="1"/>
        <w:right w:val="single" w:color="auto" w:sz="6" w:space="1"/>
      </w:pBdr>
      <w:shd w:val="pct20" w:color="auto" w:fill="auto"/>
      <w:spacing w:line="360" w:lineRule="auto"/>
      <w:ind w:left="1000" w:leftChars="500" w:hanging="500" w:hangingChars="500"/>
      <w:jc w:val="left"/>
    </w:pPr>
    <w:rPr>
      <w:rFonts w:ascii="Arial" w:hAnsi="Arial"/>
      <w:color w:val="000000"/>
      <w:kern w:val="0"/>
      <w:sz w:val="24"/>
      <w:szCs w:val="24"/>
      <w:lang w:val="zh-CN"/>
    </w:rPr>
  </w:style>
  <w:style w:type="paragraph" w:customStyle="1" w:styleId="32">
    <w:name w:val="【正文】"/>
    <w:basedOn w:val="1"/>
    <w:qFormat/>
    <w:uiPriority w:val="0"/>
    <w:pPr>
      <w:spacing w:line="440" w:lineRule="exact"/>
      <w:ind w:firstLine="544" w:firstLineChars="200"/>
    </w:pPr>
    <w:rPr>
      <w:rFonts w:cs="宋体"/>
      <w:sz w:val="24"/>
      <w:szCs w:val="20"/>
    </w:rPr>
  </w:style>
  <w:style w:type="paragraph" w:styleId="33">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34">
    <w:name w:val="Title"/>
    <w:basedOn w:val="1"/>
    <w:next w:val="1"/>
    <w:qFormat/>
    <w:uiPriority w:val="0"/>
    <w:pPr>
      <w:pageBreakBefore/>
      <w:outlineLvl w:val="0"/>
    </w:pPr>
    <w:rPr>
      <w:rFonts w:ascii="Cambria" w:hAnsi="Cambria"/>
      <w:b/>
      <w:bCs/>
      <w:sz w:val="32"/>
      <w:szCs w:val="32"/>
    </w:rPr>
  </w:style>
  <w:style w:type="paragraph" w:styleId="35">
    <w:name w:val="annotation subject"/>
    <w:basedOn w:val="11"/>
    <w:next w:val="11"/>
    <w:link w:val="146"/>
    <w:qFormat/>
    <w:uiPriority w:val="0"/>
    <w:rPr>
      <w:b/>
      <w:bCs/>
    </w:rPr>
  </w:style>
  <w:style w:type="paragraph" w:styleId="36">
    <w:name w:val="Body Text First Indent"/>
    <w:basedOn w:val="1"/>
    <w:next w:val="1"/>
    <w:qFormat/>
    <w:uiPriority w:val="99"/>
    <w:pPr>
      <w:spacing w:after="120"/>
      <w:ind w:firstLine="420" w:firstLineChars="100"/>
    </w:pPr>
  </w:style>
  <w:style w:type="paragraph" w:styleId="37">
    <w:name w:val="Body Text First Indent 2"/>
    <w:basedOn w:val="14"/>
    <w:next w:val="1"/>
    <w:qFormat/>
    <w:uiPriority w:val="0"/>
    <w:pPr>
      <w:tabs>
        <w:tab w:val="left" w:pos="540"/>
      </w:tabs>
      <w:spacing w:after="120" w:afterLines="0"/>
      <w:ind w:left="420" w:leftChars="200" w:firstLine="420" w:firstLineChars="200"/>
    </w:pPr>
    <w:rPr>
      <w:sz w:val="21"/>
    </w:rPr>
  </w:style>
  <w:style w:type="table" w:styleId="39">
    <w:name w:val="Table Grid"/>
    <w:basedOn w:val="3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rPr>
  </w:style>
  <w:style w:type="character" w:styleId="42">
    <w:name w:val="page number"/>
    <w:basedOn w:val="40"/>
    <w:qFormat/>
    <w:uiPriority w:val="0"/>
  </w:style>
  <w:style w:type="character" w:styleId="43">
    <w:name w:val="Hyperlink"/>
    <w:qFormat/>
    <w:uiPriority w:val="0"/>
    <w:rPr>
      <w:color w:val="0000FF"/>
      <w:u w:val="single"/>
    </w:rPr>
  </w:style>
  <w:style w:type="character" w:styleId="44">
    <w:name w:val="annotation reference"/>
    <w:basedOn w:val="40"/>
    <w:semiHidden/>
    <w:qFormat/>
    <w:uiPriority w:val="0"/>
    <w:rPr>
      <w:sz w:val="21"/>
    </w:rPr>
  </w:style>
  <w:style w:type="paragraph" w:customStyle="1" w:styleId="45">
    <w:name w:val="00通用正文"/>
    <w:basedOn w:val="1"/>
    <w:qFormat/>
    <w:uiPriority w:val="0"/>
    <w:pPr>
      <w:widowControl w:val="0"/>
      <w:wordWrap w:val="0"/>
      <w:spacing w:after="0" w:line="360" w:lineRule="auto"/>
      <w:ind w:firstLine="420" w:firstLineChars="200"/>
      <w:jc w:val="left"/>
    </w:pPr>
    <w:rPr>
      <w:rFonts w:ascii="Times New Roman" w:hAnsi="Times New Roman" w:eastAsia="宋体" w:cs="Times New Roman"/>
      <w:color w:val="000000"/>
      <w:kern w:val="2"/>
      <w:sz w:val="24"/>
      <w:szCs w:val="24"/>
      <w:lang w:val="en-US" w:bidi="ar-SA"/>
    </w:rPr>
  </w:style>
  <w:style w:type="paragraph" w:customStyle="1" w:styleId="46">
    <w:name w:val="通用正文"/>
    <w:basedOn w:val="45"/>
    <w:link w:val="47"/>
    <w:qFormat/>
    <w:uiPriority w:val="0"/>
    <w:pPr>
      <w:wordWrap w:val="0"/>
      <w:topLinePunct/>
      <w:spacing w:line="360" w:lineRule="auto"/>
      <w:ind w:firstLine="420" w:firstLineChars="200"/>
      <w:jc w:val="left"/>
    </w:pPr>
    <w:rPr>
      <w:rFonts w:ascii="Times New Roman" w:hAnsi="Times New Roman"/>
      <w:sz w:val="24"/>
    </w:rPr>
  </w:style>
  <w:style w:type="character" w:customStyle="1" w:styleId="47">
    <w:name w:val="通用正文 Char"/>
    <w:link w:val="46"/>
    <w:qFormat/>
    <w:uiPriority w:val="0"/>
    <w:rPr>
      <w:rFonts w:ascii="Times New Roman" w:hAnsi="Times New Roman"/>
      <w:sz w:val="24"/>
    </w:rPr>
  </w:style>
  <w:style w:type="paragraph" w:customStyle="1" w:styleId="48">
    <w:name w:val="00表格内文字"/>
    <w:basedOn w:val="45"/>
    <w:next w:val="45"/>
    <w:link w:val="174"/>
    <w:qFormat/>
    <w:uiPriority w:val="0"/>
    <w:pPr>
      <w:spacing w:line="240" w:lineRule="auto"/>
      <w:ind w:firstLine="0" w:firstLineChars="0"/>
      <w:jc w:val="center"/>
    </w:pPr>
    <w:rPr>
      <w:rFonts w:hint="eastAsia" w:ascii="Times New Roman" w:hAnsi="Times New Roman" w:eastAsia="宋体" w:cstheme="minorBidi"/>
      <w:kern w:val="2"/>
      <w:sz w:val="21"/>
      <w:lang w:eastAsia="zh-CN"/>
    </w:rPr>
  </w:style>
  <w:style w:type="paragraph" w:customStyle="1" w:styleId="49">
    <w:name w:val="0表格文字2"/>
    <w:basedOn w:val="45"/>
    <w:next w:val="45"/>
    <w:link w:val="66"/>
    <w:qFormat/>
    <w:uiPriority w:val="0"/>
    <w:pPr>
      <w:spacing w:line="240" w:lineRule="auto"/>
      <w:ind w:firstLine="720" w:firstLineChars="200"/>
      <w:jc w:val="left"/>
    </w:pPr>
    <w:rPr>
      <w:rFonts w:ascii="Times New Roman" w:hAnsi="Times New Roman" w:eastAsia="宋体"/>
      <w:sz w:val="21"/>
      <w:szCs w:val="21"/>
    </w:rPr>
  </w:style>
  <w:style w:type="paragraph" w:customStyle="1" w:styleId="50">
    <w:name w:val="0图表表头"/>
    <w:basedOn w:val="45"/>
    <w:link w:val="51"/>
    <w:qFormat/>
    <w:uiPriority w:val="0"/>
    <w:pPr>
      <w:spacing w:line="240" w:lineRule="auto"/>
      <w:ind w:firstLine="0" w:firstLineChars="0"/>
      <w:jc w:val="center"/>
    </w:pPr>
    <w:rPr>
      <w:rFonts w:hint="eastAsia" w:ascii="Times New Roman" w:hAnsi="Times New Roman" w:eastAsia="宋体" w:cs="宋体"/>
      <w:b/>
      <w:sz w:val="24"/>
    </w:rPr>
  </w:style>
  <w:style w:type="character" w:customStyle="1" w:styleId="51">
    <w:name w:val="0图表表头 Char"/>
    <w:link w:val="50"/>
    <w:qFormat/>
    <w:uiPriority w:val="0"/>
    <w:rPr>
      <w:rFonts w:hint="eastAsia" w:ascii="Times New Roman" w:hAnsi="Times New Roman" w:eastAsia="宋体" w:cs="宋体"/>
      <w:b/>
      <w:sz w:val="24"/>
    </w:rPr>
  </w:style>
  <w:style w:type="paragraph" w:customStyle="1" w:styleId="52">
    <w:name w:val="01通用正文"/>
    <w:basedOn w:val="45"/>
    <w:next w:val="45"/>
    <w:link w:val="53"/>
    <w:qFormat/>
    <w:uiPriority w:val="0"/>
    <w:pPr>
      <w:topLinePunct/>
      <w:spacing w:before="50" w:beforeLines="50"/>
    </w:pPr>
    <w:rPr>
      <w:rFonts w:hint="eastAsia"/>
    </w:rPr>
  </w:style>
  <w:style w:type="character" w:customStyle="1" w:styleId="53">
    <w:name w:val="01通用正文 Char"/>
    <w:link w:val="52"/>
    <w:qFormat/>
    <w:uiPriority w:val="0"/>
    <w:rPr>
      <w:rFonts w:hint="eastAsia"/>
    </w:rPr>
  </w:style>
  <w:style w:type="paragraph" w:customStyle="1" w:styleId="54">
    <w:name w:val="样式 正文文本缩进 + 行距: 1.5 倍行距"/>
    <w:basedOn w:val="14"/>
    <w:qFormat/>
    <w:uiPriority w:val="0"/>
    <w:pPr>
      <w:spacing w:after="120"/>
      <w:ind w:left="90" w:leftChars="32" w:firstLine="560" w:firstLineChars="200"/>
    </w:pPr>
    <w:rPr>
      <w:rFonts w:cs="宋体"/>
    </w:rPr>
  </w:style>
  <w:style w:type="paragraph" w:customStyle="1" w:styleId="55">
    <w:name w:val="01图表头"/>
    <w:basedOn w:val="45"/>
    <w:next w:val="56"/>
    <w:link w:val="57"/>
    <w:qFormat/>
    <w:uiPriority w:val="0"/>
    <w:pPr>
      <w:keepNext w:val="0"/>
      <w:wordWrap w:val="0"/>
      <w:topLinePunct/>
      <w:adjustRightInd/>
      <w:snapToGrid/>
      <w:spacing w:line="240" w:lineRule="auto"/>
      <w:ind w:left="0" w:firstLine="0" w:firstLineChars="0"/>
      <w:jc w:val="center"/>
    </w:pPr>
    <w:rPr>
      <w:rFonts w:ascii="Times New Roman" w:hAnsi="Times New Roman" w:eastAsia="宋体" w:cs="Times New Roman"/>
      <w:b/>
      <w:kern w:val="2"/>
      <w:sz w:val="24"/>
      <w:szCs w:val="24"/>
      <w:lang w:val="en-US" w:bidi="ar-SA"/>
    </w:rPr>
  </w:style>
  <w:style w:type="paragraph" w:customStyle="1" w:styleId="56">
    <w:name w:val="02表格式"/>
    <w:basedOn w:val="45"/>
    <w:link w:val="147"/>
    <w:qFormat/>
    <w:uiPriority w:val="0"/>
    <w:pPr>
      <w:wordWrap w:val="0"/>
      <w:topLinePunct/>
      <w:spacing w:line="240" w:lineRule="auto"/>
      <w:ind w:left="0" w:firstLine="0" w:firstLineChars="0"/>
      <w:jc w:val="center"/>
    </w:pPr>
    <w:rPr>
      <w:rFonts w:ascii="Times New Roman" w:hAnsi="Times New Roman" w:eastAsia="宋体" w:cs="Times New Roman"/>
      <w:color w:val="000000"/>
      <w:kern w:val="2"/>
      <w:sz w:val="21"/>
      <w:szCs w:val="21"/>
      <w:lang w:val="en-US" w:bidi="ar-SA"/>
    </w:rPr>
  </w:style>
  <w:style w:type="character" w:customStyle="1" w:styleId="57">
    <w:name w:val="01图表头 Char"/>
    <w:link w:val="55"/>
    <w:qFormat/>
    <w:uiPriority w:val="0"/>
    <w:rPr>
      <w:rFonts w:ascii="Times New Roman" w:hAnsi="Times New Roman" w:eastAsia="宋体" w:cs="Times New Roman"/>
      <w:b/>
      <w:kern w:val="2"/>
      <w:sz w:val="24"/>
      <w:szCs w:val="24"/>
      <w:lang w:val="en-US" w:bidi="ar-SA"/>
    </w:rPr>
  </w:style>
  <w:style w:type="character" w:customStyle="1" w:styleId="58">
    <w:name w:val="NormalCharacter"/>
    <w:qFormat/>
    <w:uiPriority w:val="0"/>
    <w:rPr>
      <w:rFonts w:ascii="宋体"/>
      <w:sz w:val="24"/>
      <w:lang w:val="en-US" w:eastAsia="zh-CN" w:bidi="ar-SA"/>
    </w:rPr>
  </w:style>
  <w:style w:type="paragraph" w:customStyle="1" w:styleId="59">
    <w:name w:val="0通用正文"/>
    <w:basedOn w:val="1"/>
    <w:link w:val="87"/>
    <w:qFormat/>
    <w:uiPriority w:val="0"/>
    <w:pPr>
      <w:wordWrap w:val="0"/>
      <w:topLinePunct/>
      <w:spacing w:line="360" w:lineRule="auto"/>
      <w:ind w:firstLine="420" w:firstLineChars="200"/>
      <w:jc w:val="left"/>
    </w:pPr>
    <w:rPr>
      <w:rFonts w:ascii="Times New Roman" w:hAnsi="Times New Roman" w:eastAsia="宋体"/>
    </w:rPr>
  </w:style>
  <w:style w:type="paragraph" w:customStyle="1" w:styleId="60">
    <w:name w:val="0表格文字"/>
    <w:basedOn w:val="45"/>
    <w:next w:val="45"/>
    <w:link w:val="61"/>
    <w:qFormat/>
    <w:uiPriority w:val="0"/>
    <w:pPr>
      <w:autoSpaceDE/>
      <w:autoSpaceDN/>
      <w:adjustRightInd/>
      <w:spacing w:line="240" w:lineRule="auto"/>
      <w:ind w:firstLine="0" w:firstLineChars="0"/>
      <w:jc w:val="center"/>
    </w:pPr>
    <w:rPr>
      <w:rFonts w:ascii="Times New Roman" w:hAnsi="Times New Roman" w:eastAsia="宋体" w:cs="宋体"/>
      <w:color w:val="000000"/>
      <w:sz w:val="21"/>
      <w:szCs w:val="21"/>
    </w:rPr>
  </w:style>
  <w:style w:type="character" w:customStyle="1" w:styleId="61">
    <w:name w:val="0表格文字 Char"/>
    <w:link w:val="60"/>
    <w:qFormat/>
    <w:uiPriority w:val="0"/>
    <w:rPr>
      <w:rFonts w:ascii="Times New Roman" w:hAnsi="Times New Roman" w:eastAsia="宋体" w:cs="宋体"/>
      <w:color w:val="000000"/>
      <w:sz w:val="21"/>
      <w:szCs w:val="21"/>
    </w:rPr>
  </w:style>
  <w:style w:type="paragraph" w:customStyle="1" w:styleId="62">
    <w:name w:val="C首行缩进正文"/>
    <w:basedOn w:val="32"/>
    <w:qFormat/>
    <w:uiPriority w:val="0"/>
  </w:style>
  <w:style w:type="paragraph" w:customStyle="1" w:styleId="63">
    <w:name w:val="正文格式"/>
    <w:basedOn w:val="1"/>
    <w:qFormat/>
    <w:uiPriority w:val="0"/>
    <w:pPr>
      <w:spacing w:line="360" w:lineRule="auto"/>
      <w:ind w:firstLine="420" w:firstLineChars="200"/>
    </w:pPr>
    <w:rPr>
      <w:kern w:val="0"/>
      <w:szCs w:val="21"/>
    </w:rPr>
  </w:style>
  <w:style w:type="paragraph" w:customStyle="1" w:styleId="64">
    <w:name w:val="0一级标题"/>
    <w:basedOn w:val="59"/>
    <w:next w:val="59"/>
    <w:link w:val="90"/>
    <w:qFormat/>
    <w:uiPriority w:val="0"/>
    <w:pPr>
      <w:ind w:firstLine="0" w:firstLineChars="0"/>
      <w:jc w:val="center"/>
      <w:outlineLvl w:val="0"/>
    </w:pPr>
    <w:rPr>
      <w:rFonts w:hint="default" w:ascii="Times New Roman" w:hAnsi="Times New Roman" w:eastAsia="宋体" w:cs="宋体"/>
      <w:b/>
      <w:snapToGrid/>
      <w:color w:val="000000"/>
      <w:sz w:val="30"/>
      <w:szCs w:val="30"/>
    </w:rPr>
  </w:style>
  <w:style w:type="character" w:customStyle="1" w:styleId="65">
    <w:name w:val="标题 1 字符"/>
    <w:link w:val="2"/>
    <w:qFormat/>
    <w:uiPriority w:val="99"/>
    <w:rPr>
      <w:rFonts w:ascii="Times New Roman" w:hAnsi="Times New Roman" w:eastAsia="宋体"/>
      <w:b/>
      <w:bCs/>
      <w:kern w:val="44"/>
      <w:sz w:val="30"/>
      <w:szCs w:val="30"/>
    </w:rPr>
  </w:style>
  <w:style w:type="character" w:customStyle="1" w:styleId="66">
    <w:name w:val="0表格文字2 Char"/>
    <w:link w:val="49"/>
    <w:qFormat/>
    <w:uiPriority w:val="0"/>
    <w:rPr>
      <w:rFonts w:ascii="Times New Roman" w:hAnsi="Times New Roman" w:eastAsia="宋体"/>
      <w:sz w:val="21"/>
      <w:szCs w:val="21"/>
    </w:rPr>
  </w:style>
  <w:style w:type="paragraph" w:customStyle="1" w:styleId="67">
    <w:name w:val="Table Paragraph"/>
    <w:basedOn w:val="1"/>
    <w:qFormat/>
    <w:uiPriority w:val="1"/>
    <w:pPr>
      <w:jc w:val="center"/>
    </w:pPr>
    <w:rPr>
      <w:rFonts w:ascii="宋体" w:hAnsi="宋体" w:cs="宋体"/>
      <w:lang w:val="zh-CN" w:bidi="zh-CN"/>
    </w:rPr>
  </w:style>
  <w:style w:type="paragraph" w:customStyle="1" w:styleId="68">
    <w:name w:val="Default"/>
    <w:basedOn w:val="69"/>
    <w:next w:val="19"/>
    <w:qFormat/>
    <w:uiPriority w:val="0"/>
    <w:pPr>
      <w:autoSpaceDE w:val="0"/>
      <w:autoSpaceDN w:val="0"/>
    </w:pPr>
    <w:rPr>
      <w:rFonts w:hAnsi="Calibri" w:cs="宋体"/>
      <w:color w:val="000000"/>
      <w:sz w:val="24"/>
      <w:szCs w:val="24"/>
    </w:rPr>
  </w:style>
  <w:style w:type="paragraph" w:customStyle="1" w:styleId="69">
    <w:name w:val="纯文本1"/>
    <w:basedOn w:val="1"/>
    <w:qFormat/>
    <w:uiPriority w:val="0"/>
    <w:pPr>
      <w:adjustRightInd w:val="0"/>
    </w:pPr>
    <w:rPr>
      <w:rFonts w:ascii="宋体" w:hAnsi="Courier New"/>
      <w:szCs w:val="20"/>
    </w:rPr>
  </w:style>
  <w:style w:type="paragraph" w:customStyle="1" w:styleId="70">
    <w:name w:val="Normal (Web)1"/>
    <w:basedOn w:val="1"/>
    <w:next w:val="71"/>
    <w:qFormat/>
    <w:uiPriority w:val="0"/>
    <w:pPr>
      <w:widowControl/>
      <w:jc w:val="left"/>
    </w:pPr>
    <w:rPr>
      <w:rFonts w:ascii="宋体" w:cs="Times New Roman"/>
      <w:kern w:val="0"/>
      <w:sz w:val="24"/>
      <w:szCs w:val="21"/>
    </w:rPr>
  </w:style>
  <w:style w:type="paragraph" w:customStyle="1" w:styleId="71">
    <w:name w:val="Date1"/>
    <w:basedOn w:val="1"/>
    <w:next w:val="1"/>
    <w:qFormat/>
    <w:uiPriority w:val="0"/>
    <w:pPr>
      <w:ind w:left="2500" w:leftChars="2500"/>
    </w:pPr>
  </w:style>
  <w:style w:type="paragraph" w:customStyle="1" w:styleId="72">
    <w:name w:val="表标题"/>
    <w:qFormat/>
    <w:uiPriority w:val="0"/>
    <w:pPr>
      <w:adjustRightInd w:val="0"/>
      <w:snapToGrid w:val="0"/>
      <w:jc w:val="center"/>
    </w:pPr>
    <w:rPr>
      <w:rFonts w:ascii="Times New Roman" w:hAnsi="Times New Roman" w:eastAsia="宋体" w:cs="Times New Roman"/>
      <w:b/>
      <w:sz w:val="24"/>
      <w:lang w:val="en-US" w:eastAsia="zh-CN" w:bidi="ar-SA"/>
    </w:rPr>
  </w:style>
  <w:style w:type="paragraph" w:customStyle="1" w:styleId="73">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74">
    <w:name w:val="报告正文"/>
    <w:basedOn w:val="1"/>
    <w:qFormat/>
    <w:uiPriority w:val="0"/>
    <w:pPr>
      <w:adjustRightInd w:val="0"/>
      <w:snapToGrid w:val="0"/>
      <w:spacing w:line="480" w:lineRule="exact"/>
      <w:ind w:firstLine="560" w:firstLineChars="200"/>
    </w:pPr>
    <w:rPr>
      <w:sz w:val="28"/>
    </w:rPr>
  </w:style>
  <w:style w:type="paragraph" w:customStyle="1" w:styleId="75">
    <w:name w:val="样式 标题 1 + 首行缩进:  2 字符"/>
    <w:basedOn w:val="2"/>
    <w:next w:val="76"/>
    <w:qFormat/>
    <w:uiPriority w:val="0"/>
    <w:pPr>
      <w:keepLines w:val="0"/>
      <w:spacing w:before="0" w:after="0" w:line="720" w:lineRule="auto"/>
      <w:ind w:firstLine="200" w:firstLineChars="200"/>
      <w:jc w:val="center"/>
    </w:pPr>
    <w:rPr>
      <w:rFonts w:ascii="黑体" w:eastAsia="黑体" w:cs="宋体"/>
      <w:kern w:val="2"/>
      <w:sz w:val="36"/>
      <w:szCs w:val="20"/>
    </w:rPr>
  </w:style>
  <w:style w:type="paragraph" w:customStyle="1" w:styleId="76">
    <w:name w:val="表格标题"/>
    <w:basedOn w:val="32"/>
    <w:next w:val="77"/>
    <w:qFormat/>
    <w:uiPriority w:val="0"/>
    <w:pPr>
      <w:spacing w:line="480" w:lineRule="auto"/>
      <w:ind w:firstLine="200" w:firstLineChars="200"/>
      <w:jc w:val="center"/>
    </w:pPr>
    <w:rPr>
      <w:rFonts w:eastAsia="宋体"/>
      <w:kern w:val="0"/>
      <w:sz w:val="24"/>
      <w:szCs w:val="20"/>
    </w:rPr>
  </w:style>
  <w:style w:type="paragraph" w:customStyle="1" w:styleId="77">
    <w:name w:val="正文（首行缩进）"/>
    <w:basedOn w:val="1"/>
    <w:next w:val="78"/>
    <w:qFormat/>
    <w:uiPriority w:val="0"/>
    <w:pPr>
      <w:widowControl/>
      <w:spacing w:line="360" w:lineRule="auto"/>
      <w:ind w:firstLine="480" w:firstLineChars="200"/>
      <w:jc w:val="left"/>
    </w:pPr>
    <w:rPr>
      <w:rFonts w:hAnsi="宋体"/>
      <w:color w:val="000000"/>
      <w:kern w:val="2"/>
    </w:rPr>
  </w:style>
  <w:style w:type="paragraph" w:customStyle="1" w:styleId="78">
    <w:name w:val="正文00"/>
    <w:basedOn w:val="1"/>
    <w:next w:val="79"/>
    <w:qFormat/>
    <w:uiPriority w:val="0"/>
    <w:pPr>
      <w:spacing w:line="500" w:lineRule="exact"/>
      <w:ind w:firstLine="200" w:firstLineChars="200"/>
    </w:pPr>
    <w:rPr>
      <w:rFonts w:eastAsia="宋体"/>
      <w:sz w:val="28"/>
      <w:szCs w:val="28"/>
    </w:rPr>
  </w:style>
  <w:style w:type="paragraph" w:customStyle="1" w:styleId="79">
    <w:name w:val="样式 Times New Roman 五号 居中1"/>
    <w:basedOn w:val="1"/>
    <w:next w:val="80"/>
    <w:qFormat/>
    <w:uiPriority w:val="0"/>
    <w:pPr>
      <w:jc w:val="center"/>
    </w:pPr>
    <w:rPr>
      <w:rFonts w:cs="宋?"/>
      <w:szCs w:val="24"/>
    </w:rPr>
  </w:style>
  <w:style w:type="paragraph" w:customStyle="1" w:styleId="80">
    <w:name w:val="表头"/>
    <w:basedOn w:val="30"/>
    <w:next w:val="16"/>
    <w:qFormat/>
    <w:uiPriority w:val="0"/>
    <w:pPr>
      <w:keepNext/>
      <w:snapToGrid w:val="0"/>
      <w:spacing w:before="10" w:line="240" w:lineRule="auto"/>
      <w:ind w:firstLine="0" w:firstLineChars="0"/>
      <w:jc w:val="center"/>
    </w:pPr>
    <w:rPr>
      <w:spacing w:val="11"/>
      <w:kern w:val="21"/>
      <w:szCs w:val="20"/>
    </w:rPr>
  </w:style>
  <w:style w:type="paragraph" w:customStyle="1" w:styleId="81">
    <w:name w:val="样式4"/>
    <w:basedOn w:val="13"/>
    <w:qFormat/>
    <w:uiPriority w:val="0"/>
    <w:pPr>
      <w:adjustRightInd w:val="0"/>
      <w:snapToGrid w:val="0"/>
      <w:jc w:val="center"/>
    </w:pPr>
    <w:rPr>
      <w:sz w:val="24"/>
    </w:rPr>
  </w:style>
  <w:style w:type="paragraph" w:customStyle="1" w:styleId="82">
    <w:name w:val="样式 正文首行缩进 + 首行缩进:  2 字符1"/>
    <w:basedOn w:val="1"/>
    <w:next w:val="22"/>
    <w:qFormat/>
    <w:uiPriority w:val="0"/>
    <w:pPr>
      <w:spacing w:line="360" w:lineRule="auto"/>
      <w:ind w:firstLine="480" w:firstLineChars="200"/>
    </w:pPr>
    <w:rPr>
      <w:sz w:val="24"/>
    </w:rPr>
  </w:style>
  <w:style w:type="paragraph" w:customStyle="1" w:styleId="83">
    <w:name w:val="表格文字7"/>
    <w:basedOn w:val="1"/>
    <w:qFormat/>
    <w:uiPriority w:val="0"/>
    <w:pPr>
      <w:tabs>
        <w:tab w:val="left" w:pos="2745"/>
      </w:tabs>
      <w:snapToGrid w:val="0"/>
      <w:jc w:val="center"/>
    </w:pPr>
    <w:rPr>
      <w:bCs/>
      <w:szCs w:val="21"/>
      <w:lang w:val="zh-CN"/>
    </w:rPr>
  </w:style>
  <w:style w:type="paragraph" w:customStyle="1" w:styleId="84">
    <w:name w:val="表格内正文"/>
    <w:basedOn w:val="1"/>
    <w:qFormat/>
    <w:uiPriority w:val="0"/>
    <w:pPr>
      <w:spacing w:line="360" w:lineRule="auto"/>
      <w:jc w:val="center"/>
    </w:pPr>
  </w:style>
  <w:style w:type="character" w:customStyle="1" w:styleId="85">
    <w:name w:val="font01"/>
    <w:qFormat/>
    <w:uiPriority w:val="0"/>
    <w:rPr>
      <w:rFonts w:hint="eastAsia" w:ascii="宋体" w:hAnsi="宋体" w:eastAsia="宋体" w:cs="宋体"/>
      <w:color w:val="000000"/>
      <w:sz w:val="22"/>
      <w:szCs w:val="22"/>
      <w:u w:val="none"/>
    </w:rPr>
  </w:style>
  <w:style w:type="character" w:customStyle="1" w:styleId="86">
    <w:name w:val="font11"/>
    <w:qFormat/>
    <w:uiPriority w:val="0"/>
    <w:rPr>
      <w:rFonts w:hint="default" w:ascii="Times New Roman" w:hAnsi="Times New Roman" w:cs="Times New Roman"/>
      <w:color w:val="000000"/>
      <w:sz w:val="22"/>
      <w:szCs w:val="22"/>
      <w:u w:val="none"/>
    </w:rPr>
  </w:style>
  <w:style w:type="character" w:customStyle="1" w:styleId="87">
    <w:name w:val="0通用正文 Char"/>
    <w:link w:val="59"/>
    <w:qFormat/>
    <w:uiPriority w:val="0"/>
    <w:rPr>
      <w:rFonts w:ascii="Times New Roman" w:hAnsi="Times New Roman" w:eastAsia="宋体"/>
    </w:rPr>
  </w:style>
  <w:style w:type="paragraph" w:styleId="88">
    <w:name w:val="List Paragraph"/>
    <w:basedOn w:val="1"/>
    <w:qFormat/>
    <w:uiPriority w:val="0"/>
    <w:pPr>
      <w:ind w:firstLine="420" w:firstLineChars="200"/>
    </w:pPr>
  </w:style>
  <w:style w:type="paragraph" w:customStyle="1" w:styleId="89">
    <w:name w:val="正文缩进1"/>
    <w:basedOn w:val="1"/>
    <w:qFormat/>
    <w:uiPriority w:val="0"/>
    <w:pPr>
      <w:spacing w:line="520" w:lineRule="exact"/>
      <w:ind w:firstLine="624"/>
    </w:pPr>
    <w:rPr>
      <w:sz w:val="28"/>
    </w:rPr>
  </w:style>
  <w:style w:type="character" w:customStyle="1" w:styleId="90">
    <w:name w:val="0一级标题 Char"/>
    <w:link w:val="64"/>
    <w:qFormat/>
    <w:uiPriority w:val="0"/>
    <w:rPr>
      <w:rFonts w:hint="default" w:ascii="Times New Roman" w:hAnsi="Times New Roman" w:eastAsia="宋体" w:cs="宋体"/>
      <w:b/>
      <w:snapToGrid/>
      <w:color w:val="000000"/>
      <w:sz w:val="30"/>
      <w:szCs w:val="30"/>
    </w:rPr>
  </w:style>
  <w:style w:type="paragraph" w:customStyle="1" w:styleId="91">
    <w:name w:val="表格"/>
    <w:basedOn w:val="1"/>
    <w:next w:val="1"/>
    <w:qFormat/>
    <w:uiPriority w:val="0"/>
    <w:pPr>
      <w:adjustRightInd w:val="0"/>
      <w:snapToGrid w:val="0"/>
      <w:spacing w:beforeLines="10" w:afterLines="10" w:line="259" w:lineRule="auto"/>
      <w:jc w:val="center"/>
    </w:pPr>
    <w:rPr>
      <w:rFonts w:ascii="宋体"/>
      <w:kern w:val="0"/>
      <w:szCs w:val="20"/>
    </w:rPr>
  </w:style>
  <w:style w:type="paragraph" w:customStyle="1" w:styleId="92">
    <w:name w:val="表格文字"/>
    <w:basedOn w:val="80"/>
    <w:qFormat/>
    <w:uiPriority w:val="0"/>
    <w:pPr>
      <w:adjustRightInd w:val="0"/>
      <w:snapToGrid w:val="0"/>
      <w:jc w:val="center"/>
    </w:pPr>
    <w:rPr>
      <w:rFonts w:eastAsia="仿宋_GB2312"/>
      <w:bCs/>
      <w:szCs w:val="21"/>
    </w:rPr>
  </w:style>
  <w:style w:type="paragraph" w:customStyle="1" w:styleId="93">
    <w:name w:val="表格内容--中祥"/>
    <w:basedOn w:val="1"/>
    <w:qFormat/>
    <w:uiPriority w:val="0"/>
    <w:pPr>
      <w:spacing w:line="240" w:lineRule="auto"/>
      <w:ind w:firstLine="0" w:firstLineChars="0"/>
      <w:jc w:val="center"/>
    </w:pPr>
    <w:rPr>
      <w:kern w:val="0"/>
      <w:sz w:val="21"/>
      <w:szCs w:val="21"/>
    </w:rPr>
  </w:style>
  <w:style w:type="paragraph" w:customStyle="1" w:styleId="94">
    <w:name w:val="②JM正文 顶格 加粗"/>
    <w:basedOn w:val="95"/>
    <w:next w:val="97"/>
    <w:qFormat/>
    <w:uiPriority w:val="0"/>
    <w:rPr>
      <w:b/>
    </w:rPr>
  </w:style>
  <w:style w:type="paragraph" w:customStyle="1" w:styleId="95">
    <w:name w:val="②JM正文 顶格"/>
    <w:basedOn w:val="96"/>
    <w:next w:val="97"/>
    <w:qFormat/>
    <w:uiPriority w:val="0"/>
    <w:pPr>
      <w:jc w:val="left"/>
    </w:pPr>
  </w:style>
  <w:style w:type="paragraph" w:customStyle="1" w:styleId="96">
    <w:name w:val="①JM表格 居中"/>
    <w:basedOn w:val="1"/>
    <w:next w:val="1"/>
    <w:qFormat/>
    <w:uiPriority w:val="0"/>
    <w:pPr>
      <w:jc w:val="center"/>
    </w:pPr>
  </w:style>
  <w:style w:type="paragraph" w:customStyle="1" w:styleId="97">
    <w:name w:val="②JM正文"/>
    <w:basedOn w:val="95"/>
    <w:qFormat/>
    <w:uiPriority w:val="0"/>
    <w:pPr>
      <w:ind w:firstLine="720" w:firstLineChars="200"/>
    </w:pPr>
  </w:style>
  <w:style w:type="paragraph" w:customStyle="1" w:styleId="98">
    <w:name w:val="正文文字进缩"/>
    <w:basedOn w:val="1"/>
    <w:qFormat/>
    <w:uiPriority w:val="0"/>
    <w:pPr>
      <w:spacing w:line="360" w:lineRule="auto"/>
      <w:ind w:firstLine="200" w:firstLineChars="200"/>
    </w:pPr>
    <w:rPr>
      <w:rFonts w:ascii="仿宋_GB2312" w:eastAsia="仿宋_GB2312"/>
      <w:sz w:val="30"/>
      <w:szCs w:val="20"/>
    </w:rPr>
  </w:style>
  <w:style w:type="paragraph" w:customStyle="1" w:styleId="99">
    <w:name w:val="表格题目"/>
    <w:basedOn w:val="1"/>
    <w:qFormat/>
    <w:uiPriority w:val="0"/>
    <w:pPr>
      <w:spacing w:line="240" w:lineRule="atLeast"/>
      <w:jc w:val="center"/>
    </w:pPr>
    <w:rPr>
      <w:rFonts w:ascii="黑体" w:hAnsi="宋体" w:eastAsia="黑体"/>
      <w:sz w:val="24"/>
    </w:rPr>
  </w:style>
  <w:style w:type="paragraph" w:customStyle="1" w:styleId="100">
    <w:name w:val="盂县"/>
    <w:basedOn w:val="1"/>
    <w:qFormat/>
    <w:uiPriority w:val="0"/>
    <w:pPr>
      <w:adjustRightInd w:val="0"/>
      <w:snapToGrid w:val="0"/>
      <w:spacing w:line="312" w:lineRule="auto"/>
      <w:ind w:firstLine="560" w:firstLineChars="200"/>
    </w:pPr>
    <w:rPr>
      <w:sz w:val="28"/>
    </w:rPr>
  </w:style>
  <w:style w:type="paragraph" w:customStyle="1" w:styleId="101">
    <w:name w:val="内容"/>
    <w:basedOn w:val="1"/>
    <w:qFormat/>
    <w:uiPriority w:val="0"/>
    <w:pPr>
      <w:spacing w:beforeLines="50" w:afterLines="50"/>
      <w:ind w:firstLine="200" w:firstLineChars="200"/>
    </w:pPr>
    <w:rPr>
      <w:color w:val="000000"/>
      <w:sz w:val="24"/>
    </w:rPr>
  </w:style>
  <w:style w:type="paragraph" w:customStyle="1" w:styleId="102">
    <w:name w:val="表体"/>
    <w:basedOn w:val="1"/>
    <w:qFormat/>
    <w:uiPriority w:val="0"/>
    <w:pPr>
      <w:spacing w:line="240" w:lineRule="auto"/>
    </w:pPr>
    <w:rPr>
      <w:sz w:val="21"/>
      <w:szCs w:val="21"/>
    </w:rPr>
  </w:style>
  <w:style w:type="paragraph" w:customStyle="1" w:styleId="103">
    <w:name w:val="【表中文字】"/>
    <w:basedOn w:val="104"/>
    <w:next w:val="1"/>
    <w:qFormat/>
    <w:uiPriority w:val="0"/>
    <w:pPr>
      <w:jc w:val="center"/>
    </w:pPr>
    <w:rPr>
      <w:szCs w:val="20"/>
    </w:rPr>
  </w:style>
  <w:style w:type="paragraph" w:customStyle="1" w:styleId="104">
    <w:name w:val=".表1-1-1内容"/>
    <w:basedOn w:val="1"/>
    <w:qFormat/>
    <w:uiPriority w:val="0"/>
    <w:pPr>
      <w:spacing w:line="300" w:lineRule="exact"/>
      <w:jc w:val="center"/>
    </w:pPr>
    <w:rPr>
      <w:kern w:val="0"/>
      <w:szCs w:val="21"/>
    </w:rPr>
  </w:style>
  <w:style w:type="paragraph" w:customStyle="1" w:styleId="105">
    <w:name w:val="5正文"/>
    <w:qFormat/>
    <w:uiPriority w:val="0"/>
    <w:pPr>
      <w:widowControl w:val="0"/>
      <w:spacing w:line="52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6">
    <w:name w:val="03表段"/>
    <w:basedOn w:val="1"/>
    <w:qFormat/>
    <w:uiPriority w:val="0"/>
    <w:pPr>
      <w:wordWrap w:val="0"/>
      <w:topLinePunct/>
      <w:spacing w:line="240" w:lineRule="auto"/>
      <w:ind w:firstLine="720" w:firstLineChars="200"/>
      <w:jc w:val="left"/>
    </w:pPr>
    <w:rPr>
      <w:rFonts w:ascii="Times New Roman" w:hAnsi="Times New Roman" w:eastAsia="宋体" w:cs="Times New Roman"/>
      <w:color w:val="000000"/>
      <w:kern w:val="2"/>
      <w:sz w:val="21"/>
      <w:szCs w:val="21"/>
      <w:lang w:val="en-US" w:bidi="ar-SA"/>
    </w:rPr>
  </w:style>
  <w:style w:type="paragraph" w:customStyle="1" w:styleId="107">
    <w:name w:val="我的正文"/>
    <w:basedOn w:val="1"/>
    <w:qFormat/>
    <w:uiPriority w:val="0"/>
    <w:pPr>
      <w:adjustRightInd w:val="0"/>
      <w:snapToGrid w:val="0"/>
      <w:spacing w:line="480" w:lineRule="exact"/>
      <w:ind w:firstLine="720" w:firstLineChars="200"/>
      <w:jc w:val="left"/>
    </w:pPr>
    <w:rPr>
      <w:rFonts w:ascii="Times New Roman" w:hAnsi="Times New Roman" w:eastAsia="宋体" w:cs="宋体"/>
      <w:bCs/>
      <w:szCs w:val="21"/>
    </w:rPr>
  </w:style>
  <w:style w:type="paragraph" w:customStyle="1" w:styleId="108">
    <w:name w:val="论文正文"/>
    <w:basedOn w:val="8"/>
    <w:qFormat/>
    <w:uiPriority w:val="0"/>
    <w:pPr>
      <w:ind w:firstLine="480" w:firstLineChars="200"/>
    </w:pPr>
    <w:rPr>
      <w:rFonts w:ascii="宋体" w:hAnsi="宋体"/>
      <w:sz w:val="28"/>
      <w:szCs w:val="24"/>
    </w:rPr>
  </w:style>
  <w:style w:type="paragraph" w:customStyle="1" w:styleId="109">
    <w:name w:val="文本正文"/>
    <w:basedOn w:val="1"/>
    <w:qFormat/>
    <w:uiPriority w:val="99"/>
    <w:pPr>
      <w:spacing w:line="360" w:lineRule="auto"/>
      <w:ind w:firstLine="480" w:firstLineChars="200"/>
    </w:pPr>
    <w:rPr>
      <w:rFonts w:ascii="Times New Roman" w:hAnsi="Times New Roman"/>
      <w:sz w:val="24"/>
      <w:szCs w:val="20"/>
    </w:rPr>
  </w:style>
  <w:style w:type="paragraph" w:customStyle="1" w:styleId="110">
    <w:name w:val="表中文字"/>
    <w:basedOn w:val="80"/>
    <w:next w:val="1"/>
    <w:qFormat/>
    <w:uiPriority w:val="0"/>
    <w:pPr>
      <w:snapToGrid w:val="0"/>
      <w:spacing w:line="300" w:lineRule="exact"/>
      <w:jc w:val="center"/>
    </w:pPr>
    <w:rPr>
      <w:sz w:val="18"/>
      <w:szCs w:val="18"/>
    </w:rPr>
  </w:style>
  <w:style w:type="paragraph" w:customStyle="1" w:styleId="111">
    <w:name w:val="11111"/>
    <w:basedOn w:val="1"/>
    <w:next w:val="1"/>
    <w:qFormat/>
    <w:uiPriority w:val="0"/>
    <w:rPr>
      <w:rFonts w:hAnsi="宋体" w:cs="宋体"/>
    </w:rPr>
  </w:style>
  <w:style w:type="paragraph" w:customStyle="1" w:styleId="112">
    <w:name w:val="Char Char Char Char Char Char Char2"/>
    <w:basedOn w:val="1"/>
    <w:qFormat/>
    <w:uiPriority w:val="0"/>
    <w:pPr>
      <w:snapToGrid w:val="0"/>
      <w:spacing w:line="360" w:lineRule="auto"/>
      <w:ind w:firstLine="529" w:firstLineChars="200"/>
    </w:pPr>
    <w:rPr>
      <w:rFonts w:ascii="Times New Roman" w:hAnsi="Times New Roman" w:cs="Times New Roman"/>
      <w:szCs w:val="24"/>
    </w:rPr>
  </w:style>
  <w:style w:type="paragraph" w:customStyle="1" w:styleId="113">
    <w:name w:val="1级标题"/>
    <w:basedOn w:val="46"/>
    <w:next w:val="46"/>
    <w:qFormat/>
    <w:uiPriority w:val="0"/>
    <w:pPr>
      <w:ind w:firstLine="0" w:firstLineChars="0"/>
      <w:outlineLvl w:val="0"/>
    </w:pPr>
    <w:rPr>
      <w:b/>
      <w:sz w:val="36"/>
      <w:szCs w:val="44"/>
    </w:rPr>
  </w:style>
  <w:style w:type="paragraph" w:customStyle="1" w:styleId="114">
    <w:name w:val="报告样式"/>
    <w:basedOn w:val="1"/>
    <w:qFormat/>
    <w:uiPriority w:val="0"/>
    <w:pPr>
      <w:spacing w:line="460" w:lineRule="exact"/>
      <w:ind w:firstLine="200" w:firstLineChars="200"/>
      <w:jc w:val="left"/>
    </w:pPr>
    <w:rPr>
      <w:rFonts w:ascii="Times New Roman"/>
      <w:spacing w:val="20"/>
      <w:kern w:val="2"/>
      <w:szCs w:val="24"/>
    </w:rPr>
  </w:style>
  <w:style w:type="character" w:customStyle="1" w:styleId="115">
    <w:name w:val="【正文】 Char1"/>
    <w:qFormat/>
    <w:uiPriority w:val="0"/>
    <w:rPr>
      <w:rFonts w:ascii="Times New Roman" w:hAnsi="Times New Roman" w:eastAsia="宋体"/>
      <w:sz w:val="24"/>
    </w:rPr>
  </w:style>
  <w:style w:type="character" w:customStyle="1" w:styleId="116">
    <w:name w:val="apple-converted-space"/>
    <w:basedOn w:val="40"/>
    <w:qFormat/>
    <w:uiPriority w:val="0"/>
  </w:style>
  <w:style w:type="table" w:customStyle="1" w:styleId="117">
    <w:name w:val="Table Normal"/>
    <w:semiHidden/>
    <w:unhideWhenUsed/>
    <w:qFormat/>
    <w:uiPriority w:val="0"/>
    <w:rPr>
      <w:lang w:val="en-US" w:eastAsia="zh-CN" w:bidi="ar-SA"/>
    </w:rPr>
    <w:tblPr>
      <w:tblCellMar>
        <w:top w:w="0" w:type="dxa"/>
        <w:left w:w="0" w:type="dxa"/>
        <w:bottom w:w="0" w:type="dxa"/>
        <w:right w:w="0" w:type="dxa"/>
      </w:tblCellMar>
    </w:tblPr>
  </w:style>
  <w:style w:type="paragraph" w:customStyle="1" w:styleId="118">
    <w:name w:val="C【表头】"/>
    <w:basedOn w:val="1"/>
    <w:qFormat/>
    <w:uiPriority w:val="0"/>
    <w:pPr>
      <w:widowControl/>
      <w:adjustRightInd w:val="0"/>
      <w:snapToGrid w:val="0"/>
      <w:jc w:val="center"/>
    </w:pPr>
    <w:rPr>
      <w:rFonts w:eastAsia="黑体" w:cs="宋体"/>
      <w:kern w:val="0"/>
      <w:szCs w:val="20"/>
    </w:rPr>
  </w:style>
  <w:style w:type="paragraph" w:customStyle="1" w:styleId="119">
    <w:name w:val="样式1"/>
    <w:basedOn w:val="23"/>
    <w:next w:val="1"/>
    <w:qFormat/>
    <w:uiPriority w:val="0"/>
    <w:pPr>
      <w:spacing w:beforeLines="50" w:line="440" w:lineRule="exact"/>
      <w:ind w:left="100" w:leftChars="100"/>
    </w:pPr>
    <w:rPr>
      <w:rFonts w:ascii="宋体" w:hAnsi="宋体"/>
    </w:rPr>
  </w:style>
  <w:style w:type="paragraph" w:customStyle="1" w:styleId="120">
    <w:name w:val="首行缩进表格正文"/>
    <w:basedOn w:val="1"/>
    <w:qFormat/>
    <w:uiPriority w:val="0"/>
    <w:pPr>
      <w:spacing w:line="360" w:lineRule="auto"/>
      <w:ind w:firstLine="720" w:firstLineChars="200"/>
      <w:jc w:val="left"/>
    </w:pPr>
    <w:rPr>
      <w:rFonts w:ascii="Times New Roman" w:hAnsi="Times New Roman" w:eastAsia="宋体"/>
    </w:rPr>
  </w:style>
  <w:style w:type="paragraph" w:customStyle="1" w:styleId="121">
    <w:name w:val="首行缩进正文"/>
    <w:basedOn w:val="32"/>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Times New Roman" w:hAnsi="Times New Roman" w:eastAsia="宋体" w:cs="宋体"/>
      <w:color w:val="000000"/>
      <w:kern w:val="0"/>
      <w:sz w:val="21"/>
      <w:szCs w:val="24"/>
      <w:lang w:val="en-US" w:eastAsia="zh-CN" w:bidi="ar"/>
    </w:rPr>
  </w:style>
  <w:style w:type="paragraph" w:customStyle="1" w:styleId="122">
    <w:name w:val="C【表中文字】-"/>
    <w:basedOn w:val="1"/>
    <w:qFormat/>
    <w:uiPriority w:val="0"/>
    <w:pPr>
      <w:keepNext w:val="0"/>
      <w:keepLines w:val="0"/>
      <w:widowControl w:val="0"/>
      <w:suppressLineNumbers w:val="0"/>
      <w:adjustRightInd w:val="0"/>
      <w:snapToGrid w:val="0"/>
      <w:spacing w:before="0" w:beforeAutospacing="0" w:after="0" w:afterAutospacing="0"/>
      <w:ind w:left="0" w:right="0"/>
      <w:jc w:val="center"/>
    </w:pPr>
    <w:rPr>
      <w:rFonts w:hint="default" w:ascii="Times New Roman" w:hAnsi="Times New Roman" w:eastAsia="宋体" w:cs="Times New Roman"/>
      <w:kern w:val="0"/>
      <w:sz w:val="18"/>
      <w:szCs w:val="20"/>
      <w:lang w:val="en-US" w:eastAsia="zh-CN" w:bidi="ar"/>
    </w:rPr>
  </w:style>
  <w:style w:type="paragraph" w:customStyle="1" w:styleId="123">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环评正文"/>
    <w:basedOn w:val="1"/>
    <w:qFormat/>
    <w:uiPriority w:val="0"/>
    <w:pPr>
      <w:spacing w:before="93" w:beforeLines="30"/>
      <w:ind w:firstLine="480" w:firstLineChars="200"/>
    </w:pPr>
    <w:rPr>
      <w:kern w:val="0"/>
      <w:sz w:val="24"/>
      <w:szCs w:val="20"/>
    </w:rPr>
  </w:style>
  <w:style w:type="paragraph" w:customStyle="1" w:styleId="125">
    <w:name w:val="_Style 4"/>
    <w:basedOn w:val="1"/>
    <w:next w:val="1"/>
    <w:qFormat/>
    <w:uiPriority w:val="0"/>
    <w:pPr>
      <w:spacing w:line="240" w:lineRule="auto"/>
      <w:ind w:firstLine="0" w:firstLineChars="0"/>
      <w:jc w:val="center"/>
    </w:pPr>
    <w:rPr>
      <w:bCs/>
      <w:iCs/>
      <w:sz w:val="21"/>
    </w:rPr>
  </w:style>
  <w:style w:type="paragraph" w:customStyle="1" w:styleId="126">
    <w:name w:val="表内格式"/>
    <w:basedOn w:val="1"/>
    <w:qFormat/>
    <w:uiPriority w:val="0"/>
    <w:pPr>
      <w:spacing w:line="240" w:lineRule="auto"/>
      <w:ind w:firstLine="0" w:firstLineChars="0"/>
      <w:jc w:val="center"/>
    </w:pPr>
    <w:rPr>
      <w:rFonts w:ascii="Times New Roman" w:hAnsi="Times New Roman"/>
      <w:sz w:val="21"/>
      <w:szCs w:val="21"/>
    </w:rPr>
  </w:style>
  <w:style w:type="paragraph" w:customStyle="1" w:styleId="127">
    <w:name w:val="表格正文"/>
    <w:basedOn w:val="1"/>
    <w:qFormat/>
    <w:uiPriority w:val="0"/>
    <w:pPr>
      <w:spacing w:line="320" w:lineRule="exact"/>
      <w:jc w:val="center"/>
    </w:pPr>
    <w:rPr>
      <w:rFonts w:cs="宋体"/>
      <w:szCs w:val="24"/>
    </w:rPr>
  </w:style>
  <w:style w:type="paragraph" w:customStyle="1" w:styleId="128">
    <w:name w:val="【表头】"/>
    <w:basedOn w:val="1"/>
    <w:qFormat/>
    <w:uiPriority w:val="0"/>
    <w:pPr>
      <w:widowControl/>
      <w:adjustRightInd w:val="0"/>
      <w:snapToGrid w:val="0"/>
      <w:jc w:val="center"/>
    </w:pPr>
    <w:rPr>
      <w:rFonts w:eastAsia="黑体" w:cs="宋体"/>
      <w:kern w:val="0"/>
      <w:szCs w:val="20"/>
    </w:rPr>
  </w:style>
  <w:style w:type="paragraph" w:customStyle="1" w:styleId="129">
    <w:name w:val="【表中文字】-"/>
    <w:basedOn w:val="1"/>
    <w:qFormat/>
    <w:uiPriority w:val="0"/>
    <w:pPr>
      <w:adjustRightInd w:val="0"/>
      <w:snapToGrid w:val="0"/>
      <w:jc w:val="center"/>
    </w:pPr>
    <w:rPr>
      <w:kern w:val="0"/>
      <w:sz w:val="18"/>
      <w:szCs w:val="20"/>
    </w:rPr>
  </w:style>
  <w:style w:type="paragraph" w:customStyle="1" w:styleId="130">
    <w:name w:val="报告表正文"/>
    <w:basedOn w:val="1"/>
    <w:qFormat/>
    <w:uiPriority w:val="0"/>
    <w:pPr>
      <w:adjustRightInd w:val="0"/>
      <w:spacing w:line="312" w:lineRule="auto"/>
      <w:ind w:left="113" w:right="113" w:firstLine="482" w:firstLineChars="200"/>
      <w:jc w:val="left"/>
      <w:textAlignment w:val="baseline"/>
    </w:pPr>
    <w:rPr>
      <w:rFonts w:eastAsia="宋体"/>
      <w:kern w:val="0"/>
      <w:sz w:val="24"/>
    </w:rPr>
  </w:style>
  <w:style w:type="character" w:customStyle="1" w:styleId="131">
    <w:name w:val="font81"/>
    <w:qFormat/>
    <w:uiPriority w:val="0"/>
    <w:rPr>
      <w:rFonts w:hint="default" w:ascii="Times New Roman" w:hAnsi="Times New Roman" w:cs="Times New Roman"/>
      <w:color w:val="000000"/>
      <w:sz w:val="21"/>
      <w:szCs w:val="21"/>
      <w:u w:val="none"/>
      <w:vertAlign w:val="subscript"/>
    </w:rPr>
  </w:style>
  <w:style w:type="paragraph" w:customStyle="1" w:styleId="132">
    <w:name w:val="AAA首行缩进2字符正文"/>
    <w:basedOn w:val="121"/>
    <w:qFormat/>
    <w:uiPriority w:val="0"/>
    <w:pPr>
      <w:adjustRightInd w:val="0"/>
      <w:snapToGrid w:val="0"/>
      <w:spacing w:line="500" w:lineRule="exact"/>
    </w:pPr>
    <w:rPr>
      <w:rFonts w:eastAsia="仿宋"/>
      <w:sz w:val="24"/>
    </w:rPr>
  </w:style>
  <w:style w:type="paragraph" w:customStyle="1" w:styleId="133">
    <w:name w:val="环评表格"/>
    <w:basedOn w:val="1"/>
    <w:qFormat/>
    <w:uiPriority w:val="0"/>
    <w:pPr>
      <w:spacing w:beforeLines="0" w:afterLines="0" w:line="360" w:lineRule="exact"/>
    </w:pPr>
    <w:rPr>
      <w:kern w:val="0"/>
      <w:sz w:val="20"/>
      <w:szCs w:val="20"/>
    </w:rPr>
  </w:style>
  <w:style w:type="paragraph" w:customStyle="1" w:styleId="134">
    <w:name w:val="神-安表格"/>
    <w:basedOn w:val="1"/>
    <w:qFormat/>
    <w:uiPriority w:val="0"/>
    <w:pPr>
      <w:adjustRightInd w:val="0"/>
      <w:snapToGrid w:val="0"/>
      <w:jc w:val="center"/>
    </w:pPr>
    <w:rPr>
      <w:color w:val="000000"/>
    </w:rPr>
  </w:style>
  <w:style w:type="paragraph" w:customStyle="1" w:styleId="135">
    <w:name w:val="【正文+】"/>
    <w:basedOn w:val="121"/>
    <w:qFormat/>
    <w:uiPriority w:val="0"/>
    <w:pPr>
      <w:adjustRightInd w:val="0"/>
      <w:snapToGrid w:val="0"/>
      <w:spacing w:line="500" w:lineRule="exact"/>
      <w:ind w:firstLine="480"/>
    </w:pPr>
    <w:rPr>
      <w:rFonts w:eastAsia="仿宋"/>
      <w:sz w:val="24"/>
    </w:rPr>
  </w:style>
  <w:style w:type="paragraph" w:customStyle="1" w:styleId="136">
    <w:name w:val="【表中表】"/>
    <w:basedOn w:val="1"/>
    <w:next w:val="1"/>
    <w:qFormat/>
    <w:uiPriority w:val="0"/>
    <w:pPr>
      <w:adjustRightInd w:val="0"/>
      <w:snapToGrid w:val="0"/>
      <w:jc w:val="center"/>
    </w:pPr>
    <w:rPr>
      <w:rFonts w:eastAsia="Times New Roman"/>
      <w:kern w:val="0"/>
    </w:rPr>
  </w:style>
  <w:style w:type="paragraph" w:customStyle="1" w:styleId="137">
    <w:name w:val="【表头】0"/>
    <w:basedOn w:val="1"/>
    <w:qFormat/>
    <w:uiPriority w:val="0"/>
    <w:pPr>
      <w:adjustRightInd w:val="0"/>
      <w:snapToGrid w:val="0"/>
      <w:spacing w:line="400" w:lineRule="exact"/>
      <w:jc w:val="center"/>
    </w:pPr>
    <w:rPr>
      <w:rFonts w:eastAsia="仿宋"/>
      <w:b/>
      <w:sz w:val="24"/>
    </w:rPr>
  </w:style>
  <w:style w:type="paragraph" w:customStyle="1" w:styleId="138">
    <w:name w:val="AAA正文1"/>
    <w:basedOn w:val="1"/>
    <w:qFormat/>
    <w:uiPriority w:val="0"/>
    <w:pPr>
      <w:adjustRightInd w:val="0"/>
      <w:snapToGrid w:val="0"/>
      <w:spacing w:line="500" w:lineRule="exact"/>
      <w:ind w:firstLine="200" w:firstLineChars="200"/>
    </w:pPr>
    <w:rPr>
      <w:rFonts w:eastAsia="仿宋"/>
      <w:color w:val="000000"/>
      <w:sz w:val="24"/>
    </w:rPr>
  </w:style>
  <w:style w:type="paragraph" w:customStyle="1" w:styleId="139">
    <w:name w:val="a正文"/>
    <w:basedOn w:val="63"/>
    <w:qFormat/>
    <w:uiPriority w:val="0"/>
    <w:pPr>
      <w:spacing w:line="520" w:lineRule="exact"/>
      <w:ind w:firstLine="200"/>
    </w:pPr>
    <w:rPr>
      <w:sz w:val="24"/>
    </w:rPr>
  </w:style>
  <w:style w:type="table" w:customStyle="1" w:styleId="140">
    <w:name w:val="网格型3"/>
    <w:basedOn w:val="3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1">
    <w:name w:val="内容列表"/>
    <w:basedOn w:val="1"/>
    <w:qFormat/>
    <w:uiPriority w:val="99"/>
    <w:pPr>
      <w:spacing w:line="480" w:lineRule="exact"/>
      <w:ind w:firstLine="480" w:firstLineChars="200"/>
    </w:pPr>
    <w:rPr>
      <w:rFonts w:ascii="宋体" w:hAnsi="宋体" w:eastAsia="宋体" w:cs="Times New Roman"/>
      <w:bCs/>
      <w:sz w:val="24"/>
      <w:szCs w:val="24"/>
    </w:rPr>
  </w:style>
  <w:style w:type="paragraph" w:customStyle="1" w:styleId="142">
    <w:name w:val="表头00"/>
    <w:basedOn w:val="1"/>
    <w:qFormat/>
    <w:uiPriority w:val="0"/>
    <w:pPr>
      <w:ind w:firstLine="3584"/>
      <w:jc w:val="center"/>
    </w:pPr>
    <w:rPr>
      <w:rFonts w:eastAsia="黑体"/>
      <w:sz w:val="24"/>
      <w:szCs w:val="18"/>
    </w:rPr>
  </w:style>
  <w:style w:type="paragraph" w:customStyle="1" w:styleId="143">
    <w:name w:val="表中字"/>
    <w:qFormat/>
    <w:uiPriority w:val="0"/>
    <w:pPr>
      <w:jc w:val="center"/>
    </w:pPr>
    <w:rPr>
      <w:rFonts w:ascii="Times New Roman" w:hAnsi="Times New Roman" w:eastAsia="宋体" w:cs="Times New Roman"/>
      <w:kern w:val="2"/>
      <w:sz w:val="21"/>
      <w:szCs w:val="22"/>
      <w:lang w:val="zh-CN" w:eastAsia="zh-CN" w:bidi="ar-SA"/>
    </w:rPr>
  </w:style>
  <w:style w:type="paragraph" w:customStyle="1" w:styleId="144">
    <w:name w:val="图头00"/>
    <w:basedOn w:val="1"/>
    <w:qFormat/>
    <w:uiPriority w:val="0"/>
    <w:pPr>
      <w:adjustRightInd w:val="0"/>
      <w:spacing w:line="360" w:lineRule="auto"/>
      <w:jc w:val="center"/>
      <w:textAlignment w:val="baseline"/>
    </w:pPr>
    <w:rPr>
      <w:rFonts w:ascii="宋体" w:eastAsia="黑体"/>
      <w:kern w:val="0"/>
      <w:sz w:val="24"/>
      <w:szCs w:val="20"/>
    </w:rPr>
  </w:style>
  <w:style w:type="character" w:customStyle="1" w:styleId="145">
    <w:name w:val="批注文字 字符"/>
    <w:link w:val="11"/>
    <w:qFormat/>
    <w:uiPriority w:val="0"/>
    <w:rPr>
      <w:kern w:val="2"/>
      <w:sz w:val="24"/>
      <w:szCs w:val="24"/>
    </w:rPr>
  </w:style>
  <w:style w:type="character" w:customStyle="1" w:styleId="146">
    <w:name w:val="批注主题 字符"/>
    <w:link w:val="35"/>
    <w:qFormat/>
    <w:uiPriority w:val="0"/>
    <w:rPr>
      <w:b/>
      <w:bCs/>
      <w:kern w:val="2"/>
      <w:sz w:val="24"/>
      <w:szCs w:val="24"/>
    </w:rPr>
  </w:style>
  <w:style w:type="character" w:customStyle="1" w:styleId="147">
    <w:name w:val="02表格式 Char"/>
    <w:link w:val="56"/>
    <w:qFormat/>
    <w:uiPriority w:val="0"/>
    <w:rPr>
      <w:rFonts w:ascii="Times New Roman" w:hAnsi="Times New Roman" w:eastAsia="宋体" w:cs="Times New Roman"/>
      <w:color w:val="000000"/>
      <w:kern w:val="2"/>
      <w:sz w:val="21"/>
      <w:szCs w:val="21"/>
      <w:lang w:val="en-US" w:bidi="ar-SA"/>
    </w:rPr>
  </w:style>
  <w:style w:type="paragraph" w:customStyle="1" w:styleId="148">
    <w:name w:val="报告书正文"/>
    <w:basedOn w:val="1"/>
    <w:qFormat/>
    <w:uiPriority w:val="0"/>
    <w:pPr>
      <w:adjustRightInd w:val="0"/>
      <w:snapToGrid w:val="0"/>
      <w:spacing w:line="360" w:lineRule="auto"/>
      <w:ind w:firstLine="425"/>
      <w:textAlignment w:val="baseline"/>
    </w:pPr>
    <w:rPr>
      <w:rFonts w:ascii="Arial" w:hAnsi="Arial" w:cs="Times New Roman"/>
      <w:kern w:val="0"/>
      <w:sz w:val="24"/>
      <w:szCs w:val="24"/>
    </w:rPr>
  </w:style>
  <w:style w:type="paragraph" w:customStyle="1" w:styleId="149">
    <w:name w:val="正文样式"/>
    <w:basedOn w:val="1"/>
    <w:qFormat/>
    <w:uiPriority w:val="0"/>
    <w:pPr>
      <w:adjustRightInd w:val="0"/>
      <w:snapToGrid w:val="0"/>
      <w:spacing w:line="520" w:lineRule="exact"/>
      <w:ind w:firstLine="562"/>
    </w:pPr>
    <w:rPr>
      <w:rFonts w:ascii="Times New Roman"/>
      <w:color w:val="000000"/>
      <w:sz w:val="28"/>
      <w:szCs w:val="28"/>
    </w:rPr>
  </w:style>
  <w:style w:type="paragraph" w:customStyle="1" w:styleId="150">
    <w:name w:val="表中文字（工大）"/>
    <w:basedOn w:val="1"/>
    <w:qFormat/>
    <w:uiPriority w:val="0"/>
    <w:pPr>
      <w:spacing w:line="400" w:lineRule="exact"/>
      <w:jc w:val="center"/>
    </w:pPr>
  </w:style>
  <w:style w:type="character" w:customStyle="1" w:styleId="151">
    <w:name w:val="font21"/>
    <w:basedOn w:val="40"/>
    <w:qFormat/>
    <w:uiPriority w:val="0"/>
    <w:rPr>
      <w:rFonts w:ascii="宋体" w:hAnsi="宋体" w:eastAsia="宋体" w:cs="宋体"/>
      <w:color w:val="000000"/>
      <w:sz w:val="16"/>
      <w:szCs w:val="16"/>
      <w:u w:val="none"/>
    </w:rPr>
  </w:style>
  <w:style w:type="character" w:customStyle="1" w:styleId="152">
    <w:name w:val="font31"/>
    <w:basedOn w:val="40"/>
    <w:qFormat/>
    <w:uiPriority w:val="0"/>
    <w:rPr>
      <w:rFonts w:ascii="宋体" w:hAnsi="宋体" w:eastAsia="宋体" w:cs="宋体"/>
      <w:b/>
      <w:bCs/>
      <w:color w:val="000000"/>
      <w:sz w:val="16"/>
      <w:szCs w:val="16"/>
      <w:u w:val="none"/>
    </w:rPr>
  </w:style>
  <w:style w:type="character" w:customStyle="1" w:styleId="153">
    <w:name w:val="font41"/>
    <w:basedOn w:val="40"/>
    <w:qFormat/>
    <w:uiPriority w:val="0"/>
    <w:rPr>
      <w:rFonts w:ascii="宋体" w:hAnsi="宋体" w:eastAsia="宋体" w:cs="宋体"/>
      <w:color w:val="000000"/>
      <w:sz w:val="16"/>
      <w:szCs w:val="16"/>
      <w:u w:val="none"/>
    </w:rPr>
  </w:style>
  <w:style w:type="paragraph" w:customStyle="1" w:styleId="154">
    <w:name w:val="0正文"/>
    <w:basedOn w:val="1"/>
    <w:qFormat/>
    <w:uiPriority w:val="0"/>
    <w:pPr>
      <w:spacing w:line="360" w:lineRule="auto"/>
      <w:ind w:firstLine="480" w:firstLineChars="200"/>
    </w:pPr>
    <w:rPr>
      <w:sz w:val="24"/>
      <w:szCs w:val="20"/>
    </w:rPr>
  </w:style>
  <w:style w:type="paragraph" w:customStyle="1" w:styleId="155">
    <w:name w:val="雪表文"/>
    <w:basedOn w:val="1"/>
    <w:qFormat/>
    <w:uiPriority w:val="0"/>
    <w:pPr>
      <w:spacing w:line="360" w:lineRule="exact"/>
      <w:jc w:val="center"/>
      <w:textAlignment w:val="center"/>
    </w:pPr>
    <w:rPr>
      <w:bCs/>
      <w:iCs/>
      <w:sz w:val="21"/>
      <w:szCs w:val="28"/>
    </w:rPr>
  </w:style>
  <w:style w:type="paragraph" w:customStyle="1" w:styleId="156">
    <w:name w:val="！报告表正文"/>
    <w:basedOn w:val="32"/>
    <w:qFormat/>
    <w:uiPriority w:val="0"/>
    <w:pPr>
      <w:ind w:firstLine="200"/>
    </w:pPr>
    <w:rPr>
      <w:rFonts w:ascii="Times New Roman" w:hAnsi="Times New Roman"/>
      <w:kern w:val="0"/>
      <w:szCs w:val="20"/>
    </w:rPr>
  </w:style>
  <w:style w:type="paragraph" w:customStyle="1" w:styleId="157">
    <w:name w:val="正 文"/>
    <w:basedOn w:val="1"/>
    <w:qFormat/>
    <w:uiPriority w:val="0"/>
    <w:rPr>
      <w:rFonts w:ascii="仿宋" w:hAnsi="仿宋" w:eastAsia="仿宋"/>
    </w:rPr>
  </w:style>
  <w:style w:type="paragraph" w:customStyle="1" w:styleId="158">
    <w:name w:val="表格题名"/>
    <w:basedOn w:val="68"/>
    <w:qFormat/>
    <w:uiPriority w:val="0"/>
    <w:pPr>
      <w:spacing w:line="360" w:lineRule="auto"/>
    </w:pPr>
    <w:rPr>
      <w:rFonts w:ascii="思源宋体 CN" w:hAnsi="思源宋体 CN" w:eastAsia="思源宋体 CN"/>
      <w:sz w:val="28"/>
      <w:szCs w:val="24"/>
    </w:rPr>
  </w:style>
  <w:style w:type="paragraph" w:customStyle="1" w:styleId="159">
    <w:name w:val="表 内容"/>
    <w:basedOn w:val="1"/>
    <w:qFormat/>
    <w:uiPriority w:val="0"/>
    <w:pPr>
      <w:spacing w:line="276" w:lineRule="auto"/>
      <w:ind w:firstLine="0" w:firstLineChars="0"/>
      <w:jc w:val="center"/>
    </w:pPr>
    <w:rPr>
      <w:rFonts w:ascii="仿宋" w:hAnsi="仿宋" w:eastAsia="仿宋"/>
    </w:rPr>
  </w:style>
  <w:style w:type="paragraph" w:customStyle="1" w:styleId="160">
    <w:name w:val="表格内容"/>
    <w:basedOn w:val="1"/>
    <w:qFormat/>
    <w:uiPriority w:val="0"/>
    <w:pPr>
      <w:ind w:left="-44" w:leftChars="-20" w:right="-65" w:rightChars="-27" w:hanging="4" w:hangingChars="2"/>
      <w:jc w:val="center"/>
    </w:pPr>
    <w:rPr>
      <w:rFonts w:ascii="宋体" w:hAnsi="宋体" w:eastAsia="宋体" w:cs="Times New Roman"/>
      <w:color w:val="000000"/>
      <w:szCs w:val="24"/>
    </w:rPr>
  </w:style>
  <w:style w:type="paragraph" w:customStyle="1" w:styleId="161">
    <w:name w:val="我的表头"/>
    <w:basedOn w:val="118"/>
    <w:autoRedefine/>
    <w:qFormat/>
    <w:uiPriority w:val="0"/>
    <w:rPr>
      <w:color w:val="000000" w:themeColor="text1"/>
      <w:sz w:val="24"/>
      <w14:textFill>
        <w14:solidFill>
          <w14:schemeClr w14:val="tx1"/>
        </w14:solidFill>
      </w14:textFill>
    </w:rPr>
  </w:style>
  <w:style w:type="paragraph" w:customStyle="1" w:styleId="162">
    <w:name w:val="【正文小四号】"/>
    <w:basedOn w:val="1"/>
    <w:qFormat/>
    <w:uiPriority w:val="0"/>
    <w:pPr>
      <w:spacing w:line="360" w:lineRule="auto"/>
      <w:ind w:firstLine="200" w:firstLineChars="200"/>
    </w:pPr>
    <w:rPr>
      <w:kern w:val="0"/>
      <w:sz w:val="24"/>
    </w:rPr>
  </w:style>
  <w:style w:type="paragraph" w:customStyle="1" w:styleId="163">
    <w:name w:val="L首行缩进正文"/>
    <w:basedOn w:val="32"/>
    <w:autoRedefine/>
    <w:qFormat/>
    <w:uiPriority w:val="0"/>
    <w:pPr>
      <w:ind w:firstLine="480"/>
    </w:pPr>
    <w:rPr>
      <w:rFonts w:cs="Times New Roman"/>
      <w:color w:val="auto"/>
      <w:sz w:val="21"/>
      <w:szCs w:val="21"/>
    </w:rPr>
  </w:style>
  <w:style w:type="paragraph" w:customStyle="1" w:styleId="164">
    <w:name w:val="附件与附图"/>
    <w:next w:val="130"/>
    <w:qFormat/>
    <w:uiPriority w:val="0"/>
    <w:pPr>
      <w:outlineLvl w:val="0"/>
    </w:pPr>
    <w:rPr>
      <w:rFonts w:hint="eastAsia" w:ascii="Times New Roman" w:hAnsi="Times New Roman" w:eastAsia="宋体" w:cs="Times New Roman"/>
      <w:b/>
      <w:sz w:val="30"/>
      <w:lang w:val="en-US" w:eastAsia="zh-CN" w:bidi="ar-SA"/>
    </w:rPr>
  </w:style>
  <w:style w:type="paragraph" w:customStyle="1" w:styleId="165">
    <w:name w:val="【】表头"/>
    <w:basedOn w:val="1"/>
    <w:next w:val="166"/>
    <w:qFormat/>
    <w:uiPriority w:val="0"/>
    <w:pPr>
      <w:numPr>
        <w:ilvl w:val="5"/>
        <w:numId w:val="2"/>
      </w:numPr>
      <w:spacing w:before="50" w:beforeLines="50" w:line="240" w:lineRule="atLeast"/>
      <w:jc w:val="center"/>
      <w:outlineLvl w:val="5"/>
    </w:pPr>
    <w:rPr>
      <w:rFonts w:eastAsia="黑体" w:cs="宋体"/>
      <w:sz w:val="22"/>
      <w:szCs w:val="20"/>
    </w:rPr>
  </w:style>
  <w:style w:type="paragraph" w:customStyle="1" w:styleId="166">
    <w:name w:val="A表内"/>
    <w:basedOn w:val="1"/>
    <w:qFormat/>
    <w:uiPriority w:val="0"/>
    <w:pPr>
      <w:spacing w:line="0" w:lineRule="atLeast"/>
      <w:jc w:val="center"/>
    </w:pPr>
    <w:rPr>
      <w:rFonts w:cs="宋体"/>
      <w:szCs w:val="20"/>
    </w:rPr>
  </w:style>
  <w:style w:type="character" w:customStyle="1" w:styleId="167">
    <w:name w:val="【表中文字】 Char Char"/>
    <w:qFormat/>
    <w:uiPriority w:val="0"/>
    <w:rPr>
      <w:rFonts w:ascii="Times New Roman" w:hAnsi="Times New Roman" w:eastAsia="宋体" w:cs="宋体"/>
      <w:kern w:val="0"/>
      <w:szCs w:val="20"/>
    </w:rPr>
  </w:style>
  <w:style w:type="paragraph" w:customStyle="1" w:styleId="168">
    <w:name w:val="附件标题"/>
    <w:basedOn w:val="1"/>
    <w:next w:val="169"/>
    <w:autoRedefine/>
    <w:qFormat/>
    <w:uiPriority w:val="0"/>
    <w:pPr>
      <w:adjustRightInd w:val="0"/>
      <w:snapToGrid w:val="0"/>
      <w:spacing w:line="360" w:lineRule="auto"/>
      <w:ind w:firstLine="425"/>
      <w:textAlignment w:val="baseline"/>
    </w:pPr>
    <w:rPr>
      <w:rFonts w:ascii="Arial" w:hAnsi="Arial"/>
      <w:kern w:val="0"/>
      <w:sz w:val="24"/>
    </w:rPr>
  </w:style>
  <w:style w:type="paragraph" w:customStyle="1" w:styleId="169">
    <w:name w:val="正文1"/>
    <w:basedOn w:val="1"/>
    <w:autoRedefine/>
    <w:qFormat/>
    <w:uiPriority w:val="0"/>
    <w:pPr>
      <w:autoSpaceDE w:val="0"/>
      <w:autoSpaceDN w:val="0"/>
      <w:adjustRightInd w:val="0"/>
      <w:snapToGrid w:val="0"/>
      <w:spacing w:line="360" w:lineRule="auto"/>
      <w:ind w:firstLine="720" w:firstLineChars="200"/>
    </w:pPr>
    <w:rPr>
      <w:rFonts w:ascii="宋体" w:hAnsi="宋体" w:cs="宋体"/>
      <w:kern w:val="0"/>
      <w:szCs w:val="21"/>
    </w:rPr>
  </w:style>
  <w:style w:type="paragraph" w:customStyle="1" w:styleId="170">
    <w:name w:val="表格里"/>
    <w:basedOn w:val="169"/>
    <w:next w:val="169"/>
    <w:autoRedefine/>
    <w:qFormat/>
    <w:uiPriority w:val="0"/>
    <w:pPr>
      <w:spacing w:line="240" w:lineRule="auto"/>
      <w:ind w:firstLine="0" w:firstLineChars="0"/>
      <w:jc w:val="center"/>
    </w:pPr>
    <w:rPr>
      <w:rFonts w:ascii="Times New Roman" w:hAnsi="Times New Roman" w:cs="Times New Roman"/>
      <w:snapToGrid w:val="0"/>
    </w:rPr>
  </w:style>
  <w:style w:type="paragraph" w:customStyle="1" w:styleId="171">
    <w:name w:val="填表样式"/>
    <w:basedOn w:val="1"/>
    <w:autoRedefine/>
    <w:unhideWhenUsed/>
    <w:qFormat/>
    <w:uiPriority w:val="0"/>
    <w:pPr>
      <w:adjustRightInd w:val="0"/>
      <w:snapToGrid w:val="0"/>
      <w:spacing w:line="360" w:lineRule="auto"/>
      <w:ind w:firstLine="720" w:firstLineChars="200"/>
    </w:pPr>
  </w:style>
  <w:style w:type="paragraph" w:customStyle="1" w:styleId="172">
    <w:name w:val="Table Text"/>
    <w:basedOn w:val="1"/>
    <w:semiHidden/>
    <w:qFormat/>
    <w:uiPriority w:val="0"/>
    <w:pPr>
      <w:widowControl/>
      <w:kinsoku w:val="0"/>
      <w:autoSpaceDE w:val="0"/>
      <w:autoSpaceDN w:val="0"/>
      <w:adjustRightInd w:val="0"/>
      <w:snapToGrid w:val="0"/>
      <w:jc w:val="left"/>
      <w:textAlignment w:val="baseline"/>
    </w:pPr>
    <w:rPr>
      <w:rFonts w:eastAsia="宋体"/>
      <w:color w:val="000000"/>
      <w:kern w:val="0"/>
      <w:sz w:val="18"/>
      <w:szCs w:val="18"/>
    </w:rPr>
  </w:style>
  <w:style w:type="paragraph" w:customStyle="1" w:styleId="173">
    <w:name w:val="郭巍正文"/>
    <w:basedOn w:val="14"/>
    <w:qFormat/>
    <w:uiPriority w:val="99"/>
    <w:pPr>
      <w:spacing w:after="0" w:line="480" w:lineRule="exact"/>
      <w:ind w:left="0" w:leftChars="0" w:firstLine="560" w:firstLineChars="200"/>
    </w:pPr>
    <w:rPr>
      <w:rFonts w:ascii="宋体"/>
      <w:spacing w:val="20"/>
      <w:kern w:val="0"/>
      <w:sz w:val="20"/>
      <w:szCs w:val="20"/>
    </w:rPr>
  </w:style>
  <w:style w:type="character" w:customStyle="1" w:styleId="174">
    <w:name w:val="00表格内文字 Char"/>
    <w:link w:val="48"/>
    <w:qFormat/>
    <w:uiPriority w:val="0"/>
    <w:rPr>
      <w:rFonts w:hint="eastAsia" w:ascii="Times New Roman" w:hAnsi="Times New Roman" w:eastAsia="宋体" w:cstheme="minorBidi"/>
      <w:kern w:val="2"/>
      <w:sz w:val="21"/>
      <w:lang w:eastAsia="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58.jpeg"/><Relationship Id="rId98" Type="http://schemas.openxmlformats.org/officeDocument/2006/relationships/image" Target="media/image57.jpeg"/><Relationship Id="rId97" Type="http://schemas.openxmlformats.org/officeDocument/2006/relationships/image" Target="media/image56.jpeg"/><Relationship Id="rId96" Type="http://schemas.openxmlformats.org/officeDocument/2006/relationships/image" Target="media/image55.jpeg"/><Relationship Id="rId95" Type="http://schemas.openxmlformats.org/officeDocument/2006/relationships/image" Target="media/image54.jpeg"/><Relationship Id="rId94" Type="http://schemas.openxmlformats.org/officeDocument/2006/relationships/image" Target="media/image53.jpeg"/><Relationship Id="rId93" Type="http://schemas.openxmlformats.org/officeDocument/2006/relationships/image" Target="media/image52.jpeg"/><Relationship Id="rId92" Type="http://schemas.openxmlformats.org/officeDocument/2006/relationships/image" Target="media/image51.png"/><Relationship Id="rId91" Type="http://schemas.openxmlformats.org/officeDocument/2006/relationships/image" Target="media/image50.png"/><Relationship Id="rId90" Type="http://schemas.openxmlformats.org/officeDocument/2006/relationships/image" Target="media/image49.png"/><Relationship Id="rId9" Type="http://schemas.openxmlformats.org/officeDocument/2006/relationships/footer" Target="footer4.xml"/><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jpeg"/><Relationship Id="rId84" Type="http://schemas.openxmlformats.org/officeDocument/2006/relationships/image" Target="media/image43.jpeg"/><Relationship Id="rId83" Type="http://schemas.openxmlformats.org/officeDocument/2006/relationships/image" Target="media/image42.jpeg"/><Relationship Id="rId82" Type="http://schemas.openxmlformats.org/officeDocument/2006/relationships/image" Target="media/image41.jpeg"/><Relationship Id="rId81" Type="http://schemas.openxmlformats.org/officeDocument/2006/relationships/image" Target="media/image40.jpeg"/><Relationship Id="rId80" Type="http://schemas.openxmlformats.org/officeDocument/2006/relationships/image" Target="media/image39.jpeg"/><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image" Target="media/image37.png"/><Relationship Id="rId77" Type="http://schemas.openxmlformats.org/officeDocument/2006/relationships/image" Target="media/image36.png"/><Relationship Id="rId76" Type="http://schemas.openxmlformats.org/officeDocument/2006/relationships/image" Target="media/image35.png"/><Relationship Id="rId75" Type="http://schemas.openxmlformats.org/officeDocument/2006/relationships/image" Target="media/image34.png"/><Relationship Id="rId74" Type="http://schemas.openxmlformats.org/officeDocument/2006/relationships/image" Target="media/image33.png"/><Relationship Id="rId73" Type="http://schemas.openxmlformats.org/officeDocument/2006/relationships/image" Target="media/image32.wmf"/><Relationship Id="rId72" Type="http://schemas.openxmlformats.org/officeDocument/2006/relationships/oleObject" Target="embeddings/oleObject26.bin"/><Relationship Id="rId71" Type="http://schemas.openxmlformats.org/officeDocument/2006/relationships/image" Target="media/image31.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24.bin"/><Relationship Id="rId67" Type="http://schemas.openxmlformats.org/officeDocument/2006/relationships/image" Target="media/image29.wmf"/><Relationship Id="rId66" Type="http://schemas.openxmlformats.org/officeDocument/2006/relationships/oleObject" Target="embeddings/oleObject23.bin"/><Relationship Id="rId65" Type="http://schemas.openxmlformats.org/officeDocument/2006/relationships/image" Target="media/image28.wmf"/><Relationship Id="rId64" Type="http://schemas.openxmlformats.org/officeDocument/2006/relationships/oleObject" Target="embeddings/oleObject22.bin"/><Relationship Id="rId63" Type="http://schemas.openxmlformats.org/officeDocument/2006/relationships/image" Target="media/image27.wmf"/><Relationship Id="rId62" Type="http://schemas.openxmlformats.org/officeDocument/2006/relationships/oleObject" Target="embeddings/oleObject21.bin"/><Relationship Id="rId61" Type="http://schemas.openxmlformats.org/officeDocument/2006/relationships/image" Target="media/image26.wmf"/><Relationship Id="rId60" Type="http://schemas.openxmlformats.org/officeDocument/2006/relationships/oleObject" Target="embeddings/oleObject20.bin"/><Relationship Id="rId6" Type="http://schemas.openxmlformats.org/officeDocument/2006/relationships/header" Target="header1.xml"/><Relationship Id="rId59" Type="http://schemas.openxmlformats.org/officeDocument/2006/relationships/image" Target="media/image25.wmf"/><Relationship Id="rId58" Type="http://schemas.openxmlformats.org/officeDocument/2006/relationships/oleObject" Target="embeddings/oleObject19.bin"/><Relationship Id="rId57" Type="http://schemas.openxmlformats.org/officeDocument/2006/relationships/image" Target="media/image24.wmf"/><Relationship Id="rId56" Type="http://schemas.openxmlformats.org/officeDocument/2006/relationships/oleObject" Target="embeddings/oleObject18.bin"/><Relationship Id="rId55" Type="http://schemas.openxmlformats.org/officeDocument/2006/relationships/image" Target="media/image23.wmf"/><Relationship Id="rId54" Type="http://schemas.openxmlformats.org/officeDocument/2006/relationships/oleObject" Target="embeddings/oleObject17.bin"/><Relationship Id="rId53" Type="http://schemas.openxmlformats.org/officeDocument/2006/relationships/image" Target="media/image22.wmf"/><Relationship Id="rId52" Type="http://schemas.openxmlformats.org/officeDocument/2006/relationships/oleObject" Target="embeddings/oleObject16.bin"/><Relationship Id="rId51" Type="http://schemas.openxmlformats.org/officeDocument/2006/relationships/image" Target="media/image21.wmf"/><Relationship Id="rId50" Type="http://schemas.openxmlformats.org/officeDocument/2006/relationships/oleObject" Target="embeddings/oleObject15.bin"/><Relationship Id="rId5" Type="http://schemas.openxmlformats.org/officeDocument/2006/relationships/footer" Target="footer1.xml"/><Relationship Id="rId49" Type="http://schemas.openxmlformats.org/officeDocument/2006/relationships/image" Target="media/image20.wmf"/><Relationship Id="rId48" Type="http://schemas.openxmlformats.org/officeDocument/2006/relationships/oleObject" Target="embeddings/oleObject14.bin"/><Relationship Id="rId47" Type="http://schemas.openxmlformats.org/officeDocument/2006/relationships/image" Target="media/image19.wmf"/><Relationship Id="rId46" Type="http://schemas.openxmlformats.org/officeDocument/2006/relationships/oleObject" Target="embeddings/oleObject13.bin"/><Relationship Id="rId45" Type="http://schemas.openxmlformats.org/officeDocument/2006/relationships/image" Target="media/image18.wmf"/><Relationship Id="rId44" Type="http://schemas.openxmlformats.org/officeDocument/2006/relationships/oleObject" Target="embeddings/oleObject12.bin"/><Relationship Id="rId43" Type="http://schemas.openxmlformats.org/officeDocument/2006/relationships/image" Target="media/image17.wmf"/><Relationship Id="rId42" Type="http://schemas.openxmlformats.org/officeDocument/2006/relationships/oleObject" Target="embeddings/oleObject11.bin"/><Relationship Id="rId41" Type="http://schemas.openxmlformats.org/officeDocument/2006/relationships/image" Target="media/image16.wmf"/><Relationship Id="rId40" Type="http://schemas.openxmlformats.org/officeDocument/2006/relationships/oleObject" Target="embeddings/oleObject10.bin"/><Relationship Id="rId4" Type="http://schemas.openxmlformats.org/officeDocument/2006/relationships/endnotes" Target="endnotes.xml"/><Relationship Id="rId39" Type="http://schemas.openxmlformats.org/officeDocument/2006/relationships/image" Target="media/image15.wmf"/><Relationship Id="rId38" Type="http://schemas.openxmlformats.org/officeDocument/2006/relationships/oleObject" Target="embeddings/oleObject9.bin"/><Relationship Id="rId37" Type="http://schemas.openxmlformats.org/officeDocument/2006/relationships/image" Target="media/image14.wmf"/><Relationship Id="rId36" Type="http://schemas.openxmlformats.org/officeDocument/2006/relationships/oleObject" Target="embeddings/oleObject8.bin"/><Relationship Id="rId35" Type="http://schemas.openxmlformats.org/officeDocument/2006/relationships/image" Target="media/image13.wmf"/><Relationship Id="rId34" Type="http://schemas.openxmlformats.org/officeDocument/2006/relationships/oleObject" Target="embeddings/oleObject7.bin"/><Relationship Id="rId33" Type="http://schemas.openxmlformats.org/officeDocument/2006/relationships/image" Target="media/image12.wmf"/><Relationship Id="rId32" Type="http://schemas.openxmlformats.org/officeDocument/2006/relationships/oleObject" Target="embeddings/oleObject6.bin"/><Relationship Id="rId31" Type="http://schemas.openxmlformats.org/officeDocument/2006/relationships/image" Target="media/image11.png"/><Relationship Id="rId30" Type="http://schemas.openxmlformats.org/officeDocument/2006/relationships/image" Target="media/image10.jpeg"/><Relationship Id="rId3" Type="http://schemas.openxmlformats.org/officeDocument/2006/relationships/footnotes" Target="footnotes.xml"/><Relationship Id="rId29" Type="http://schemas.openxmlformats.org/officeDocument/2006/relationships/image" Target="media/image9.jpeg"/><Relationship Id="rId28" Type="http://schemas.openxmlformats.org/officeDocument/2006/relationships/image" Target="media/image8.png"/><Relationship Id="rId27" Type="http://schemas.openxmlformats.org/officeDocument/2006/relationships/image" Target="media/image7.wmf"/><Relationship Id="rId26" Type="http://schemas.openxmlformats.org/officeDocument/2006/relationships/oleObject" Target="embeddings/oleObject5.bin"/><Relationship Id="rId25" Type="http://schemas.openxmlformats.org/officeDocument/2006/relationships/image" Target="media/image6.wmf"/><Relationship Id="rId24" Type="http://schemas.openxmlformats.org/officeDocument/2006/relationships/oleObject" Target="embeddings/oleObject4.bin"/><Relationship Id="rId23" Type="http://schemas.openxmlformats.org/officeDocument/2006/relationships/image" Target="media/image5.wmf"/><Relationship Id="rId22" Type="http://schemas.openxmlformats.org/officeDocument/2006/relationships/oleObject" Target="embeddings/oleObject3.bin"/><Relationship Id="rId21" Type="http://schemas.openxmlformats.org/officeDocument/2006/relationships/image" Target="media/image4.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3.wmf"/><Relationship Id="rId18" Type="http://schemas.openxmlformats.org/officeDocument/2006/relationships/oleObject" Target="embeddings/oleObject1.bin"/><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5" Type="http://schemas.openxmlformats.org/officeDocument/2006/relationships/fontTable" Target="fontTable.xml"/><Relationship Id="rId114" Type="http://schemas.microsoft.com/office/2006/relationships/keyMapCustomizations" Target="customizations.xml"/><Relationship Id="rId113" Type="http://schemas.openxmlformats.org/officeDocument/2006/relationships/customXml" Target="../customXml/item2.xml"/><Relationship Id="rId112" Type="http://schemas.openxmlformats.org/officeDocument/2006/relationships/numbering" Target="numbering.xml"/><Relationship Id="rId111" Type="http://schemas.openxmlformats.org/officeDocument/2006/relationships/customXml" Target="../customXml/item1.xml"/><Relationship Id="rId110" Type="http://schemas.openxmlformats.org/officeDocument/2006/relationships/image" Target="media/image65.wmf"/><Relationship Id="rId11" Type="http://schemas.openxmlformats.org/officeDocument/2006/relationships/header" Target="header2.xml"/><Relationship Id="rId109" Type="http://schemas.openxmlformats.org/officeDocument/2006/relationships/oleObject" Target="embeddings/oleObject30.bin"/><Relationship Id="rId108" Type="http://schemas.openxmlformats.org/officeDocument/2006/relationships/image" Target="media/image64.wmf"/><Relationship Id="rId107" Type="http://schemas.openxmlformats.org/officeDocument/2006/relationships/oleObject" Target="embeddings/oleObject29.bin"/><Relationship Id="rId106" Type="http://schemas.openxmlformats.org/officeDocument/2006/relationships/image" Target="media/image63.wmf"/><Relationship Id="rId105" Type="http://schemas.openxmlformats.org/officeDocument/2006/relationships/oleObject" Target="embeddings/oleObject28.bin"/><Relationship Id="rId104" Type="http://schemas.openxmlformats.org/officeDocument/2006/relationships/image" Target="media/image62.wmf"/><Relationship Id="rId103" Type="http://schemas.openxmlformats.org/officeDocument/2006/relationships/oleObject" Target="embeddings/oleObject27.bin"/><Relationship Id="rId102" Type="http://schemas.openxmlformats.org/officeDocument/2006/relationships/image" Target="media/image61.jpeg"/><Relationship Id="rId101" Type="http://schemas.openxmlformats.org/officeDocument/2006/relationships/image" Target="media/image60.jpeg"/><Relationship Id="rId100" Type="http://schemas.openxmlformats.org/officeDocument/2006/relationships/image" Target="media/image59.jpeg"/><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489da9bc-8b53-4a38-b602-76a5ce17e0da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1C1BC8B4</paraID>
      <start>8</start>
      <end>9</end>
      <status>ignored</status>
      <modifiedWord/>
      <trackRevisions>false</trackRevisions>
    </reviewItem>
    <reviewItem>
      <errorID>034638ec-f4e9-443c-88c0-9d734f27af95</errorID>
      <errorWord>"</errorWord>
      <group>L1_Format</group>
      <groupName>格式问题</groupName>
      <ability>L2_HalfPunc_CN</ability>
      <abilityName>全半角问题</abilityName>
      <candidateList/>
      <explain>文本全半角错误。</explain>
      <paraID>327A64E8</paraID>
      <start>47</start>
      <end>48</end>
      <status>ignored</status>
      <modifiedWord/>
      <trackRevisions>false</trackRevisions>
    </reviewItem>
    <reviewItem>
      <errorID>23ca5cae-7eea-4f61-ab84-95b76eddcaf3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327A64E8</paraID>
      <start>63</start>
      <end>64</end>
      <status>ignored</status>
      <modifiedWord/>
      <trackRevisions>false</trackRevisions>
    </reviewItem>
    <reviewItem>
      <errorID>145e10ed-1c82-4eb5-af24-b183aa7eab96</errorID>
      <errorWord>：</errorWord>
      <group>L1_Punc</group>
      <groupName>标点问题</groupName>
      <ability>L2_Punc_CN</ability>
      <abilityName>标点符号问题</abilityName>
      <candidateList/>
      <explain/>
      <paraID>516B4000</paraID>
      <start>21</start>
      <end>22</end>
      <status>ignored</status>
      <modifiedWord/>
      <trackRevisions>false</trackRevisions>
    </reviewItem>
    <reviewItem>
      <errorID>7b4c1c58-d390-4b19-bdcd-890318d9f42b</errorID>
      <errorWord>：</errorWord>
      <group>L1_Punc</group>
      <groupName>标点问题</groupName>
      <ability>L2_Punc_CN</ability>
      <abilityName>标点符号问题</abilityName>
      <candidateList/>
      <explain/>
      <paraID>40262AE8</paraID>
      <start>21</start>
      <end>22</end>
      <status>ignored</status>
      <modifiedWord/>
      <trackRevisions>false</trackRevisions>
    </reviewItem>
    <reviewItem>
      <errorID>b161a27c-d32e-4dd7-aa36-9dbf4dc0aac8</errorID>
      <errorWord>：</errorWord>
      <group>L1_Punc</group>
      <groupName>标点问题</groupName>
      <ability>L2_Punc_CN</ability>
      <abilityName>标点符号问题</abilityName>
      <candidateList/>
      <explain/>
      <paraID>  379FC6</paraID>
      <start>21</start>
      <end>22</end>
      <status>ignored</status>
      <modifiedWord/>
      <trackRevisions>false</trackRevisions>
    </reviewItem>
    <reviewItem>
      <errorID>674e7efb-b607-4bad-ac92-0d44960e19e3</errorID>
      <errorWord>：</errorWord>
      <group>L1_Punc</group>
      <groupName>标点问题</groupName>
      <ability>L2_Punc_CN</ability>
      <abilityName>标点符号问题</abilityName>
      <candidateList/>
      <explain/>
      <paraID>739CC38B</paraID>
      <start>21</start>
      <end>22</end>
      <status>ignored</status>
      <modifiedWord/>
      <trackRevisions>false</trackRevisions>
    </reviewItem>
    <reviewItem>
      <errorID>bf92ce9a-8804-44bf-97a9-6b521e5ddaf8</errorID>
      <errorWord>（</errorWord>
      <group>L1_Punc</group>
      <groupName>标点问题</groupName>
      <ability>L2_Punc_CN</ability>
      <abilityName>标点符号问题</abilityName>
      <candidateList/>
      <explain>同一形式括号套用。</explain>
      <paraID>280F0D58</paraID>
      <start>163</start>
      <end>164</end>
      <status>ignored</status>
      <modifiedWord/>
      <trackRevisions>false</trackRevisions>
    </reviewItem>
    <reviewItem>
      <errorID>c42c967a-71aa-4991-b475-36b785e5fe13</errorID>
      <errorWord>）</errorWord>
      <group>L1_Punc</group>
      <groupName>标点问题</groupName>
      <ability>L2_Punc_CN</ability>
      <abilityName>标点符号问题</abilityName>
      <candidateList/>
      <explain>同一形式括号套用。</explain>
      <paraID>280F0D58</paraID>
      <start>175</start>
      <end>176</end>
      <status>ignored</status>
      <modifiedWord/>
      <trackRevisions>false</trackRevisions>
    </reviewItem>
    <reviewItem>
      <errorID>a308f6f3-3524-441c-bca0-50568c5a5399</errorID>
      <errorWord>)</errorWord>
      <group>L1_Format</group>
      <groupName>格式问题</groupName>
      <ability>L2_HalfPunc_CN</ability>
      <abilityName>全半角问题</abilityName>
      <candidateList>
        <item>）</item>
      </candidateList>
      <explain>文本全半角错误。</explain>
      <paraID>2378748F</paraID>
      <start>53</start>
      <end>54</end>
      <status>modified</status>
      <modifiedWord>）</modifiedWord>
      <trackRevisions>false</trackRevisions>
    </reviewItem>
    <reviewItem>
      <errorID>8352f668-9e36-471d-86b0-25586906ae9b</errorID>
      <errorWord>)</errorWord>
      <group>L1_Format</group>
      <groupName>格式问题</groupName>
      <ability>L2_HalfPunc_CN</ability>
      <abilityName>全半角问题</abilityName>
      <candidateList>
        <item>）</item>
      </candidateList>
      <explain>文本全半角错误。</explain>
      <paraID>2378748F</paraID>
      <start>83</start>
      <end>84</end>
      <status>modified</status>
      <modifiedWord>）</modifiedWord>
      <trackRevisions>false</trackRevisions>
    </reviewItem>
    <reviewItem>
      <errorID>6d78b32c-be39-4c55-b52c-98780c5785d1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48815262</paraID>
      <start>101</start>
      <end>102</end>
      <status>ignored</status>
      <modifiedWord/>
      <trackRevisions>false</trackRevisions>
    </reviewItem>
    <reviewItem>
      <errorID>a65fde35-6833-483c-aba4-9f516edda7f4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18480C7D</paraID>
      <start>11</start>
      <end>12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8dab67-cb39-4cd6-bed4-229fe64ad7d3}">
  <ds:schemaRefs/>
</ds:datastoreItem>
</file>

<file path=docProps/app.xml><?xml version="1.0" encoding="utf-8"?>
<Properties xmlns="http://schemas.openxmlformats.org/officeDocument/2006/extended-properties" xmlns:vt="http://schemas.openxmlformats.org/officeDocument/2006/docPropsVTypes">
  <Template>Normal</Template>
  <Pages>77</Pages>
  <Words>12674</Words>
  <Characters>13681</Characters>
  <Lines>180</Lines>
  <Paragraphs>50</Paragraphs>
  <TotalTime>7</TotalTime>
  <ScaleCrop>false</ScaleCrop>
  <LinksUpToDate>false</LinksUpToDate>
  <CharactersWithSpaces>13811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2023-10-26T02:04:00Z</dcterms:created>
  <dc:creator>Whale Fall</dc:creator>
  <cp:lastModifiedBy>李（菁）晶</cp:lastModifiedBy>
  <dcterms:modified xsi:type="dcterms:W3CDTF">2026-09-22T02:23:19Z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70CD95C3115347AE942452AD761CFDC0_13</vt:lpwstr>
  </property>
  <property fmtid="{D5CDD505-2E9C-101B-9397-08002B2CF9AE}" pid="4" name="KSOTemplateDocerSaveRecord">
    <vt:lpwstr>eyJoZGlkIjoiNTkzNThkMmZhNzhiMTliYWI4ZGQxNjBmODhjMzg4NTYiLCJ1c2VySWQiOiIxMzkzODM0NTQ0In0=</vt:lpwstr>
  </property>
</Properties>
</file>