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88D17D">
      <w:pPr>
        <w:jc w:val="center"/>
        <w:rPr>
          <w:rFonts w:ascii="黑体" w:hAnsi="黑体" w:eastAsia="黑体"/>
          <w:sz w:val="32"/>
          <w:szCs w:val="32"/>
        </w:rPr>
      </w:pPr>
      <w:r>
        <w:rPr>
          <w:rFonts w:hint="eastAsia" w:ascii="黑体" w:hAnsi="黑体" w:eastAsia="黑体"/>
          <w:sz w:val="32"/>
          <w:szCs w:val="32"/>
        </w:rPr>
        <w:t>矿区生态修复方案评审表</w:t>
      </w:r>
    </w:p>
    <w:p w14:paraId="40936860">
      <w:pPr>
        <w:rPr>
          <w:rFonts w:ascii="宋体" w:cs="宋体"/>
          <w:sz w:val="24"/>
          <w:szCs w:val="24"/>
        </w:rPr>
      </w:pPr>
      <w:r>
        <w:rPr>
          <w:rFonts w:hint="eastAsia" w:ascii="宋体" w:hAnsi="宋体" w:cs="宋体"/>
          <w:sz w:val="24"/>
          <w:szCs w:val="24"/>
        </w:rPr>
        <w:t>备案号：</w:t>
      </w:r>
    </w:p>
    <w:tbl>
      <w:tblPr>
        <w:tblStyle w:val="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984"/>
        <w:gridCol w:w="7594"/>
      </w:tblGrid>
      <w:tr w14:paraId="1C880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514" w:type="dxa"/>
            <w:gridSpan w:val="2"/>
            <w:vAlign w:val="center"/>
          </w:tcPr>
          <w:p w14:paraId="34C2046B">
            <w:pPr>
              <w:jc w:val="center"/>
              <w:rPr>
                <w:rFonts w:ascii="宋体"/>
                <w:sz w:val="24"/>
                <w:szCs w:val="24"/>
              </w:rPr>
            </w:pPr>
            <w:r>
              <w:rPr>
                <w:rFonts w:hint="eastAsia" w:ascii="宋体" w:hAnsi="宋体"/>
                <w:sz w:val="24"/>
                <w:szCs w:val="24"/>
              </w:rPr>
              <w:t>方案名称</w:t>
            </w:r>
          </w:p>
        </w:tc>
        <w:tc>
          <w:tcPr>
            <w:tcW w:w="7594" w:type="dxa"/>
            <w:vAlign w:val="center"/>
          </w:tcPr>
          <w:p w14:paraId="6EB60AB1">
            <w:pPr>
              <w:spacing w:line="320" w:lineRule="exact"/>
              <w:jc w:val="center"/>
              <w:rPr>
                <w:rFonts w:ascii="宋体" w:hAnsi="宋体" w:cs="仿宋"/>
                <w:bCs/>
                <w:sz w:val="24"/>
                <w:szCs w:val="24"/>
              </w:rPr>
            </w:pPr>
            <w:r>
              <w:rPr>
                <w:rFonts w:hint="eastAsia" w:ascii="宋体" w:hAnsi="宋体" w:cs="仿宋"/>
                <w:bCs/>
                <w:sz w:val="24"/>
                <w:szCs w:val="24"/>
              </w:rPr>
              <w:t>大兴安岭呼玛对俄经济贸易园区开发有限责任公司大兴安岭地区呼玛县JH项目鸥浦乡配套采石场建筑用凝灰岩矿矿区生态修复方案</w:t>
            </w:r>
          </w:p>
        </w:tc>
      </w:tr>
      <w:tr w14:paraId="2048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514" w:type="dxa"/>
            <w:gridSpan w:val="2"/>
            <w:vAlign w:val="center"/>
          </w:tcPr>
          <w:p w14:paraId="0CE69D31">
            <w:pPr>
              <w:jc w:val="center"/>
              <w:rPr>
                <w:rFonts w:ascii="宋体"/>
                <w:sz w:val="24"/>
                <w:szCs w:val="24"/>
              </w:rPr>
            </w:pPr>
            <w:r>
              <w:rPr>
                <w:rFonts w:hint="eastAsia" w:ascii="宋体" w:hAnsi="宋体"/>
                <w:sz w:val="24"/>
                <w:szCs w:val="24"/>
              </w:rPr>
              <w:t>项目单位</w:t>
            </w:r>
          </w:p>
        </w:tc>
        <w:tc>
          <w:tcPr>
            <w:tcW w:w="7594" w:type="dxa"/>
            <w:vAlign w:val="center"/>
          </w:tcPr>
          <w:p w14:paraId="718CF894">
            <w:pPr>
              <w:spacing w:line="360" w:lineRule="exact"/>
              <w:jc w:val="center"/>
              <w:rPr>
                <w:rFonts w:ascii="宋体" w:cs="宋体"/>
                <w:sz w:val="24"/>
                <w:szCs w:val="24"/>
              </w:rPr>
            </w:pPr>
            <w:r>
              <w:rPr>
                <w:rFonts w:hint="eastAsia" w:ascii="宋体" w:cs="宋体"/>
                <w:sz w:val="24"/>
                <w:szCs w:val="24"/>
              </w:rPr>
              <w:t>大兴安岭呼玛对俄经济贸易园区开发有限责任公司</w:t>
            </w:r>
          </w:p>
        </w:tc>
      </w:tr>
      <w:tr w14:paraId="6D4A9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1514" w:type="dxa"/>
            <w:gridSpan w:val="2"/>
            <w:vAlign w:val="center"/>
          </w:tcPr>
          <w:p w14:paraId="710EE596">
            <w:pPr>
              <w:jc w:val="center"/>
              <w:rPr>
                <w:rFonts w:ascii="宋体"/>
                <w:sz w:val="24"/>
                <w:szCs w:val="24"/>
              </w:rPr>
            </w:pPr>
            <w:r>
              <w:rPr>
                <w:rFonts w:hint="eastAsia" w:ascii="宋体" w:hAnsi="宋体"/>
                <w:sz w:val="24"/>
                <w:szCs w:val="24"/>
              </w:rPr>
              <w:t>编制单位</w:t>
            </w:r>
          </w:p>
        </w:tc>
        <w:tc>
          <w:tcPr>
            <w:tcW w:w="7594" w:type="dxa"/>
            <w:vAlign w:val="center"/>
          </w:tcPr>
          <w:p w14:paraId="524C042A">
            <w:pPr>
              <w:spacing w:line="360" w:lineRule="exact"/>
              <w:jc w:val="center"/>
              <w:rPr>
                <w:rFonts w:ascii="宋体"/>
                <w:sz w:val="24"/>
                <w:szCs w:val="24"/>
              </w:rPr>
            </w:pPr>
            <w:r>
              <w:rPr>
                <w:rFonts w:hint="eastAsia" w:ascii="宋体"/>
                <w:sz w:val="24"/>
                <w:szCs w:val="24"/>
              </w:rPr>
              <w:t>开复项目管理有限公司齐齐哈尔分公司</w:t>
            </w:r>
          </w:p>
        </w:tc>
      </w:tr>
      <w:tr w14:paraId="18E9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0" w:hRule="atLeast"/>
        </w:trPr>
        <w:tc>
          <w:tcPr>
            <w:tcW w:w="530" w:type="dxa"/>
            <w:vAlign w:val="center"/>
          </w:tcPr>
          <w:p w14:paraId="35277998">
            <w:pPr>
              <w:jc w:val="center"/>
              <w:rPr>
                <w:rFonts w:ascii="宋体"/>
                <w:sz w:val="24"/>
                <w:szCs w:val="24"/>
              </w:rPr>
            </w:pPr>
            <w:r>
              <w:rPr>
                <w:rFonts w:hint="eastAsia" w:ascii="宋体" w:hAnsi="宋体"/>
                <w:sz w:val="24"/>
                <w:szCs w:val="24"/>
              </w:rPr>
              <w:t>专</w:t>
            </w:r>
          </w:p>
          <w:p w14:paraId="0A4E6AAE">
            <w:pPr>
              <w:rPr>
                <w:rFonts w:ascii="宋体"/>
                <w:sz w:val="24"/>
                <w:szCs w:val="24"/>
              </w:rPr>
            </w:pPr>
          </w:p>
          <w:p w14:paraId="072E532A">
            <w:pPr>
              <w:jc w:val="center"/>
              <w:rPr>
                <w:rFonts w:ascii="宋体"/>
                <w:sz w:val="24"/>
                <w:szCs w:val="24"/>
              </w:rPr>
            </w:pPr>
            <w:r>
              <w:rPr>
                <w:rFonts w:hint="eastAsia" w:ascii="宋体" w:hAnsi="宋体"/>
                <w:sz w:val="24"/>
                <w:szCs w:val="24"/>
              </w:rPr>
              <w:t>家</w:t>
            </w:r>
          </w:p>
          <w:p w14:paraId="3B860471">
            <w:pPr>
              <w:jc w:val="center"/>
              <w:rPr>
                <w:rFonts w:ascii="宋体"/>
                <w:sz w:val="24"/>
                <w:szCs w:val="24"/>
              </w:rPr>
            </w:pPr>
          </w:p>
          <w:p w14:paraId="4B4D4B70">
            <w:pPr>
              <w:jc w:val="center"/>
              <w:rPr>
                <w:rFonts w:ascii="宋体"/>
                <w:sz w:val="24"/>
                <w:szCs w:val="24"/>
              </w:rPr>
            </w:pPr>
            <w:r>
              <w:rPr>
                <w:rFonts w:hint="eastAsia" w:ascii="宋体" w:hAnsi="宋体"/>
                <w:sz w:val="24"/>
                <w:szCs w:val="24"/>
              </w:rPr>
              <w:t>评</w:t>
            </w:r>
          </w:p>
          <w:p w14:paraId="1A95D7D0">
            <w:pPr>
              <w:jc w:val="center"/>
              <w:rPr>
                <w:rFonts w:ascii="宋体"/>
                <w:sz w:val="24"/>
                <w:szCs w:val="24"/>
              </w:rPr>
            </w:pPr>
          </w:p>
          <w:p w14:paraId="31EE46FD">
            <w:pPr>
              <w:jc w:val="center"/>
              <w:rPr>
                <w:rFonts w:ascii="宋体"/>
                <w:sz w:val="24"/>
                <w:szCs w:val="24"/>
              </w:rPr>
            </w:pPr>
            <w:r>
              <w:rPr>
                <w:rFonts w:hint="eastAsia" w:ascii="宋体" w:hAnsi="宋体"/>
                <w:sz w:val="24"/>
                <w:szCs w:val="24"/>
              </w:rPr>
              <w:t>审</w:t>
            </w:r>
          </w:p>
          <w:p w14:paraId="095CFC11">
            <w:pPr>
              <w:jc w:val="center"/>
              <w:rPr>
                <w:rFonts w:ascii="宋体"/>
                <w:sz w:val="24"/>
                <w:szCs w:val="24"/>
              </w:rPr>
            </w:pPr>
          </w:p>
          <w:p w14:paraId="5AA1A302">
            <w:pPr>
              <w:jc w:val="center"/>
              <w:rPr>
                <w:rFonts w:ascii="宋体" w:cs="宋体"/>
                <w:sz w:val="24"/>
                <w:szCs w:val="24"/>
              </w:rPr>
            </w:pPr>
            <w:r>
              <w:rPr>
                <w:rFonts w:hint="eastAsia" w:ascii="宋体" w:hAnsi="宋体" w:cs="宋体"/>
                <w:sz w:val="24"/>
                <w:szCs w:val="24"/>
              </w:rPr>
              <w:t>意</w:t>
            </w:r>
          </w:p>
          <w:p w14:paraId="2B343859">
            <w:pPr>
              <w:jc w:val="center"/>
              <w:rPr>
                <w:rFonts w:ascii="宋体" w:cs="宋体"/>
                <w:sz w:val="24"/>
                <w:szCs w:val="24"/>
              </w:rPr>
            </w:pPr>
          </w:p>
          <w:p w14:paraId="5FB89ACB">
            <w:pPr>
              <w:jc w:val="center"/>
            </w:pPr>
            <w:r>
              <w:rPr>
                <w:rFonts w:hint="eastAsia" w:ascii="宋体" w:hAnsi="宋体" w:cs="宋体"/>
                <w:sz w:val="24"/>
                <w:szCs w:val="24"/>
              </w:rPr>
              <w:t>见</w:t>
            </w:r>
          </w:p>
        </w:tc>
        <w:tc>
          <w:tcPr>
            <w:tcW w:w="8578" w:type="dxa"/>
            <w:gridSpan w:val="2"/>
          </w:tcPr>
          <w:p w14:paraId="43BB7B85">
            <w:pPr>
              <w:spacing w:line="380" w:lineRule="atLeast"/>
              <w:rPr>
                <w:rFonts w:ascii="宋体" w:hAnsi="宋体"/>
                <w:sz w:val="24"/>
                <w:szCs w:val="24"/>
              </w:rPr>
            </w:pPr>
            <w:r>
              <w:rPr>
                <w:rFonts w:hint="eastAsia" w:ascii="宋体" w:hAnsi="宋体"/>
                <w:sz w:val="24"/>
                <w:szCs w:val="24"/>
              </w:rPr>
              <w:t xml:space="preserve">   一、编制的《</w:t>
            </w:r>
            <w:r>
              <w:rPr>
                <w:rFonts w:hint="eastAsia" w:ascii="宋体" w:hAnsi="宋体" w:cs="宋体"/>
                <w:bCs/>
                <w:sz w:val="24"/>
                <w:szCs w:val="24"/>
              </w:rPr>
              <w:t>大兴安岭呼玛对俄经济贸易园区开发有限责任公司大兴安岭地区呼玛县JH项目鸥浦乡配套采石场建筑用凝灰岩矿矿区生态修复方案</w:t>
            </w:r>
            <w:r>
              <w:rPr>
                <w:rFonts w:hint="eastAsia" w:ascii="宋体" w:hAnsi="宋体"/>
                <w:sz w:val="24"/>
                <w:szCs w:val="24"/>
              </w:rPr>
              <w:t>》</w:t>
            </w:r>
            <w:r>
              <w:rPr>
                <w:rFonts w:hint="eastAsia" w:ascii="宋体" w:hAnsi="宋体"/>
                <w:spacing w:val="-20"/>
                <w:sz w:val="24"/>
                <w:szCs w:val="24"/>
              </w:rPr>
              <w:t>（以下简称《方案》）</w:t>
            </w:r>
            <w:r>
              <w:rPr>
                <w:rFonts w:hint="eastAsia" w:ascii="宋体" w:hAnsi="宋体"/>
                <w:sz w:val="24"/>
                <w:szCs w:val="24"/>
              </w:rPr>
              <w:t>原则、目标和任务明确，按照《自然资源部关于进一步加强生产矿山生态修复监管工作的通知（征求意见稿）》的要求，开展了矿山生态环境调查，《方案》编制依据充分，格式符合要求。</w:t>
            </w:r>
          </w:p>
          <w:p w14:paraId="60B9FB24">
            <w:pPr>
              <w:spacing w:line="380" w:lineRule="atLeast"/>
              <w:ind w:firstLine="480" w:firstLineChars="200"/>
              <w:rPr>
                <w:rFonts w:ascii="Times New Roman" w:hAnsi="Times New Roman"/>
                <w:sz w:val="24"/>
                <w:szCs w:val="24"/>
              </w:rPr>
            </w:pPr>
            <w:r>
              <w:rPr>
                <w:rFonts w:ascii="Times New Roman" w:hAnsi="Times New Roman"/>
                <w:sz w:val="24"/>
                <w:szCs w:val="24"/>
              </w:rPr>
              <w:t>二、该矿山为</w:t>
            </w:r>
            <w:r>
              <w:rPr>
                <w:rFonts w:hint="eastAsia" w:ascii="Times New Roman" w:hAnsi="Times New Roman"/>
                <w:sz w:val="24"/>
                <w:szCs w:val="24"/>
              </w:rPr>
              <w:t>新建</w:t>
            </w:r>
            <w:r>
              <w:rPr>
                <w:rFonts w:ascii="Times New Roman" w:hAnsi="Times New Roman"/>
                <w:sz w:val="24"/>
                <w:szCs w:val="24"/>
              </w:rPr>
              <w:t>矿山，</w:t>
            </w:r>
            <w:r>
              <w:rPr>
                <w:rFonts w:hint="eastAsia" w:ascii="Times New Roman" w:hAnsi="Times New Roman"/>
                <w:sz w:val="24"/>
                <w:szCs w:val="24"/>
              </w:rPr>
              <w:t>位于大兴安岭地区呼玛县鸥浦乡，隶属呼玛县管辖</w:t>
            </w:r>
            <w:r>
              <w:rPr>
                <w:rFonts w:ascii="Times New Roman" w:hAnsi="Times New Roman"/>
                <w:sz w:val="24"/>
                <w:szCs w:val="24"/>
              </w:rPr>
              <w:t>。</w:t>
            </w:r>
            <w:r>
              <w:rPr>
                <w:rFonts w:hint="eastAsia" w:ascii="Times New Roman" w:hAnsi="Times New Roman"/>
                <w:sz w:val="24"/>
                <w:szCs w:val="24"/>
              </w:rPr>
              <w:t>矿区地理坐标（2000国家大地坐标系）为：东经125°51′18.68″-125°51′29.32″，北纬52°38′23.96″-52°38′31.13″</w:t>
            </w:r>
            <w:r>
              <w:rPr>
                <w:rFonts w:ascii="Times New Roman" w:hAnsi="Times New Roman"/>
                <w:sz w:val="24"/>
                <w:szCs w:val="24"/>
              </w:rPr>
              <w:t>矿区面积</w:t>
            </w:r>
            <w:r>
              <w:rPr>
                <w:rFonts w:ascii="Times New Roman" w:hAnsi="Times New Roman"/>
                <w:bCs/>
                <w:sz w:val="24"/>
                <w:szCs w:val="24"/>
              </w:rPr>
              <w:t>24287.2m</w:t>
            </w:r>
            <w:r>
              <w:rPr>
                <w:rFonts w:ascii="Times New Roman" w:hAnsi="Times New Roman"/>
                <w:bCs/>
                <w:sz w:val="24"/>
                <w:szCs w:val="24"/>
                <w:vertAlign w:val="superscript"/>
              </w:rPr>
              <w:t>2</w:t>
            </w:r>
            <w:r>
              <w:rPr>
                <w:rFonts w:hint="eastAsia" w:ascii="Times New Roman" w:hAnsi="Times New Roman"/>
                <w:sz w:val="24"/>
                <w:szCs w:val="24"/>
              </w:rPr>
              <w:t>；</w:t>
            </w:r>
            <w:r>
              <w:rPr>
                <w:rFonts w:ascii="Times New Roman" w:hAnsi="Times New Roman"/>
                <w:sz w:val="24"/>
                <w:szCs w:val="24"/>
              </w:rPr>
              <w:t>矿区范围拐点坐标清楚；</w:t>
            </w:r>
            <w:r>
              <w:rPr>
                <w:rFonts w:hint="eastAsia" w:ascii="Times New Roman" w:hAnsi="Times New Roman"/>
                <w:sz w:val="24"/>
                <w:szCs w:val="24"/>
              </w:rPr>
              <w:t>生产规模为</w:t>
            </w:r>
            <w:r>
              <w:rPr>
                <w:rFonts w:ascii="Times New Roman" w:hAnsi="Times New Roman"/>
                <w:sz w:val="24"/>
                <w:szCs w:val="24"/>
              </w:rPr>
              <w:t>6.0×10</w:t>
            </w:r>
            <w:r>
              <w:rPr>
                <w:rFonts w:ascii="Times New Roman" w:hAnsi="Times New Roman"/>
                <w:sz w:val="24"/>
                <w:szCs w:val="24"/>
                <w:vertAlign w:val="superscript"/>
              </w:rPr>
              <w:t>4</w:t>
            </w:r>
            <w:r>
              <w:rPr>
                <w:rFonts w:hint="eastAsia" w:ascii="Times New Roman" w:hAnsi="Times New Roman"/>
                <w:sz w:val="24"/>
                <w:szCs w:val="24"/>
              </w:rPr>
              <w:t>m</w:t>
            </w:r>
            <w:r>
              <w:rPr>
                <w:rFonts w:hint="eastAsia" w:ascii="Times New Roman" w:hAnsi="Times New Roman"/>
                <w:sz w:val="24"/>
                <w:szCs w:val="24"/>
                <w:vertAlign w:val="superscript"/>
              </w:rPr>
              <w:t>3</w:t>
            </w:r>
            <w:r>
              <w:rPr>
                <w:rFonts w:hint="eastAsia" w:ascii="Times New Roman" w:hAnsi="Times New Roman"/>
                <w:sz w:val="24"/>
                <w:szCs w:val="24"/>
              </w:rPr>
              <w:t>/年</w:t>
            </w:r>
            <w:r>
              <w:rPr>
                <w:rFonts w:ascii="Times New Roman" w:hAnsi="Times New Roman"/>
                <w:sz w:val="24"/>
                <w:szCs w:val="24"/>
              </w:rPr>
              <w:t>，</w:t>
            </w:r>
            <w:r>
              <w:rPr>
                <w:rFonts w:hint="eastAsia" w:ascii="Times New Roman" w:hAnsi="Times New Roman"/>
                <w:sz w:val="24"/>
                <w:szCs w:val="24"/>
              </w:rPr>
              <w:t>可采资源量为</w:t>
            </w:r>
            <w:r>
              <w:rPr>
                <w:rFonts w:ascii="Times New Roman" w:hAnsi="Times New Roman"/>
                <w:sz w:val="24"/>
                <w:szCs w:val="24"/>
              </w:rPr>
              <w:t>298394</w:t>
            </w:r>
            <w:r>
              <w:rPr>
                <w:rFonts w:hint="eastAsia" w:ascii="Times New Roman" w:hAnsi="Times New Roman"/>
                <w:sz w:val="24"/>
                <w:szCs w:val="24"/>
              </w:rPr>
              <w:t>m</w:t>
            </w:r>
            <w:r>
              <w:rPr>
                <w:rFonts w:hint="eastAsia" w:ascii="Times New Roman" w:hAnsi="Times New Roman"/>
                <w:sz w:val="24"/>
                <w:szCs w:val="24"/>
                <w:vertAlign w:val="superscript"/>
              </w:rPr>
              <w:t>3</w:t>
            </w:r>
            <w:r>
              <w:rPr>
                <w:rFonts w:ascii="Times New Roman" w:hAnsi="Times New Roman"/>
                <w:sz w:val="24"/>
                <w:szCs w:val="24"/>
              </w:rPr>
              <w:t>。矿山基本情况清楚明确。</w:t>
            </w:r>
          </w:p>
          <w:p w14:paraId="7CF4B18D">
            <w:pPr>
              <w:spacing w:line="380" w:lineRule="atLeast"/>
              <w:ind w:left="33" w:firstLine="424" w:firstLineChars="177"/>
              <w:rPr>
                <w:rFonts w:ascii="Times New Roman" w:hAnsi="Times New Roman"/>
                <w:sz w:val="24"/>
                <w:szCs w:val="24"/>
              </w:rPr>
            </w:pPr>
            <w:r>
              <w:rPr>
                <w:rFonts w:hint="eastAsia" w:ascii="Times New Roman" w:hAnsi="Times New Roman"/>
                <w:sz w:val="24"/>
                <w:szCs w:val="24"/>
              </w:rPr>
              <w:t>三、项目区面积</w:t>
            </w:r>
            <w:r>
              <w:rPr>
                <w:rFonts w:hint="eastAsia" w:ascii="Times New Roman" w:hAnsi="Times New Roman"/>
                <w:bCs/>
                <w:sz w:val="24"/>
                <w:szCs w:val="24"/>
              </w:rPr>
              <w:t>与生态</w:t>
            </w:r>
            <w:r>
              <w:rPr>
                <w:rFonts w:hint="eastAsia" w:ascii="Times New Roman" w:hAnsi="Times New Roman"/>
                <w:sz w:val="24"/>
                <w:szCs w:val="24"/>
              </w:rPr>
              <w:t>修复范围相同</w:t>
            </w:r>
            <w:r>
              <w:rPr>
                <w:rFonts w:hint="eastAsia" w:ascii="Times New Roman" w:hAnsi="Times New Roman"/>
                <w:bCs/>
                <w:sz w:val="24"/>
                <w:szCs w:val="24"/>
              </w:rPr>
              <w:t>为</w:t>
            </w:r>
            <w:r>
              <w:rPr>
                <w:rFonts w:ascii="Times New Roman" w:hAnsi="Times New Roman"/>
                <w:bCs/>
                <w:sz w:val="24"/>
                <w:szCs w:val="24"/>
              </w:rPr>
              <w:t>24287.2m</w:t>
            </w:r>
            <w:r>
              <w:rPr>
                <w:rFonts w:ascii="Times New Roman" w:hAnsi="Times New Roman"/>
                <w:bCs/>
                <w:sz w:val="24"/>
                <w:szCs w:val="24"/>
                <w:vertAlign w:val="superscript"/>
              </w:rPr>
              <w:t>2</w:t>
            </w:r>
            <w:r>
              <w:rPr>
                <w:rFonts w:hint="eastAsia" w:ascii="Times New Roman" w:hAnsi="Times New Roman"/>
                <w:sz w:val="24"/>
                <w:szCs w:val="24"/>
              </w:rPr>
              <w:t>，矿山服务年限5</w:t>
            </w:r>
            <w:r>
              <w:rPr>
                <w:rFonts w:hint="eastAsia" w:ascii="Times New Roman" w:hAnsi="Times New Roman"/>
                <w:bCs/>
                <w:sz w:val="24"/>
                <w:szCs w:val="24"/>
              </w:rPr>
              <w:t>年</w:t>
            </w:r>
            <w:r>
              <w:rPr>
                <w:rFonts w:hint="eastAsia" w:ascii="Times New Roman" w:hAnsi="Times New Roman"/>
                <w:sz w:val="24"/>
                <w:szCs w:val="24"/>
              </w:rPr>
              <w:t>，本方案服务年限8.5年。确定各范围、年限合理。</w:t>
            </w:r>
          </w:p>
          <w:p w14:paraId="0DBF985C">
            <w:pPr>
              <w:spacing w:line="380" w:lineRule="atLeast"/>
              <w:ind w:left="33" w:firstLine="424" w:firstLineChars="177"/>
              <w:rPr>
                <w:rFonts w:hint="eastAsia" w:ascii="Times New Roman" w:hAnsi="Times New Roman"/>
                <w:sz w:val="24"/>
                <w:szCs w:val="24"/>
              </w:rPr>
            </w:pPr>
            <w:r>
              <w:rPr>
                <w:rFonts w:hint="eastAsia" w:ascii="Times New Roman" w:hAnsi="Times New Roman"/>
                <w:sz w:val="24"/>
                <w:szCs w:val="24"/>
              </w:rPr>
              <w:t>四、矿山位于花岗岩基浑园状丘陵，区内存在季节性冻土冻融现象，综合评价地质灾害现状评价为较轻。工程建设及开采会引发水土侵蚀、崩塌，可能遭受季节性冻土冻融地质灾害，地质灾害预测评价为较轻。</w:t>
            </w:r>
          </w:p>
          <w:p w14:paraId="71A8AC96">
            <w:pPr>
              <w:spacing w:line="380" w:lineRule="atLeast"/>
              <w:ind w:left="33" w:firstLine="424" w:firstLineChars="177"/>
              <w:rPr>
                <w:rFonts w:ascii="Times New Roman" w:hAnsi="Times New Roman"/>
                <w:sz w:val="24"/>
                <w:szCs w:val="24"/>
              </w:rPr>
            </w:pPr>
            <w:r>
              <w:rPr>
                <w:rFonts w:hint="eastAsia" w:ascii="Times New Roman" w:hAnsi="Times New Roman"/>
                <w:sz w:val="24"/>
                <w:szCs w:val="24"/>
              </w:rPr>
              <w:t>五、</w:t>
            </w:r>
            <w:r>
              <w:rPr>
                <w:rFonts w:ascii="Times New Roman" w:hAnsi="Times New Roman"/>
                <w:sz w:val="24"/>
                <w:szCs w:val="24"/>
              </w:rPr>
              <w:t>本矿山实施的工程主要为地貌重塑、土壤重构、植被重建，其中地貌重塑包括采矿场坡面清理、采矿场平台平整、设置围栏、设置警示牌工程措施；土壤重构包括表土养护、</w:t>
            </w:r>
            <w:r>
              <w:rPr>
                <w:rFonts w:hint="eastAsia" w:ascii="Times New Roman" w:hAnsi="Times New Roman"/>
                <w:sz w:val="24"/>
                <w:szCs w:val="24"/>
              </w:rPr>
              <w:t>编织袋挡墙、排水沟、</w:t>
            </w:r>
            <w:r>
              <w:rPr>
                <w:rFonts w:ascii="Times New Roman" w:hAnsi="Times New Roman"/>
                <w:sz w:val="24"/>
                <w:szCs w:val="24"/>
              </w:rPr>
              <w:t>表土覆盖、培肥改良工程措施；植被重建包括栽植落叶松、林间撒播草籽工程措施。</w:t>
            </w:r>
            <w:r>
              <w:rPr>
                <w:rFonts w:hint="eastAsia" w:ascii="Times New Roman" w:hAnsi="Times New Roman"/>
                <w:sz w:val="24"/>
                <w:szCs w:val="24"/>
              </w:rPr>
              <w:t>本矿山监测及管护措施主要有：矿山地质环境监测（地表位移及变形、地形地貌景观破坏）；土地资源监测（土地利用变化、土壤质量）；生态系统监测（复垦林地植被）；本次管护范围为复垦林地全部区域，总面积1.9679hm²，管护期限为3年。工程部署基本合理。</w:t>
            </w:r>
          </w:p>
          <w:p w14:paraId="4B78700B">
            <w:pPr>
              <w:pStyle w:val="10"/>
              <w:spacing w:line="380" w:lineRule="atLeast"/>
              <w:ind w:left="482" w:firstLine="0" w:firstLineChars="0"/>
              <w:rPr>
                <w:rFonts w:ascii="Times New Roman" w:hAnsi="Times New Roman"/>
                <w:sz w:val="24"/>
                <w:szCs w:val="24"/>
              </w:rPr>
            </w:pPr>
            <w:r>
              <w:rPr>
                <w:rFonts w:hint="eastAsia" w:ascii="Times New Roman" w:hAnsi="Times New Roman"/>
                <w:sz w:val="24"/>
                <w:szCs w:val="24"/>
              </w:rPr>
              <w:t>六、矿山生态修复工程经费估算与进度安排较合理。</w:t>
            </w:r>
          </w:p>
          <w:p w14:paraId="7BE805BD">
            <w:pPr>
              <w:pStyle w:val="10"/>
              <w:spacing w:line="380" w:lineRule="atLeast"/>
              <w:ind w:left="482" w:firstLine="0" w:firstLineChars="0"/>
              <w:rPr>
                <w:rFonts w:ascii="Times New Roman" w:hAnsi="Times New Roman"/>
                <w:sz w:val="24"/>
                <w:szCs w:val="24"/>
              </w:rPr>
            </w:pPr>
            <w:r>
              <w:rPr>
                <w:rFonts w:hint="eastAsia" w:ascii="Times New Roman" w:hAnsi="Times New Roman"/>
                <w:sz w:val="24"/>
                <w:szCs w:val="24"/>
              </w:rPr>
              <w:t>七、编制的图件齐全，图面清晰，内容准确。</w:t>
            </w:r>
          </w:p>
          <w:p w14:paraId="0EDE1BF2">
            <w:pPr>
              <w:spacing w:line="380" w:lineRule="atLeast"/>
              <w:ind w:firstLine="482"/>
              <w:rPr>
                <w:rFonts w:ascii="Times New Roman" w:hAnsi="Times New Roman"/>
                <w:sz w:val="24"/>
                <w:szCs w:val="24"/>
              </w:rPr>
            </w:pPr>
            <w:r>
              <w:rPr>
                <w:rFonts w:hint="eastAsia" w:ascii="Times New Roman" w:hAnsi="Times New Roman"/>
                <w:sz w:val="24"/>
                <w:szCs w:val="24"/>
              </w:rPr>
              <w:t>综上所述：该《方案》内容全面、详细，符合实际，具可操作性，基本达到了《自然资源部关于进一步加强生产矿山生态修复监管工作的通知（征求意见稿）》的要求。专家组同意原则通过本方案。</w:t>
            </w:r>
          </w:p>
          <w:p w14:paraId="034A8A49">
            <w:pPr>
              <w:spacing w:line="380" w:lineRule="atLeast"/>
              <w:ind w:firstLine="482"/>
              <w:rPr>
                <w:rFonts w:ascii="Times New Roman" w:hAnsi="Times New Roman"/>
                <w:sz w:val="24"/>
                <w:szCs w:val="24"/>
              </w:rPr>
            </w:pPr>
          </w:p>
          <w:p w14:paraId="1CB9786C">
            <w:pPr>
              <w:spacing w:line="380" w:lineRule="atLeast"/>
              <w:ind w:firstLine="482"/>
              <w:rPr>
                <w:rFonts w:ascii="Times New Roman" w:hAnsi="Times New Roman"/>
                <w:sz w:val="24"/>
                <w:szCs w:val="24"/>
              </w:rPr>
            </w:pPr>
          </w:p>
          <w:p w14:paraId="2B88EB61">
            <w:pPr>
              <w:spacing w:line="380" w:lineRule="atLeast"/>
              <w:ind w:firstLine="482"/>
              <w:rPr>
                <w:rFonts w:ascii="Times New Roman" w:hAnsi="Times New Roman"/>
                <w:sz w:val="24"/>
                <w:szCs w:val="24"/>
              </w:rPr>
            </w:pPr>
            <w:r>
              <w:rPr>
                <w:rFonts w:hint="eastAsia" w:ascii="Times New Roman" w:hAnsi="Times New Roman"/>
                <w:sz w:val="24"/>
                <w:szCs w:val="24"/>
              </w:rPr>
              <w:t xml:space="preserve">专家组组长签名：              </w:t>
            </w:r>
            <w:r>
              <w:rPr>
                <w:rFonts w:ascii="Times New Roman" w:hAnsi="Times New Roman"/>
                <w:sz w:val="24"/>
                <w:szCs w:val="24"/>
              </w:rPr>
              <w:t xml:space="preserve">  </w:t>
            </w:r>
            <w:r>
              <w:rPr>
                <w:rFonts w:hint="eastAsia" w:ascii="Times New Roman" w:hAnsi="Times New Roman"/>
                <w:sz w:val="24"/>
                <w:szCs w:val="24"/>
              </w:rPr>
              <w:t xml:space="preserve"> 日期：   年   月   日</w:t>
            </w:r>
          </w:p>
        </w:tc>
      </w:tr>
    </w:tbl>
    <w:p w14:paraId="03824A0D">
      <w:pPr>
        <w:rPr>
          <w:vanish/>
        </w:rPr>
      </w:pPr>
    </w:p>
    <w:tbl>
      <w:tblPr>
        <w:tblStyle w:val="5"/>
        <w:tblpPr w:leftFromText="180" w:rightFromText="180" w:vertAnchor="text" w:horzAnchor="page" w:tblpX="1762" w:tblpY="509"/>
        <w:tblOverlap w:val="never"/>
        <w:tblW w:w="9180" w:type="dxa"/>
        <w:tblInd w:w="0" w:type="dxa"/>
        <w:tblLayout w:type="fixed"/>
        <w:tblCellMar>
          <w:top w:w="0" w:type="dxa"/>
          <w:left w:w="108" w:type="dxa"/>
          <w:bottom w:w="0" w:type="dxa"/>
          <w:right w:w="108" w:type="dxa"/>
        </w:tblCellMar>
      </w:tblPr>
      <w:tblGrid>
        <w:gridCol w:w="700"/>
        <w:gridCol w:w="1275"/>
        <w:gridCol w:w="3668"/>
        <w:gridCol w:w="1500"/>
        <w:gridCol w:w="2037"/>
      </w:tblGrid>
      <w:tr w14:paraId="645F4ABF">
        <w:tblPrEx>
          <w:tblCellMar>
            <w:top w:w="0" w:type="dxa"/>
            <w:left w:w="108" w:type="dxa"/>
            <w:bottom w:w="0" w:type="dxa"/>
            <w:right w:w="108" w:type="dxa"/>
          </w:tblCellMar>
        </w:tblPrEx>
        <w:trPr>
          <w:trHeight w:val="760" w:hRule="atLeast"/>
        </w:trPr>
        <w:tc>
          <w:tcPr>
            <w:tcW w:w="700" w:type="dxa"/>
            <w:vMerge w:val="restart"/>
            <w:tcBorders>
              <w:top w:val="single" w:color="auto" w:sz="4" w:space="0"/>
              <w:left w:val="single" w:color="auto" w:sz="4" w:space="0"/>
              <w:right w:val="single" w:color="auto" w:sz="4" w:space="0"/>
            </w:tcBorders>
            <w:textDirection w:val="tbRlV"/>
            <w:vAlign w:val="center"/>
          </w:tcPr>
          <w:p w14:paraId="1F5A7558">
            <w:pPr>
              <w:widowControl/>
              <w:spacing w:line="600" w:lineRule="exact"/>
              <w:jc w:val="center"/>
              <w:rPr>
                <w:rFonts w:ascii="宋体" w:cs="宋体"/>
                <w:color w:val="080808"/>
                <w:kern w:val="0"/>
                <w:sz w:val="24"/>
                <w:szCs w:val="24"/>
              </w:rPr>
            </w:pPr>
            <w:r>
              <w:rPr>
                <w:rFonts w:hint="eastAsia" w:ascii="宋体" w:hAnsi="宋体" w:cs="宋体"/>
                <w:color w:val="080808"/>
                <w:spacing w:val="45"/>
                <w:kern w:val="0"/>
                <w:sz w:val="24"/>
                <w:szCs w:val="24"/>
              </w:rPr>
              <w:t>评审专家名单</w:t>
            </w:r>
          </w:p>
        </w:tc>
        <w:tc>
          <w:tcPr>
            <w:tcW w:w="1275" w:type="dxa"/>
            <w:tcBorders>
              <w:top w:val="single" w:color="auto" w:sz="4" w:space="0"/>
              <w:left w:val="nil"/>
              <w:bottom w:val="single" w:color="auto" w:sz="4" w:space="0"/>
              <w:right w:val="single" w:color="auto" w:sz="4" w:space="0"/>
            </w:tcBorders>
            <w:vAlign w:val="center"/>
          </w:tcPr>
          <w:p w14:paraId="6FBBCA09">
            <w:pPr>
              <w:widowControl/>
              <w:spacing w:line="600" w:lineRule="exact"/>
              <w:jc w:val="center"/>
              <w:rPr>
                <w:rFonts w:ascii="宋体" w:cs="宋体"/>
                <w:color w:val="080808"/>
                <w:kern w:val="0"/>
                <w:sz w:val="24"/>
                <w:szCs w:val="24"/>
              </w:rPr>
            </w:pPr>
            <w:r>
              <w:rPr>
                <w:rFonts w:hint="eastAsia" w:ascii="宋体" w:hAnsi="宋体" w:cs="宋体"/>
                <w:color w:val="080808"/>
                <w:kern w:val="0"/>
                <w:sz w:val="24"/>
                <w:szCs w:val="24"/>
              </w:rPr>
              <w:t>姓名</w:t>
            </w:r>
          </w:p>
        </w:tc>
        <w:tc>
          <w:tcPr>
            <w:tcW w:w="3668" w:type="dxa"/>
            <w:tcBorders>
              <w:top w:val="single" w:color="auto" w:sz="4" w:space="0"/>
              <w:left w:val="nil"/>
              <w:bottom w:val="single" w:color="auto" w:sz="4" w:space="0"/>
              <w:right w:val="single" w:color="auto" w:sz="4" w:space="0"/>
            </w:tcBorders>
            <w:vAlign w:val="center"/>
          </w:tcPr>
          <w:p w14:paraId="674DCCAC">
            <w:pPr>
              <w:widowControl/>
              <w:spacing w:line="600" w:lineRule="exact"/>
              <w:jc w:val="center"/>
              <w:rPr>
                <w:rFonts w:ascii="宋体" w:cs="宋体"/>
                <w:color w:val="080808"/>
                <w:kern w:val="0"/>
                <w:sz w:val="24"/>
                <w:szCs w:val="24"/>
              </w:rPr>
            </w:pPr>
            <w:r>
              <w:rPr>
                <w:rFonts w:hint="eastAsia" w:ascii="宋体" w:hAnsi="宋体" w:cs="宋体"/>
                <w:color w:val="080808"/>
                <w:kern w:val="0"/>
                <w:sz w:val="24"/>
                <w:szCs w:val="24"/>
              </w:rPr>
              <w:t>单位</w:t>
            </w:r>
          </w:p>
        </w:tc>
        <w:tc>
          <w:tcPr>
            <w:tcW w:w="1500" w:type="dxa"/>
            <w:tcBorders>
              <w:top w:val="single" w:color="auto" w:sz="4" w:space="0"/>
              <w:left w:val="nil"/>
              <w:bottom w:val="single" w:color="auto" w:sz="4" w:space="0"/>
              <w:right w:val="single" w:color="auto" w:sz="4" w:space="0"/>
            </w:tcBorders>
            <w:vAlign w:val="center"/>
          </w:tcPr>
          <w:p w14:paraId="6D2A4140">
            <w:pPr>
              <w:widowControl/>
              <w:spacing w:line="600" w:lineRule="exact"/>
              <w:jc w:val="center"/>
              <w:rPr>
                <w:rFonts w:ascii="宋体" w:cs="宋体"/>
                <w:color w:val="080808"/>
                <w:kern w:val="0"/>
                <w:sz w:val="24"/>
                <w:szCs w:val="24"/>
              </w:rPr>
            </w:pPr>
            <w:r>
              <w:rPr>
                <w:rFonts w:hint="eastAsia" w:ascii="宋体" w:hAnsi="宋体" w:cs="宋体"/>
                <w:color w:val="080808"/>
                <w:kern w:val="0"/>
                <w:sz w:val="24"/>
                <w:szCs w:val="24"/>
              </w:rPr>
              <w:t>职称</w:t>
            </w:r>
          </w:p>
        </w:tc>
        <w:tc>
          <w:tcPr>
            <w:tcW w:w="2037" w:type="dxa"/>
            <w:tcBorders>
              <w:top w:val="single" w:color="auto" w:sz="4" w:space="0"/>
              <w:left w:val="nil"/>
              <w:bottom w:val="single" w:color="auto" w:sz="4" w:space="0"/>
              <w:right w:val="single" w:color="auto" w:sz="4" w:space="0"/>
            </w:tcBorders>
            <w:vAlign w:val="center"/>
          </w:tcPr>
          <w:p w14:paraId="29496993">
            <w:pPr>
              <w:widowControl/>
              <w:spacing w:line="600" w:lineRule="exact"/>
              <w:jc w:val="center"/>
              <w:rPr>
                <w:rFonts w:ascii="宋体" w:cs="宋体"/>
                <w:color w:val="080808"/>
                <w:kern w:val="0"/>
                <w:sz w:val="24"/>
                <w:szCs w:val="24"/>
              </w:rPr>
            </w:pPr>
            <w:r>
              <w:rPr>
                <w:rFonts w:hint="eastAsia" w:ascii="宋体" w:hAnsi="宋体" w:cs="宋体"/>
                <w:color w:val="080808"/>
                <w:kern w:val="0"/>
                <w:sz w:val="24"/>
                <w:szCs w:val="24"/>
              </w:rPr>
              <w:t>签名</w:t>
            </w:r>
          </w:p>
        </w:tc>
      </w:tr>
      <w:tr w14:paraId="621FCAC8">
        <w:tblPrEx>
          <w:tblCellMar>
            <w:top w:w="0" w:type="dxa"/>
            <w:left w:w="108" w:type="dxa"/>
            <w:bottom w:w="0" w:type="dxa"/>
            <w:right w:w="108" w:type="dxa"/>
          </w:tblCellMar>
        </w:tblPrEx>
        <w:trPr>
          <w:trHeight w:val="930" w:hRule="atLeast"/>
        </w:trPr>
        <w:tc>
          <w:tcPr>
            <w:tcW w:w="700" w:type="dxa"/>
            <w:vMerge w:val="continue"/>
            <w:tcBorders>
              <w:left w:val="single" w:color="auto" w:sz="4" w:space="0"/>
              <w:right w:val="single" w:color="auto" w:sz="4" w:space="0"/>
            </w:tcBorders>
            <w:vAlign w:val="center"/>
          </w:tcPr>
          <w:p w14:paraId="6B2DD002">
            <w:pPr>
              <w:widowControl/>
              <w:spacing w:line="600" w:lineRule="exact"/>
              <w:jc w:val="center"/>
              <w:rPr>
                <w:rFonts w:ascii="宋体" w:cs="宋体"/>
                <w:color w:val="080808"/>
                <w:kern w:val="0"/>
                <w:sz w:val="24"/>
                <w:szCs w:val="24"/>
              </w:rPr>
            </w:pPr>
          </w:p>
        </w:tc>
        <w:tc>
          <w:tcPr>
            <w:tcW w:w="1275" w:type="dxa"/>
            <w:tcBorders>
              <w:top w:val="single" w:color="auto" w:sz="4" w:space="0"/>
              <w:left w:val="nil"/>
              <w:bottom w:val="single" w:color="auto" w:sz="4" w:space="0"/>
              <w:right w:val="single" w:color="auto" w:sz="4" w:space="0"/>
            </w:tcBorders>
            <w:vAlign w:val="center"/>
          </w:tcPr>
          <w:p w14:paraId="4A0EC2EF">
            <w:pPr>
              <w:widowControl/>
              <w:jc w:val="center"/>
              <w:rPr>
                <w:rFonts w:ascii="宋体" w:cs="宋体"/>
                <w:color w:val="080808"/>
                <w:kern w:val="0"/>
                <w:sz w:val="24"/>
                <w:szCs w:val="24"/>
              </w:rPr>
            </w:pPr>
            <w:r>
              <w:rPr>
                <w:rFonts w:hint="eastAsia" w:ascii="宋体" w:cs="宋体"/>
                <w:color w:val="080808"/>
                <w:kern w:val="0"/>
                <w:sz w:val="24"/>
                <w:szCs w:val="24"/>
              </w:rPr>
              <w:t>曲振平</w:t>
            </w:r>
          </w:p>
        </w:tc>
        <w:tc>
          <w:tcPr>
            <w:tcW w:w="3668" w:type="dxa"/>
            <w:tcBorders>
              <w:top w:val="single" w:color="auto" w:sz="4" w:space="0"/>
              <w:left w:val="nil"/>
              <w:bottom w:val="single" w:color="auto" w:sz="4" w:space="0"/>
              <w:right w:val="single" w:color="auto" w:sz="4" w:space="0"/>
            </w:tcBorders>
            <w:vAlign w:val="center"/>
          </w:tcPr>
          <w:p w14:paraId="50A90892">
            <w:pPr>
              <w:widowControl/>
              <w:jc w:val="center"/>
              <w:rPr>
                <w:rFonts w:ascii="宋体" w:cs="宋体"/>
                <w:color w:val="080808"/>
                <w:kern w:val="0"/>
                <w:sz w:val="24"/>
                <w:szCs w:val="24"/>
              </w:rPr>
            </w:pPr>
            <w:r>
              <w:rPr>
                <w:rFonts w:hint="eastAsia" w:ascii="宋体" w:cs="宋体"/>
                <w:color w:val="080808"/>
                <w:kern w:val="0"/>
                <w:sz w:val="24"/>
                <w:szCs w:val="24"/>
              </w:rPr>
              <w:t>黑龙江省齐齐哈尔地质勘查院</w:t>
            </w:r>
          </w:p>
        </w:tc>
        <w:tc>
          <w:tcPr>
            <w:tcW w:w="1500" w:type="dxa"/>
            <w:tcBorders>
              <w:top w:val="single" w:color="auto" w:sz="4" w:space="0"/>
              <w:left w:val="nil"/>
              <w:bottom w:val="single" w:color="auto" w:sz="4" w:space="0"/>
              <w:right w:val="single" w:color="auto" w:sz="4" w:space="0"/>
            </w:tcBorders>
            <w:vAlign w:val="center"/>
          </w:tcPr>
          <w:p w14:paraId="318ABA1C">
            <w:pPr>
              <w:widowControl/>
              <w:jc w:val="center"/>
              <w:rPr>
                <w:rFonts w:ascii="宋体" w:cs="宋体"/>
                <w:color w:val="080808"/>
                <w:kern w:val="0"/>
                <w:sz w:val="24"/>
                <w:szCs w:val="24"/>
              </w:rPr>
            </w:pPr>
            <w:r>
              <w:rPr>
                <w:rFonts w:hint="eastAsia" w:ascii="宋体" w:cs="宋体"/>
                <w:color w:val="080808"/>
                <w:kern w:val="0"/>
                <w:sz w:val="24"/>
                <w:szCs w:val="24"/>
              </w:rPr>
              <w:t>高级工程师</w:t>
            </w:r>
          </w:p>
        </w:tc>
        <w:tc>
          <w:tcPr>
            <w:tcW w:w="2037" w:type="dxa"/>
            <w:tcBorders>
              <w:top w:val="single" w:color="auto" w:sz="4" w:space="0"/>
              <w:left w:val="nil"/>
              <w:bottom w:val="single" w:color="auto" w:sz="4" w:space="0"/>
              <w:right w:val="single" w:color="auto" w:sz="4" w:space="0"/>
            </w:tcBorders>
            <w:vAlign w:val="center"/>
          </w:tcPr>
          <w:p w14:paraId="6AFEACCD">
            <w:pPr>
              <w:widowControl/>
              <w:spacing w:line="600" w:lineRule="exact"/>
              <w:rPr>
                <w:rFonts w:ascii="宋体" w:cs="宋体"/>
                <w:color w:val="080808"/>
                <w:kern w:val="0"/>
                <w:sz w:val="24"/>
                <w:szCs w:val="24"/>
              </w:rPr>
            </w:pPr>
          </w:p>
        </w:tc>
      </w:tr>
      <w:tr w14:paraId="290A6270">
        <w:tblPrEx>
          <w:tblCellMar>
            <w:top w:w="0" w:type="dxa"/>
            <w:left w:w="108" w:type="dxa"/>
            <w:bottom w:w="0" w:type="dxa"/>
            <w:right w:w="108" w:type="dxa"/>
          </w:tblCellMar>
        </w:tblPrEx>
        <w:trPr>
          <w:trHeight w:val="830" w:hRule="atLeast"/>
        </w:trPr>
        <w:tc>
          <w:tcPr>
            <w:tcW w:w="700" w:type="dxa"/>
            <w:vMerge w:val="continue"/>
            <w:tcBorders>
              <w:left w:val="single" w:color="auto" w:sz="4" w:space="0"/>
              <w:right w:val="single" w:color="auto" w:sz="4" w:space="0"/>
            </w:tcBorders>
            <w:vAlign w:val="center"/>
          </w:tcPr>
          <w:p w14:paraId="0DE2D75A">
            <w:pPr>
              <w:widowControl/>
              <w:spacing w:line="600" w:lineRule="exact"/>
              <w:jc w:val="center"/>
              <w:rPr>
                <w:rFonts w:ascii="宋体" w:cs="宋体"/>
                <w:color w:val="080808"/>
                <w:kern w:val="0"/>
                <w:sz w:val="24"/>
                <w:szCs w:val="24"/>
              </w:rPr>
            </w:pPr>
          </w:p>
        </w:tc>
        <w:tc>
          <w:tcPr>
            <w:tcW w:w="1275" w:type="dxa"/>
            <w:tcBorders>
              <w:top w:val="nil"/>
              <w:left w:val="nil"/>
              <w:bottom w:val="single" w:color="auto" w:sz="4" w:space="0"/>
              <w:right w:val="single" w:color="auto" w:sz="4" w:space="0"/>
            </w:tcBorders>
            <w:vAlign w:val="center"/>
          </w:tcPr>
          <w:p w14:paraId="0EA4C195">
            <w:pPr>
              <w:widowControl/>
              <w:spacing w:line="360" w:lineRule="exact"/>
              <w:jc w:val="center"/>
              <w:rPr>
                <w:rFonts w:ascii="宋体" w:cs="宋体"/>
                <w:color w:val="080808"/>
                <w:kern w:val="0"/>
                <w:sz w:val="24"/>
                <w:szCs w:val="24"/>
              </w:rPr>
            </w:pPr>
            <w:r>
              <w:rPr>
                <w:rFonts w:hint="eastAsia" w:ascii="宋体" w:cs="宋体"/>
                <w:color w:val="080808"/>
                <w:kern w:val="0"/>
                <w:sz w:val="24"/>
                <w:szCs w:val="24"/>
              </w:rPr>
              <w:t>周欣荣</w:t>
            </w:r>
          </w:p>
        </w:tc>
        <w:tc>
          <w:tcPr>
            <w:tcW w:w="3668" w:type="dxa"/>
            <w:tcBorders>
              <w:top w:val="nil"/>
              <w:left w:val="nil"/>
              <w:bottom w:val="single" w:color="auto" w:sz="4" w:space="0"/>
              <w:right w:val="single" w:color="auto" w:sz="4" w:space="0"/>
            </w:tcBorders>
            <w:vAlign w:val="center"/>
          </w:tcPr>
          <w:p w14:paraId="34183688">
            <w:pPr>
              <w:widowControl/>
              <w:spacing w:line="360" w:lineRule="exact"/>
              <w:jc w:val="left"/>
              <w:rPr>
                <w:rFonts w:ascii="宋体" w:cs="宋体"/>
                <w:color w:val="080808"/>
                <w:kern w:val="0"/>
                <w:sz w:val="24"/>
                <w:szCs w:val="24"/>
              </w:rPr>
            </w:pPr>
            <w:r>
              <w:rPr>
                <w:rFonts w:hint="eastAsia" w:ascii="宋体" w:cs="宋体"/>
                <w:color w:val="080808"/>
                <w:kern w:val="0"/>
                <w:sz w:val="24"/>
                <w:szCs w:val="24"/>
              </w:rPr>
              <w:t xml:space="preserve"> 黑龙江省齐齐哈尔地质勘查院</w:t>
            </w:r>
          </w:p>
        </w:tc>
        <w:tc>
          <w:tcPr>
            <w:tcW w:w="1500" w:type="dxa"/>
            <w:tcBorders>
              <w:top w:val="nil"/>
              <w:left w:val="nil"/>
              <w:bottom w:val="single" w:color="auto" w:sz="4" w:space="0"/>
              <w:right w:val="single" w:color="auto" w:sz="4" w:space="0"/>
            </w:tcBorders>
            <w:vAlign w:val="center"/>
          </w:tcPr>
          <w:p w14:paraId="175C71A5">
            <w:pPr>
              <w:widowControl/>
              <w:spacing w:line="360" w:lineRule="exact"/>
              <w:jc w:val="center"/>
              <w:rPr>
                <w:rFonts w:ascii="宋体" w:cs="宋体"/>
                <w:color w:val="080808"/>
                <w:kern w:val="0"/>
                <w:sz w:val="24"/>
                <w:szCs w:val="24"/>
              </w:rPr>
            </w:pPr>
            <w:r>
              <w:rPr>
                <w:rFonts w:hint="eastAsia" w:ascii="宋体" w:cs="宋体"/>
                <w:color w:val="080808"/>
                <w:kern w:val="0"/>
                <w:sz w:val="24"/>
                <w:szCs w:val="24"/>
              </w:rPr>
              <w:t>高级工程师</w:t>
            </w:r>
          </w:p>
        </w:tc>
        <w:tc>
          <w:tcPr>
            <w:tcW w:w="2037" w:type="dxa"/>
            <w:tcBorders>
              <w:top w:val="nil"/>
              <w:left w:val="nil"/>
              <w:bottom w:val="single" w:color="auto" w:sz="4" w:space="0"/>
              <w:right w:val="single" w:color="auto" w:sz="4" w:space="0"/>
            </w:tcBorders>
            <w:vAlign w:val="center"/>
          </w:tcPr>
          <w:p w14:paraId="6F2BB625">
            <w:pPr>
              <w:widowControl/>
              <w:spacing w:line="600" w:lineRule="exact"/>
              <w:jc w:val="center"/>
              <w:rPr>
                <w:rFonts w:ascii="宋体" w:cs="宋体"/>
                <w:color w:val="080808"/>
                <w:kern w:val="0"/>
                <w:sz w:val="24"/>
                <w:szCs w:val="24"/>
              </w:rPr>
            </w:pPr>
          </w:p>
        </w:tc>
      </w:tr>
      <w:tr w14:paraId="0D931738">
        <w:tblPrEx>
          <w:tblCellMar>
            <w:top w:w="0" w:type="dxa"/>
            <w:left w:w="108" w:type="dxa"/>
            <w:bottom w:w="0" w:type="dxa"/>
            <w:right w:w="108" w:type="dxa"/>
          </w:tblCellMar>
        </w:tblPrEx>
        <w:trPr>
          <w:trHeight w:val="750" w:hRule="atLeast"/>
        </w:trPr>
        <w:tc>
          <w:tcPr>
            <w:tcW w:w="700" w:type="dxa"/>
            <w:vMerge w:val="continue"/>
            <w:tcBorders>
              <w:left w:val="single" w:color="auto" w:sz="4" w:space="0"/>
              <w:right w:val="single" w:color="auto" w:sz="4" w:space="0"/>
            </w:tcBorders>
            <w:vAlign w:val="center"/>
          </w:tcPr>
          <w:p w14:paraId="3C26E97C">
            <w:pPr>
              <w:widowControl/>
              <w:spacing w:line="600" w:lineRule="exact"/>
              <w:jc w:val="center"/>
              <w:rPr>
                <w:rFonts w:ascii="宋体" w:cs="宋体"/>
                <w:color w:val="080808"/>
                <w:kern w:val="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0A232958">
            <w:pPr>
              <w:widowControl/>
              <w:spacing w:line="600" w:lineRule="exact"/>
              <w:jc w:val="center"/>
              <w:rPr>
                <w:rFonts w:ascii="宋体" w:cs="宋体"/>
                <w:color w:val="080808"/>
                <w:kern w:val="0"/>
                <w:sz w:val="24"/>
                <w:szCs w:val="24"/>
              </w:rPr>
            </w:pPr>
            <w:r>
              <w:rPr>
                <w:rFonts w:hint="eastAsia" w:ascii="宋体" w:cs="宋体"/>
                <w:color w:val="080808"/>
                <w:kern w:val="0"/>
                <w:sz w:val="24"/>
                <w:szCs w:val="24"/>
              </w:rPr>
              <w:t>李小鹏</w:t>
            </w:r>
          </w:p>
        </w:tc>
        <w:tc>
          <w:tcPr>
            <w:tcW w:w="3668" w:type="dxa"/>
            <w:tcBorders>
              <w:top w:val="single" w:color="auto" w:sz="4" w:space="0"/>
              <w:left w:val="single" w:color="auto" w:sz="4" w:space="0"/>
              <w:bottom w:val="single" w:color="auto" w:sz="4" w:space="0"/>
              <w:right w:val="single" w:color="auto" w:sz="4" w:space="0"/>
            </w:tcBorders>
            <w:vAlign w:val="center"/>
          </w:tcPr>
          <w:p w14:paraId="37E17B96">
            <w:pPr>
              <w:widowControl/>
              <w:spacing w:line="600" w:lineRule="exact"/>
              <w:jc w:val="center"/>
              <w:rPr>
                <w:rFonts w:ascii="宋体" w:cs="宋体"/>
                <w:color w:val="080808"/>
                <w:kern w:val="0"/>
                <w:sz w:val="24"/>
                <w:szCs w:val="24"/>
              </w:rPr>
            </w:pPr>
            <w:r>
              <w:rPr>
                <w:rFonts w:hint="eastAsia" w:ascii="宋体" w:cs="宋体"/>
                <w:color w:val="080808"/>
                <w:kern w:val="0"/>
                <w:sz w:val="24"/>
                <w:szCs w:val="24"/>
              </w:rPr>
              <w:t>黑龙江省齐齐哈尔地质勘查院</w:t>
            </w:r>
          </w:p>
        </w:tc>
        <w:tc>
          <w:tcPr>
            <w:tcW w:w="1500" w:type="dxa"/>
            <w:tcBorders>
              <w:top w:val="single" w:color="auto" w:sz="4" w:space="0"/>
              <w:left w:val="single" w:color="auto" w:sz="4" w:space="0"/>
              <w:bottom w:val="single" w:color="auto" w:sz="4" w:space="0"/>
              <w:right w:val="single" w:color="auto" w:sz="4" w:space="0"/>
            </w:tcBorders>
            <w:vAlign w:val="center"/>
          </w:tcPr>
          <w:p w14:paraId="0BB44AE5">
            <w:pPr>
              <w:widowControl/>
              <w:spacing w:line="360" w:lineRule="exact"/>
              <w:jc w:val="center"/>
              <w:rPr>
                <w:rFonts w:ascii="宋体" w:cs="宋体"/>
                <w:color w:val="080808"/>
                <w:kern w:val="0"/>
                <w:sz w:val="24"/>
                <w:szCs w:val="24"/>
              </w:rPr>
            </w:pPr>
            <w:r>
              <w:rPr>
                <w:rFonts w:hint="eastAsia" w:ascii="宋体" w:cs="宋体"/>
                <w:color w:val="080808"/>
                <w:kern w:val="0"/>
                <w:sz w:val="24"/>
                <w:szCs w:val="24"/>
              </w:rPr>
              <w:t>高级工程师</w:t>
            </w:r>
          </w:p>
        </w:tc>
        <w:tc>
          <w:tcPr>
            <w:tcW w:w="2037" w:type="dxa"/>
            <w:tcBorders>
              <w:top w:val="single" w:color="auto" w:sz="4" w:space="0"/>
              <w:left w:val="nil"/>
              <w:bottom w:val="single" w:color="auto" w:sz="4" w:space="0"/>
              <w:right w:val="single" w:color="auto" w:sz="4" w:space="0"/>
            </w:tcBorders>
            <w:vAlign w:val="center"/>
          </w:tcPr>
          <w:p w14:paraId="4D9EC17F">
            <w:pPr>
              <w:widowControl/>
              <w:spacing w:line="600" w:lineRule="exact"/>
              <w:jc w:val="center"/>
              <w:rPr>
                <w:rFonts w:ascii="宋体" w:cs="宋体"/>
                <w:color w:val="080808"/>
                <w:kern w:val="0"/>
                <w:sz w:val="24"/>
                <w:szCs w:val="24"/>
              </w:rPr>
            </w:pPr>
            <w:bookmarkStart w:id="0" w:name="_GoBack"/>
            <w:bookmarkEnd w:id="0"/>
          </w:p>
        </w:tc>
      </w:tr>
      <w:tr w14:paraId="54CFA67C">
        <w:tblPrEx>
          <w:tblCellMar>
            <w:top w:w="0" w:type="dxa"/>
            <w:left w:w="108" w:type="dxa"/>
            <w:bottom w:w="0" w:type="dxa"/>
            <w:right w:w="108" w:type="dxa"/>
          </w:tblCellMar>
        </w:tblPrEx>
        <w:trPr>
          <w:trHeight w:val="750" w:hRule="atLeast"/>
        </w:trPr>
        <w:tc>
          <w:tcPr>
            <w:tcW w:w="700" w:type="dxa"/>
            <w:vMerge w:val="continue"/>
            <w:tcBorders>
              <w:left w:val="single" w:color="auto" w:sz="4" w:space="0"/>
              <w:right w:val="single" w:color="auto" w:sz="4" w:space="0"/>
            </w:tcBorders>
            <w:vAlign w:val="center"/>
          </w:tcPr>
          <w:p w14:paraId="4032D797">
            <w:pPr>
              <w:widowControl/>
              <w:spacing w:line="600" w:lineRule="exact"/>
              <w:jc w:val="center"/>
              <w:rPr>
                <w:rFonts w:ascii="宋体" w:cs="宋体"/>
                <w:color w:val="080808"/>
                <w:kern w:val="0"/>
                <w:sz w:val="24"/>
                <w:szCs w:val="24"/>
              </w:rPr>
            </w:pPr>
          </w:p>
        </w:tc>
        <w:tc>
          <w:tcPr>
            <w:tcW w:w="1275" w:type="dxa"/>
            <w:tcBorders>
              <w:top w:val="single" w:color="auto" w:sz="4" w:space="0"/>
              <w:left w:val="single" w:color="auto" w:sz="4" w:space="0"/>
              <w:bottom w:val="single" w:color="auto" w:sz="4" w:space="0"/>
              <w:right w:val="single" w:color="auto" w:sz="4" w:space="0"/>
            </w:tcBorders>
            <w:vAlign w:val="center"/>
          </w:tcPr>
          <w:p w14:paraId="46D4DCAB">
            <w:pPr>
              <w:widowControl/>
              <w:spacing w:line="600" w:lineRule="exact"/>
              <w:jc w:val="center"/>
              <w:rPr>
                <w:rFonts w:ascii="宋体" w:cs="宋体"/>
                <w:color w:val="080808"/>
                <w:kern w:val="0"/>
                <w:sz w:val="24"/>
                <w:szCs w:val="24"/>
              </w:rPr>
            </w:pPr>
          </w:p>
        </w:tc>
        <w:tc>
          <w:tcPr>
            <w:tcW w:w="3668" w:type="dxa"/>
            <w:tcBorders>
              <w:top w:val="single" w:color="auto" w:sz="4" w:space="0"/>
              <w:left w:val="single" w:color="auto" w:sz="4" w:space="0"/>
              <w:bottom w:val="single" w:color="auto" w:sz="4" w:space="0"/>
              <w:right w:val="single" w:color="auto" w:sz="4" w:space="0"/>
            </w:tcBorders>
            <w:vAlign w:val="center"/>
          </w:tcPr>
          <w:p w14:paraId="3295F4EE">
            <w:pPr>
              <w:widowControl/>
              <w:spacing w:line="600" w:lineRule="exact"/>
              <w:jc w:val="center"/>
              <w:rPr>
                <w:rFonts w:ascii="宋体" w:cs="宋体"/>
                <w:color w:val="080808"/>
                <w:kern w:val="0"/>
                <w:sz w:val="24"/>
                <w:szCs w:val="24"/>
              </w:rPr>
            </w:pPr>
          </w:p>
        </w:tc>
        <w:tc>
          <w:tcPr>
            <w:tcW w:w="1500" w:type="dxa"/>
            <w:tcBorders>
              <w:top w:val="single" w:color="auto" w:sz="4" w:space="0"/>
              <w:left w:val="single" w:color="auto" w:sz="4" w:space="0"/>
              <w:bottom w:val="single" w:color="auto" w:sz="4" w:space="0"/>
              <w:right w:val="single" w:color="auto" w:sz="4" w:space="0"/>
            </w:tcBorders>
            <w:vAlign w:val="center"/>
          </w:tcPr>
          <w:p w14:paraId="277AA2D6">
            <w:pPr>
              <w:widowControl/>
              <w:spacing w:line="360" w:lineRule="exact"/>
              <w:jc w:val="center"/>
              <w:rPr>
                <w:rFonts w:ascii="宋体" w:cs="宋体"/>
                <w:color w:val="080808"/>
                <w:kern w:val="0"/>
                <w:sz w:val="24"/>
                <w:szCs w:val="24"/>
              </w:rPr>
            </w:pPr>
          </w:p>
        </w:tc>
        <w:tc>
          <w:tcPr>
            <w:tcW w:w="2037" w:type="dxa"/>
            <w:tcBorders>
              <w:top w:val="single" w:color="auto" w:sz="4" w:space="0"/>
              <w:left w:val="nil"/>
              <w:bottom w:val="single" w:color="auto" w:sz="4" w:space="0"/>
              <w:right w:val="single" w:color="auto" w:sz="4" w:space="0"/>
            </w:tcBorders>
            <w:vAlign w:val="center"/>
          </w:tcPr>
          <w:p w14:paraId="0316F83F">
            <w:pPr>
              <w:widowControl/>
              <w:spacing w:line="600" w:lineRule="exact"/>
              <w:jc w:val="center"/>
            </w:pPr>
          </w:p>
        </w:tc>
      </w:tr>
      <w:tr w14:paraId="75520528">
        <w:tblPrEx>
          <w:tblCellMar>
            <w:top w:w="0" w:type="dxa"/>
            <w:left w:w="108" w:type="dxa"/>
            <w:bottom w:w="0" w:type="dxa"/>
            <w:right w:w="108" w:type="dxa"/>
          </w:tblCellMar>
        </w:tblPrEx>
        <w:trPr>
          <w:trHeight w:val="4944" w:hRule="atLeast"/>
        </w:trPr>
        <w:tc>
          <w:tcPr>
            <w:tcW w:w="700" w:type="dxa"/>
            <w:tcBorders>
              <w:top w:val="single" w:color="auto" w:sz="4" w:space="0"/>
              <w:left w:val="single" w:color="auto" w:sz="4" w:space="0"/>
              <w:bottom w:val="single" w:color="auto" w:sz="4" w:space="0"/>
              <w:right w:val="single" w:color="auto" w:sz="4" w:space="0"/>
            </w:tcBorders>
            <w:textDirection w:val="tbRlV"/>
            <w:vAlign w:val="center"/>
          </w:tcPr>
          <w:p w14:paraId="68B961AF">
            <w:pPr>
              <w:widowControl/>
              <w:spacing w:line="680" w:lineRule="exact"/>
              <w:jc w:val="center"/>
              <w:rPr>
                <w:rFonts w:ascii="宋体" w:cs="宋体"/>
                <w:color w:val="080808"/>
                <w:kern w:val="0"/>
                <w:sz w:val="24"/>
                <w:szCs w:val="24"/>
              </w:rPr>
            </w:pPr>
            <w:r>
              <w:rPr>
                <w:rFonts w:hint="eastAsia" w:ascii="宋体" w:hAnsi="宋体" w:cs="宋体"/>
                <w:color w:val="080808"/>
                <w:spacing w:val="34"/>
                <w:kern w:val="28"/>
                <w:sz w:val="24"/>
                <w:szCs w:val="24"/>
              </w:rPr>
              <w:t>自然资源主管部门审核意见</w:t>
            </w:r>
          </w:p>
        </w:tc>
        <w:tc>
          <w:tcPr>
            <w:tcW w:w="8480" w:type="dxa"/>
            <w:gridSpan w:val="4"/>
            <w:tcBorders>
              <w:top w:val="single" w:color="auto" w:sz="4" w:space="0"/>
              <w:left w:val="nil"/>
              <w:bottom w:val="single" w:color="000000" w:sz="4" w:space="0"/>
              <w:right w:val="single" w:color="000000" w:sz="4" w:space="0"/>
            </w:tcBorders>
            <w:vAlign w:val="center"/>
          </w:tcPr>
          <w:p w14:paraId="502F7BD3">
            <w:pPr>
              <w:widowControl/>
              <w:spacing w:line="400" w:lineRule="exact"/>
              <w:ind w:firstLine="480" w:firstLineChars="200"/>
              <w:rPr>
                <w:rFonts w:ascii="宋体" w:cs="宋体"/>
                <w:color w:val="080808"/>
                <w:kern w:val="0"/>
                <w:sz w:val="24"/>
                <w:szCs w:val="24"/>
              </w:rPr>
            </w:pPr>
          </w:p>
          <w:p w14:paraId="102FDD44">
            <w:pPr>
              <w:widowControl/>
              <w:spacing w:line="400" w:lineRule="exact"/>
              <w:ind w:firstLine="480" w:firstLineChars="200"/>
              <w:rPr>
                <w:rFonts w:ascii="宋体" w:cs="宋体"/>
                <w:color w:val="080808"/>
                <w:kern w:val="0"/>
                <w:sz w:val="24"/>
                <w:szCs w:val="24"/>
              </w:rPr>
            </w:pPr>
          </w:p>
          <w:p w14:paraId="707BADA0">
            <w:pPr>
              <w:widowControl/>
              <w:spacing w:line="400" w:lineRule="exact"/>
              <w:ind w:firstLine="480" w:firstLineChars="200"/>
              <w:rPr>
                <w:rFonts w:ascii="宋体" w:cs="宋体"/>
                <w:color w:val="080808"/>
                <w:kern w:val="0"/>
                <w:sz w:val="24"/>
                <w:szCs w:val="24"/>
              </w:rPr>
            </w:pPr>
          </w:p>
          <w:p w14:paraId="6CD8AE16">
            <w:pPr>
              <w:widowControl/>
              <w:spacing w:line="400" w:lineRule="exact"/>
              <w:ind w:firstLine="480" w:firstLineChars="200"/>
              <w:rPr>
                <w:rFonts w:ascii="宋体" w:cs="宋体"/>
                <w:color w:val="080808"/>
                <w:kern w:val="0"/>
                <w:sz w:val="24"/>
                <w:szCs w:val="24"/>
              </w:rPr>
            </w:pPr>
          </w:p>
          <w:p w14:paraId="797DF304">
            <w:pPr>
              <w:widowControl/>
              <w:spacing w:line="400" w:lineRule="exact"/>
              <w:rPr>
                <w:rFonts w:ascii="宋体" w:cs="宋体"/>
                <w:color w:val="080808"/>
                <w:kern w:val="0"/>
                <w:sz w:val="24"/>
                <w:szCs w:val="24"/>
              </w:rPr>
            </w:pPr>
          </w:p>
          <w:p w14:paraId="217215BA">
            <w:pPr>
              <w:widowControl/>
              <w:spacing w:line="400" w:lineRule="exact"/>
              <w:rPr>
                <w:rFonts w:ascii="宋体" w:cs="宋体"/>
                <w:color w:val="080808"/>
                <w:kern w:val="0"/>
                <w:sz w:val="24"/>
                <w:szCs w:val="24"/>
              </w:rPr>
            </w:pPr>
          </w:p>
          <w:p w14:paraId="777FC567">
            <w:pPr>
              <w:widowControl/>
              <w:spacing w:line="600" w:lineRule="exact"/>
              <w:ind w:firstLine="4320" w:firstLineChars="1800"/>
              <w:rPr>
                <w:rFonts w:ascii="宋体" w:cs="宋体"/>
                <w:color w:val="080808"/>
                <w:kern w:val="0"/>
                <w:sz w:val="24"/>
                <w:szCs w:val="24"/>
              </w:rPr>
            </w:pPr>
            <w:r>
              <w:rPr>
                <w:rFonts w:hint="eastAsia" w:ascii="宋体" w:hAnsi="宋体" w:cs="宋体"/>
                <w:color w:val="080808"/>
                <w:kern w:val="0"/>
                <w:sz w:val="24"/>
                <w:szCs w:val="24"/>
              </w:rPr>
              <w:t>自然资源行政主管部门</w:t>
            </w:r>
          </w:p>
          <w:p w14:paraId="2F468B7A">
            <w:pPr>
              <w:widowControl/>
              <w:spacing w:line="600" w:lineRule="exact"/>
              <w:ind w:firstLine="480" w:firstLineChars="200"/>
              <w:rPr>
                <w:rFonts w:ascii="宋体" w:cs="宋体"/>
                <w:color w:val="080808"/>
                <w:kern w:val="0"/>
                <w:sz w:val="24"/>
                <w:szCs w:val="24"/>
              </w:rPr>
            </w:pPr>
            <w:r>
              <w:rPr>
                <w:rFonts w:ascii="宋体" w:hAnsi="宋体" w:cs="宋体"/>
                <w:color w:val="080808"/>
                <w:kern w:val="0"/>
                <w:sz w:val="24"/>
                <w:szCs w:val="24"/>
              </w:rPr>
              <w:t xml:space="preserve">                                      </w:t>
            </w:r>
            <w:r>
              <w:rPr>
                <w:rFonts w:hint="eastAsia" w:ascii="宋体" w:hAnsi="宋体" w:cs="宋体"/>
                <w:color w:val="080808"/>
                <w:kern w:val="0"/>
                <w:sz w:val="24"/>
                <w:szCs w:val="24"/>
              </w:rPr>
              <w:t>年</w:t>
            </w:r>
            <w:r>
              <w:rPr>
                <w:rFonts w:ascii="宋体" w:hAnsi="宋体" w:cs="宋体"/>
                <w:color w:val="080808"/>
                <w:kern w:val="0"/>
                <w:sz w:val="24"/>
                <w:szCs w:val="24"/>
              </w:rPr>
              <w:t xml:space="preserve">   </w:t>
            </w:r>
            <w:r>
              <w:rPr>
                <w:rFonts w:hint="eastAsia" w:ascii="宋体" w:hAnsi="宋体" w:cs="宋体"/>
                <w:color w:val="080808"/>
                <w:kern w:val="0"/>
                <w:sz w:val="24"/>
                <w:szCs w:val="24"/>
              </w:rPr>
              <w:t>月</w:t>
            </w:r>
            <w:r>
              <w:rPr>
                <w:rFonts w:ascii="宋体" w:hAnsi="宋体" w:cs="宋体"/>
                <w:color w:val="080808"/>
                <w:kern w:val="0"/>
                <w:sz w:val="24"/>
                <w:szCs w:val="24"/>
              </w:rPr>
              <w:t xml:space="preserve">   </w:t>
            </w:r>
            <w:r>
              <w:rPr>
                <w:rFonts w:hint="eastAsia" w:ascii="宋体" w:hAnsi="宋体" w:cs="宋体"/>
                <w:color w:val="080808"/>
                <w:kern w:val="0"/>
                <w:sz w:val="24"/>
                <w:szCs w:val="24"/>
              </w:rPr>
              <w:t>日</w:t>
            </w:r>
          </w:p>
        </w:tc>
      </w:tr>
      <w:tr w14:paraId="2747DB81">
        <w:tblPrEx>
          <w:tblCellMar>
            <w:top w:w="0" w:type="dxa"/>
            <w:left w:w="108" w:type="dxa"/>
            <w:bottom w:w="0" w:type="dxa"/>
            <w:right w:w="108" w:type="dxa"/>
          </w:tblCellMar>
        </w:tblPrEx>
        <w:trPr>
          <w:trHeight w:val="1785" w:hRule="atLeast"/>
        </w:trPr>
        <w:tc>
          <w:tcPr>
            <w:tcW w:w="700" w:type="dxa"/>
            <w:tcBorders>
              <w:top w:val="single" w:color="auto" w:sz="4" w:space="0"/>
              <w:left w:val="single" w:color="auto" w:sz="4" w:space="0"/>
              <w:bottom w:val="single" w:color="auto" w:sz="4" w:space="0"/>
              <w:right w:val="single" w:color="auto" w:sz="4" w:space="0"/>
            </w:tcBorders>
            <w:vAlign w:val="center"/>
          </w:tcPr>
          <w:p w14:paraId="2138AF93">
            <w:pPr>
              <w:widowControl/>
              <w:spacing w:line="600" w:lineRule="exact"/>
              <w:ind w:left="240" w:hanging="240" w:hangingChars="100"/>
              <w:jc w:val="center"/>
              <w:rPr>
                <w:rFonts w:ascii="宋体" w:cs="宋体"/>
                <w:color w:val="080808"/>
                <w:kern w:val="0"/>
                <w:sz w:val="24"/>
                <w:szCs w:val="24"/>
              </w:rPr>
            </w:pPr>
            <w:r>
              <w:rPr>
                <w:rFonts w:hint="eastAsia" w:ascii="宋体" w:hAnsi="宋体" w:cs="宋体"/>
                <w:color w:val="080808"/>
                <w:kern w:val="0"/>
                <w:sz w:val="24"/>
                <w:szCs w:val="24"/>
              </w:rPr>
              <w:t>备</w:t>
            </w:r>
          </w:p>
          <w:p w14:paraId="12FA10A8">
            <w:pPr>
              <w:widowControl/>
              <w:spacing w:line="600" w:lineRule="exact"/>
              <w:ind w:left="240" w:hanging="240" w:hangingChars="100"/>
              <w:jc w:val="center"/>
              <w:rPr>
                <w:rFonts w:ascii="宋体" w:cs="宋体"/>
                <w:color w:val="080808"/>
                <w:kern w:val="0"/>
                <w:sz w:val="24"/>
                <w:szCs w:val="24"/>
              </w:rPr>
            </w:pPr>
            <w:r>
              <w:rPr>
                <w:rFonts w:hint="eastAsia" w:ascii="宋体" w:hAnsi="宋体" w:cs="宋体"/>
                <w:color w:val="080808"/>
                <w:kern w:val="0"/>
                <w:sz w:val="24"/>
                <w:szCs w:val="24"/>
              </w:rPr>
              <w:t>注</w:t>
            </w:r>
          </w:p>
        </w:tc>
        <w:tc>
          <w:tcPr>
            <w:tcW w:w="8480" w:type="dxa"/>
            <w:gridSpan w:val="4"/>
            <w:tcBorders>
              <w:top w:val="nil"/>
              <w:left w:val="nil"/>
              <w:bottom w:val="single" w:color="auto" w:sz="4" w:space="0"/>
              <w:right w:val="single" w:color="auto" w:sz="4" w:space="0"/>
            </w:tcBorders>
            <w:vAlign w:val="center"/>
          </w:tcPr>
          <w:p w14:paraId="00F07570">
            <w:pPr>
              <w:widowControl/>
              <w:spacing w:line="600" w:lineRule="exact"/>
              <w:rPr>
                <w:rFonts w:ascii="宋体" w:cs="宋体"/>
                <w:color w:val="080808"/>
                <w:kern w:val="0"/>
                <w:sz w:val="24"/>
                <w:szCs w:val="24"/>
              </w:rPr>
            </w:pPr>
          </w:p>
        </w:tc>
      </w:tr>
    </w:tbl>
    <w:p w14:paraId="38E5A04B">
      <w:pPr>
        <w:rPr>
          <w:sz w:val="28"/>
          <w:szCs w:val="28"/>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E701D">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bordersDoNotSurroundHeader w:val="1"/>
  <w:bordersDoNotSurroundFooter w:val="1"/>
  <w:doNotTrackMoves/>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jQ3Y2U4NmFiNmE5NTU1M2RhOTAxZWIyZmY0OTY3YzAifQ=="/>
  </w:docVars>
  <w:rsids>
    <w:rsidRoot w:val="00C040FB"/>
    <w:rsid w:val="000000C4"/>
    <w:rsid w:val="000037DC"/>
    <w:rsid w:val="00004F5F"/>
    <w:rsid w:val="00006195"/>
    <w:rsid w:val="00010BF8"/>
    <w:rsid w:val="000125B0"/>
    <w:rsid w:val="000169F2"/>
    <w:rsid w:val="000178E4"/>
    <w:rsid w:val="00020A1C"/>
    <w:rsid w:val="00021C14"/>
    <w:rsid w:val="00022280"/>
    <w:rsid w:val="0002325A"/>
    <w:rsid w:val="00023835"/>
    <w:rsid w:val="0002611E"/>
    <w:rsid w:val="00027611"/>
    <w:rsid w:val="00034532"/>
    <w:rsid w:val="00040663"/>
    <w:rsid w:val="00041334"/>
    <w:rsid w:val="00043FAB"/>
    <w:rsid w:val="00044B90"/>
    <w:rsid w:val="0004677A"/>
    <w:rsid w:val="00050247"/>
    <w:rsid w:val="00051AD3"/>
    <w:rsid w:val="00067982"/>
    <w:rsid w:val="0007025D"/>
    <w:rsid w:val="00074B2E"/>
    <w:rsid w:val="00074C34"/>
    <w:rsid w:val="000756AA"/>
    <w:rsid w:val="000767FA"/>
    <w:rsid w:val="000817D4"/>
    <w:rsid w:val="00083410"/>
    <w:rsid w:val="00085492"/>
    <w:rsid w:val="00086BA9"/>
    <w:rsid w:val="00090997"/>
    <w:rsid w:val="00092A3A"/>
    <w:rsid w:val="00092C67"/>
    <w:rsid w:val="000945A3"/>
    <w:rsid w:val="000A0FB0"/>
    <w:rsid w:val="000A227D"/>
    <w:rsid w:val="000A35CF"/>
    <w:rsid w:val="000A6270"/>
    <w:rsid w:val="000A6E1D"/>
    <w:rsid w:val="000B5271"/>
    <w:rsid w:val="000B5592"/>
    <w:rsid w:val="000B79C7"/>
    <w:rsid w:val="000C0999"/>
    <w:rsid w:val="000C14D5"/>
    <w:rsid w:val="000C3C68"/>
    <w:rsid w:val="000C7C63"/>
    <w:rsid w:val="000C7F4D"/>
    <w:rsid w:val="000D018C"/>
    <w:rsid w:val="000D0AA3"/>
    <w:rsid w:val="000D4A9C"/>
    <w:rsid w:val="000E1E27"/>
    <w:rsid w:val="000E7602"/>
    <w:rsid w:val="000F4FC1"/>
    <w:rsid w:val="001006B7"/>
    <w:rsid w:val="00101504"/>
    <w:rsid w:val="00104E7A"/>
    <w:rsid w:val="00114EE7"/>
    <w:rsid w:val="0011508B"/>
    <w:rsid w:val="00124670"/>
    <w:rsid w:val="00124DF7"/>
    <w:rsid w:val="001253FA"/>
    <w:rsid w:val="001272FA"/>
    <w:rsid w:val="001323FF"/>
    <w:rsid w:val="00134F37"/>
    <w:rsid w:val="001355E2"/>
    <w:rsid w:val="0013573F"/>
    <w:rsid w:val="00136803"/>
    <w:rsid w:val="00147A1F"/>
    <w:rsid w:val="00151BA6"/>
    <w:rsid w:val="00151CB4"/>
    <w:rsid w:val="00153A17"/>
    <w:rsid w:val="00165331"/>
    <w:rsid w:val="0016647C"/>
    <w:rsid w:val="0016721D"/>
    <w:rsid w:val="001678F9"/>
    <w:rsid w:val="00172DE2"/>
    <w:rsid w:val="001817A1"/>
    <w:rsid w:val="001817C7"/>
    <w:rsid w:val="00184505"/>
    <w:rsid w:val="00190F47"/>
    <w:rsid w:val="00192B90"/>
    <w:rsid w:val="0019553A"/>
    <w:rsid w:val="00195BBD"/>
    <w:rsid w:val="001970EB"/>
    <w:rsid w:val="001A176E"/>
    <w:rsid w:val="001A1CC9"/>
    <w:rsid w:val="001A3232"/>
    <w:rsid w:val="001A335A"/>
    <w:rsid w:val="001A4687"/>
    <w:rsid w:val="001A7E95"/>
    <w:rsid w:val="001B0EBA"/>
    <w:rsid w:val="001C098D"/>
    <w:rsid w:val="001C0DAF"/>
    <w:rsid w:val="001D4A40"/>
    <w:rsid w:val="001D5ED5"/>
    <w:rsid w:val="001D6178"/>
    <w:rsid w:val="001E08FE"/>
    <w:rsid w:val="001F096F"/>
    <w:rsid w:val="001F41A3"/>
    <w:rsid w:val="001F4D93"/>
    <w:rsid w:val="001F4F6A"/>
    <w:rsid w:val="00201498"/>
    <w:rsid w:val="002038EA"/>
    <w:rsid w:val="00211743"/>
    <w:rsid w:val="00220941"/>
    <w:rsid w:val="0022262A"/>
    <w:rsid w:val="00222C90"/>
    <w:rsid w:val="0023347F"/>
    <w:rsid w:val="00235431"/>
    <w:rsid w:val="002367CD"/>
    <w:rsid w:val="00240449"/>
    <w:rsid w:val="00240459"/>
    <w:rsid w:val="002424A8"/>
    <w:rsid w:val="00242ACB"/>
    <w:rsid w:val="002440C5"/>
    <w:rsid w:val="00244330"/>
    <w:rsid w:val="00244897"/>
    <w:rsid w:val="00245611"/>
    <w:rsid w:val="00246F41"/>
    <w:rsid w:val="00247576"/>
    <w:rsid w:val="00250C3A"/>
    <w:rsid w:val="00255341"/>
    <w:rsid w:val="00256717"/>
    <w:rsid w:val="002606C8"/>
    <w:rsid w:val="00263C6B"/>
    <w:rsid w:val="00266A02"/>
    <w:rsid w:val="0027328D"/>
    <w:rsid w:val="002747CD"/>
    <w:rsid w:val="00274C93"/>
    <w:rsid w:val="002755EE"/>
    <w:rsid w:val="00275AA2"/>
    <w:rsid w:val="00277164"/>
    <w:rsid w:val="00281ABD"/>
    <w:rsid w:val="002908E7"/>
    <w:rsid w:val="002933EE"/>
    <w:rsid w:val="002947B5"/>
    <w:rsid w:val="002956E4"/>
    <w:rsid w:val="002A04C4"/>
    <w:rsid w:val="002A0DD8"/>
    <w:rsid w:val="002A2EBF"/>
    <w:rsid w:val="002A3347"/>
    <w:rsid w:val="002A6DFD"/>
    <w:rsid w:val="002B5E22"/>
    <w:rsid w:val="002B6254"/>
    <w:rsid w:val="002C424E"/>
    <w:rsid w:val="002C555D"/>
    <w:rsid w:val="002C75D0"/>
    <w:rsid w:val="002C7C6E"/>
    <w:rsid w:val="002D045B"/>
    <w:rsid w:val="002E022E"/>
    <w:rsid w:val="002E2352"/>
    <w:rsid w:val="002E5AEB"/>
    <w:rsid w:val="002F03A5"/>
    <w:rsid w:val="002F1DF7"/>
    <w:rsid w:val="002F3ADE"/>
    <w:rsid w:val="002F67F0"/>
    <w:rsid w:val="00303D9C"/>
    <w:rsid w:val="00304181"/>
    <w:rsid w:val="00306B18"/>
    <w:rsid w:val="00307F3B"/>
    <w:rsid w:val="003130CC"/>
    <w:rsid w:val="0031341C"/>
    <w:rsid w:val="00314CC5"/>
    <w:rsid w:val="003155FC"/>
    <w:rsid w:val="0031778A"/>
    <w:rsid w:val="003263B3"/>
    <w:rsid w:val="00326587"/>
    <w:rsid w:val="003266C8"/>
    <w:rsid w:val="00326A0E"/>
    <w:rsid w:val="0032775A"/>
    <w:rsid w:val="00334C7A"/>
    <w:rsid w:val="00335E01"/>
    <w:rsid w:val="003367C8"/>
    <w:rsid w:val="0033752D"/>
    <w:rsid w:val="003411C1"/>
    <w:rsid w:val="00343137"/>
    <w:rsid w:val="00346A6B"/>
    <w:rsid w:val="003472DD"/>
    <w:rsid w:val="00347D32"/>
    <w:rsid w:val="00350644"/>
    <w:rsid w:val="00351C6A"/>
    <w:rsid w:val="00355B40"/>
    <w:rsid w:val="00363511"/>
    <w:rsid w:val="00363C40"/>
    <w:rsid w:val="0036507B"/>
    <w:rsid w:val="00366658"/>
    <w:rsid w:val="00366D91"/>
    <w:rsid w:val="00371486"/>
    <w:rsid w:val="00374C9E"/>
    <w:rsid w:val="003822F4"/>
    <w:rsid w:val="00385133"/>
    <w:rsid w:val="00385970"/>
    <w:rsid w:val="003934A3"/>
    <w:rsid w:val="0039356D"/>
    <w:rsid w:val="00395A9F"/>
    <w:rsid w:val="003965A7"/>
    <w:rsid w:val="003A0F28"/>
    <w:rsid w:val="003A550C"/>
    <w:rsid w:val="003A7222"/>
    <w:rsid w:val="003A7309"/>
    <w:rsid w:val="003B0C27"/>
    <w:rsid w:val="003B2FBF"/>
    <w:rsid w:val="003B46CF"/>
    <w:rsid w:val="003B5E32"/>
    <w:rsid w:val="003C1C73"/>
    <w:rsid w:val="003C28DC"/>
    <w:rsid w:val="003C6A3C"/>
    <w:rsid w:val="003D0B65"/>
    <w:rsid w:val="003D15B0"/>
    <w:rsid w:val="003D35D9"/>
    <w:rsid w:val="003D6FF5"/>
    <w:rsid w:val="003E4697"/>
    <w:rsid w:val="003E7225"/>
    <w:rsid w:val="003E742D"/>
    <w:rsid w:val="003F05D4"/>
    <w:rsid w:val="003F6BF7"/>
    <w:rsid w:val="003F7DE9"/>
    <w:rsid w:val="004024C4"/>
    <w:rsid w:val="00402914"/>
    <w:rsid w:val="004114BA"/>
    <w:rsid w:val="00412B5D"/>
    <w:rsid w:val="00415CA0"/>
    <w:rsid w:val="004167EE"/>
    <w:rsid w:val="0042061B"/>
    <w:rsid w:val="00420CFD"/>
    <w:rsid w:val="00420F9E"/>
    <w:rsid w:val="004221AE"/>
    <w:rsid w:val="0042266A"/>
    <w:rsid w:val="00423A01"/>
    <w:rsid w:val="00423C43"/>
    <w:rsid w:val="0042517E"/>
    <w:rsid w:val="0042763B"/>
    <w:rsid w:val="00433ED3"/>
    <w:rsid w:val="00442E64"/>
    <w:rsid w:val="00451AAA"/>
    <w:rsid w:val="004546A6"/>
    <w:rsid w:val="00455724"/>
    <w:rsid w:val="00455B7A"/>
    <w:rsid w:val="004573C4"/>
    <w:rsid w:val="00460715"/>
    <w:rsid w:val="0046380E"/>
    <w:rsid w:val="0046590B"/>
    <w:rsid w:val="00465DEA"/>
    <w:rsid w:val="004709DC"/>
    <w:rsid w:val="0047343F"/>
    <w:rsid w:val="00473B44"/>
    <w:rsid w:val="00477A3F"/>
    <w:rsid w:val="00477D73"/>
    <w:rsid w:val="00481B50"/>
    <w:rsid w:val="00482608"/>
    <w:rsid w:val="00482E4F"/>
    <w:rsid w:val="00483865"/>
    <w:rsid w:val="00484854"/>
    <w:rsid w:val="00484DEF"/>
    <w:rsid w:val="00484E7A"/>
    <w:rsid w:val="00487181"/>
    <w:rsid w:val="004918AB"/>
    <w:rsid w:val="004A3581"/>
    <w:rsid w:val="004A3EEC"/>
    <w:rsid w:val="004A666A"/>
    <w:rsid w:val="004A7DA6"/>
    <w:rsid w:val="004B3334"/>
    <w:rsid w:val="004B3D4F"/>
    <w:rsid w:val="004B4407"/>
    <w:rsid w:val="004C1835"/>
    <w:rsid w:val="004C4377"/>
    <w:rsid w:val="004C57E8"/>
    <w:rsid w:val="004C5DC8"/>
    <w:rsid w:val="004C65CF"/>
    <w:rsid w:val="004C7A8B"/>
    <w:rsid w:val="004D1001"/>
    <w:rsid w:val="004D239C"/>
    <w:rsid w:val="004D4E6D"/>
    <w:rsid w:val="004D604E"/>
    <w:rsid w:val="004E7D76"/>
    <w:rsid w:val="004F4379"/>
    <w:rsid w:val="004F4BFC"/>
    <w:rsid w:val="004F6ADF"/>
    <w:rsid w:val="004F7811"/>
    <w:rsid w:val="005034E3"/>
    <w:rsid w:val="00503D63"/>
    <w:rsid w:val="005049B6"/>
    <w:rsid w:val="00504C30"/>
    <w:rsid w:val="005073E0"/>
    <w:rsid w:val="00512094"/>
    <w:rsid w:val="00520B46"/>
    <w:rsid w:val="00520D90"/>
    <w:rsid w:val="00527437"/>
    <w:rsid w:val="00532F2F"/>
    <w:rsid w:val="00536C11"/>
    <w:rsid w:val="005407BA"/>
    <w:rsid w:val="00541FF1"/>
    <w:rsid w:val="005472CC"/>
    <w:rsid w:val="005513C6"/>
    <w:rsid w:val="00553E1A"/>
    <w:rsid w:val="005572E4"/>
    <w:rsid w:val="00557F5F"/>
    <w:rsid w:val="00563401"/>
    <w:rsid w:val="00564623"/>
    <w:rsid w:val="0056718C"/>
    <w:rsid w:val="00570409"/>
    <w:rsid w:val="0057282B"/>
    <w:rsid w:val="00574ED4"/>
    <w:rsid w:val="00575558"/>
    <w:rsid w:val="0058069E"/>
    <w:rsid w:val="00580DE7"/>
    <w:rsid w:val="005823D5"/>
    <w:rsid w:val="00584D9E"/>
    <w:rsid w:val="00587062"/>
    <w:rsid w:val="00590682"/>
    <w:rsid w:val="0059250B"/>
    <w:rsid w:val="00596AC3"/>
    <w:rsid w:val="00597214"/>
    <w:rsid w:val="005A2C53"/>
    <w:rsid w:val="005A5389"/>
    <w:rsid w:val="005A5738"/>
    <w:rsid w:val="005A77E0"/>
    <w:rsid w:val="005B1C99"/>
    <w:rsid w:val="005B5448"/>
    <w:rsid w:val="005B69CC"/>
    <w:rsid w:val="005C3419"/>
    <w:rsid w:val="005C5002"/>
    <w:rsid w:val="005C7C74"/>
    <w:rsid w:val="005D16C3"/>
    <w:rsid w:val="005D68EC"/>
    <w:rsid w:val="005E4230"/>
    <w:rsid w:val="005E5C20"/>
    <w:rsid w:val="005F071C"/>
    <w:rsid w:val="005F1BB8"/>
    <w:rsid w:val="005F304C"/>
    <w:rsid w:val="005F4498"/>
    <w:rsid w:val="005F4881"/>
    <w:rsid w:val="00604255"/>
    <w:rsid w:val="0060666C"/>
    <w:rsid w:val="0060700C"/>
    <w:rsid w:val="006100B7"/>
    <w:rsid w:val="006110D4"/>
    <w:rsid w:val="00616EE7"/>
    <w:rsid w:val="00617B11"/>
    <w:rsid w:val="006218CE"/>
    <w:rsid w:val="00623E8E"/>
    <w:rsid w:val="006243FD"/>
    <w:rsid w:val="00630AE7"/>
    <w:rsid w:val="00630E3F"/>
    <w:rsid w:val="006324BC"/>
    <w:rsid w:val="006333DB"/>
    <w:rsid w:val="00634198"/>
    <w:rsid w:val="00641356"/>
    <w:rsid w:val="006419A8"/>
    <w:rsid w:val="006441C3"/>
    <w:rsid w:val="006502B2"/>
    <w:rsid w:val="00650DCF"/>
    <w:rsid w:val="00652A99"/>
    <w:rsid w:val="00653354"/>
    <w:rsid w:val="0066235C"/>
    <w:rsid w:val="00664074"/>
    <w:rsid w:val="00665A5B"/>
    <w:rsid w:val="0066766C"/>
    <w:rsid w:val="006716EE"/>
    <w:rsid w:val="00672570"/>
    <w:rsid w:val="00673A76"/>
    <w:rsid w:val="00676BA4"/>
    <w:rsid w:val="00677BD1"/>
    <w:rsid w:val="00681F99"/>
    <w:rsid w:val="0068242A"/>
    <w:rsid w:val="00686FF3"/>
    <w:rsid w:val="00690624"/>
    <w:rsid w:val="006912CF"/>
    <w:rsid w:val="00697F94"/>
    <w:rsid w:val="006A1D38"/>
    <w:rsid w:val="006A7B95"/>
    <w:rsid w:val="006B1E09"/>
    <w:rsid w:val="006B2C66"/>
    <w:rsid w:val="006B60DE"/>
    <w:rsid w:val="006B6B14"/>
    <w:rsid w:val="006C31AA"/>
    <w:rsid w:val="006C32FD"/>
    <w:rsid w:val="006C45CB"/>
    <w:rsid w:val="006C5162"/>
    <w:rsid w:val="006C7417"/>
    <w:rsid w:val="006D00BD"/>
    <w:rsid w:val="006D01D0"/>
    <w:rsid w:val="006D2A6D"/>
    <w:rsid w:val="006D43B2"/>
    <w:rsid w:val="006E00B0"/>
    <w:rsid w:val="006E3025"/>
    <w:rsid w:val="006E7C5C"/>
    <w:rsid w:val="006E7D49"/>
    <w:rsid w:val="006F64BD"/>
    <w:rsid w:val="006F7E94"/>
    <w:rsid w:val="00700609"/>
    <w:rsid w:val="007018BA"/>
    <w:rsid w:val="0070565E"/>
    <w:rsid w:val="00705FEC"/>
    <w:rsid w:val="007106DE"/>
    <w:rsid w:val="00712EEB"/>
    <w:rsid w:val="007201F3"/>
    <w:rsid w:val="007216F5"/>
    <w:rsid w:val="00722186"/>
    <w:rsid w:val="00724BF3"/>
    <w:rsid w:val="00727E54"/>
    <w:rsid w:val="00730857"/>
    <w:rsid w:val="00736255"/>
    <w:rsid w:val="00744FF8"/>
    <w:rsid w:val="00752073"/>
    <w:rsid w:val="00752715"/>
    <w:rsid w:val="00753A8B"/>
    <w:rsid w:val="00756BA3"/>
    <w:rsid w:val="00757515"/>
    <w:rsid w:val="00760388"/>
    <w:rsid w:val="00763959"/>
    <w:rsid w:val="00764B45"/>
    <w:rsid w:val="00765B6E"/>
    <w:rsid w:val="007670C7"/>
    <w:rsid w:val="00767364"/>
    <w:rsid w:val="007739D7"/>
    <w:rsid w:val="00776ABB"/>
    <w:rsid w:val="007770E7"/>
    <w:rsid w:val="0077747B"/>
    <w:rsid w:val="00784C6F"/>
    <w:rsid w:val="0078519E"/>
    <w:rsid w:val="00787C07"/>
    <w:rsid w:val="00790EB4"/>
    <w:rsid w:val="00792D8D"/>
    <w:rsid w:val="00794E3B"/>
    <w:rsid w:val="007A0F56"/>
    <w:rsid w:val="007A28D0"/>
    <w:rsid w:val="007A34C6"/>
    <w:rsid w:val="007B2E3E"/>
    <w:rsid w:val="007C212A"/>
    <w:rsid w:val="007C46B5"/>
    <w:rsid w:val="007C5E43"/>
    <w:rsid w:val="007C6E67"/>
    <w:rsid w:val="007C743F"/>
    <w:rsid w:val="007C7D84"/>
    <w:rsid w:val="007D3AF2"/>
    <w:rsid w:val="007D68CE"/>
    <w:rsid w:val="007E4357"/>
    <w:rsid w:val="007F22A8"/>
    <w:rsid w:val="007F36C3"/>
    <w:rsid w:val="00800992"/>
    <w:rsid w:val="00800E3C"/>
    <w:rsid w:val="008010EF"/>
    <w:rsid w:val="00801E6D"/>
    <w:rsid w:val="00806600"/>
    <w:rsid w:val="008069D7"/>
    <w:rsid w:val="00807CBD"/>
    <w:rsid w:val="00813717"/>
    <w:rsid w:val="00817EF6"/>
    <w:rsid w:val="008207AB"/>
    <w:rsid w:val="00822161"/>
    <w:rsid w:val="008227BC"/>
    <w:rsid w:val="00823CD3"/>
    <w:rsid w:val="008252C2"/>
    <w:rsid w:val="008309FB"/>
    <w:rsid w:val="00841DCF"/>
    <w:rsid w:val="0084604B"/>
    <w:rsid w:val="00851101"/>
    <w:rsid w:val="00851615"/>
    <w:rsid w:val="00852C16"/>
    <w:rsid w:val="00853683"/>
    <w:rsid w:val="008561AC"/>
    <w:rsid w:val="008577B8"/>
    <w:rsid w:val="00864FA7"/>
    <w:rsid w:val="008666EE"/>
    <w:rsid w:val="00866DB9"/>
    <w:rsid w:val="00871583"/>
    <w:rsid w:val="00873219"/>
    <w:rsid w:val="00876140"/>
    <w:rsid w:val="008779B0"/>
    <w:rsid w:val="00880164"/>
    <w:rsid w:val="008825F3"/>
    <w:rsid w:val="00883AE1"/>
    <w:rsid w:val="00885A36"/>
    <w:rsid w:val="00885C40"/>
    <w:rsid w:val="0088719E"/>
    <w:rsid w:val="00887654"/>
    <w:rsid w:val="008905A5"/>
    <w:rsid w:val="00890AC0"/>
    <w:rsid w:val="00890D23"/>
    <w:rsid w:val="00890DAA"/>
    <w:rsid w:val="00893143"/>
    <w:rsid w:val="00895BD5"/>
    <w:rsid w:val="008A0339"/>
    <w:rsid w:val="008A04BB"/>
    <w:rsid w:val="008A2B3F"/>
    <w:rsid w:val="008A333E"/>
    <w:rsid w:val="008A42BF"/>
    <w:rsid w:val="008A4F5F"/>
    <w:rsid w:val="008B32EF"/>
    <w:rsid w:val="008B5476"/>
    <w:rsid w:val="008B55DA"/>
    <w:rsid w:val="008B6D15"/>
    <w:rsid w:val="008B7316"/>
    <w:rsid w:val="008C01AF"/>
    <w:rsid w:val="008C2963"/>
    <w:rsid w:val="008C3B44"/>
    <w:rsid w:val="008C400A"/>
    <w:rsid w:val="008C772F"/>
    <w:rsid w:val="008D4EA2"/>
    <w:rsid w:val="008E2647"/>
    <w:rsid w:val="008E4C41"/>
    <w:rsid w:val="008E56D1"/>
    <w:rsid w:val="008E708B"/>
    <w:rsid w:val="008E75B3"/>
    <w:rsid w:val="008E7E68"/>
    <w:rsid w:val="008F03EE"/>
    <w:rsid w:val="008F1052"/>
    <w:rsid w:val="008F1579"/>
    <w:rsid w:val="008F1F2F"/>
    <w:rsid w:val="008F20A7"/>
    <w:rsid w:val="008F2B03"/>
    <w:rsid w:val="008F2DE4"/>
    <w:rsid w:val="008F7CF8"/>
    <w:rsid w:val="00900DD9"/>
    <w:rsid w:val="0090126B"/>
    <w:rsid w:val="00902A5B"/>
    <w:rsid w:val="0090631A"/>
    <w:rsid w:val="0090794F"/>
    <w:rsid w:val="00913018"/>
    <w:rsid w:val="009156A1"/>
    <w:rsid w:val="00915FCE"/>
    <w:rsid w:val="009163EA"/>
    <w:rsid w:val="00921136"/>
    <w:rsid w:val="00923EB4"/>
    <w:rsid w:val="009244DE"/>
    <w:rsid w:val="009268C7"/>
    <w:rsid w:val="0092785A"/>
    <w:rsid w:val="009313DB"/>
    <w:rsid w:val="00931947"/>
    <w:rsid w:val="00931ACA"/>
    <w:rsid w:val="00932AF1"/>
    <w:rsid w:val="00934DCF"/>
    <w:rsid w:val="009376E1"/>
    <w:rsid w:val="00940FC6"/>
    <w:rsid w:val="009511E6"/>
    <w:rsid w:val="00953B39"/>
    <w:rsid w:val="0095666E"/>
    <w:rsid w:val="00956EC9"/>
    <w:rsid w:val="00957FA6"/>
    <w:rsid w:val="0096418A"/>
    <w:rsid w:val="0096659C"/>
    <w:rsid w:val="00966681"/>
    <w:rsid w:val="00971054"/>
    <w:rsid w:val="0097242A"/>
    <w:rsid w:val="00977873"/>
    <w:rsid w:val="009804B1"/>
    <w:rsid w:val="009833F1"/>
    <w:rsid w:val="00984683"/>
    <w:rsid w:val="009846DD"/>
    <w:rsid w:val="0098527B"/>
    <w:rsid w:val="00986174"/>
    <w:rsid w:val="00986926"/>
    <w:rsid w:val="00992A31"/>
    <w:rsid w:val="00993D9B"/>
    <w:rsid w:val="00994DB8"/>
    <w:rsid w:val="00995350"/>
    <w:rsid w:val="00996D86"/>
    <w:rsid w:val="009A1ACB"/>
    <w:rsid w:val="009A2F94"/>
    <w:rsid w:val="009A3986"/>
    <w:rsid w:val="009A49EA"/>
    <w:rsid w:val="009A5405"/>
    <w:rsid w:val="009B0005"/>
    <w:rsid w:val="009B081F"/>
    <w:rsid w:val="009B104F"/>
    <w:rsid w:val="009B36B2"/>
    <w:rsid w:val="009B3943"/>
    <w:rsid w:val="009B3A5D"/>
    <w:rsid w:val="009B447E"/>
    <w:rsid w:val="009B6DE1"/>
    <w:rsid w:val="009B6E0B"/>
    <w:rsid w:val="009C0144"/>
    <w:rsid w:val="009C2AA9"/>
    <w:rsid w:val="009C2EE8"/>
    <w:rsid w:val="009C3AB0"/>
    <w:rsid w:val="009C7731"/>
    <w:rsid w:val="009D1699"/>
    <w:rsid w:val="009D1CC2"/>
    <w:rsid w:val="009D206E"/>
    <w:rsid w:val="009D5F3F"/>
    <w:rsid w:val="009D652B"/>
    <w:rsid w:val="009D7E7C"/>
    <w:rsid w:val="009E0B1D"/>
    <w:rsid w:val="009E15AC"/>
    <w:rsid w:val="009E1631"/>
    <w:rsid w:val="009E5E0C"/>
    <w:rsid w:val="009F0780"/>
    <w:rsid w:val="009F5BCA"/>
    <w:rsid w:val="009F7110"/>
    <w:rsid w:val="00A00D08"/>
    <w:rsid w:val="00A01744"/>
    <w:rsid w:val="00A046DA"/>
    <w:rsid w:val="00A051F6"/>
    <w:rsid w:val="00A06E45"/>
    <w:rsid w:val="00A12995"/>
    <w:rsid w:val="00A135E6"/>
    <w:rsid w:val="00A13E43"/>
    <w:rsid w:val="00A15951"/>
    <w:rsid w:val="00A16173"/>
    <w:rsid w:val="00A1745F"/>
    <w:rsid w:val="00A235E7"/>
    <w:rsid w:val="00A322EA"/>
    <w:rsid w:val="00A32C9A"/>
    <w:rsid w:val="00A33D90"/>
    <w:rsid w:val="00A44E52"/>
    <w:rsid w:val="00A45AEB"/>
    <w:rsid w:val="00A502B0"/>
    <w:rsid w:val="00A53958"/>
    <w:rsid w:val="00A5481B"/>
    <w:rsid w:val="00A54BBD"/>
    <w:rsid w:val="00A54FFE"/>
    <w:rsid w:val="00A55381"/>
    <w:rsid w:val="00A5760D"/>
    <w:rsid w:val="00A70547"/>
    <w:rsid w:val="00A76B86"/>
    <w:rsid w:val="00A77088"/>
    <w:rsid w:val="00A777DB"/>
    <w:rsid w:val="00A857A6"/>
    <w:rsid w:val="00A91E2B"/>
    <w:rsid w:val="00A9432B"/>
    <w:rsid w:val="00A95A77"/>
    <w:rsid w:val="00A97DC2"/>
    <w:rsid w:val="00AA3CAB"/>
    <w:rsid w:val="00AA5A9F"/>
    <w:rsid w:val="00AA6B39"/>
    <w:rsid w:val="00AB0F43"/>
    <w:rsid w:val="00AB33FF"/>
    <w:rsid w:val="00AB3B0F"/>
    <w:rsid w:val="00AC412E"/>
    <w:rsid w:val="00AC6F6E"/>
    <w:rsid w:val="00AD009D"/>
    <w:rsid w:val="00AD2566"/>
    <w:rsid w:val="00AD2FE4"/>
    <w:rsid w:val="00AD5533"/>
    <w:rsid w:val="00AD5B33"/>
    <w:rsid w:val="00AD60D5"/>
    <w:rsid w:val="00AD6C86"/>
    <w:rsid w:val="00AE1487"/>
    <w:rsid w:val="00AE1C78"/>
    <w:rsid w:val="00AE24EC"/>
    <w:rsid w:val="00AF1A1D"/>
    <w:rsid w:val="00AF336E"/>
    <w:rsid w:val="00AF374C"/>
    <w:rsid w:val="00AF5EC2"/>
    <w:rsid w:val="00B00A37"/>
    <w:rsid w:val="00B015C6"/>
    <w:rsid w:val="00B0241A"/>
    <w:rsid w:val="00B028E2"/>
    <w:rsid w:val="00B02C90"/>
    <w:rsid w:val="00B051A3"/>
    <w:rsid w:val="00B21ABE"/>
    <w:rsid w:val="00B27178"/>
    <w:rsid w:val="00B2733B"/>
    <w:rsid w:val="00B31EBA"/>
    <w:rsid w:val="00B32878"/>
    <w:rsid w:val="00B33159"/>
    <w:rsid w:val="00B35B2F"/>
    <w:rsid w:val="00B40212"/>
    <w:rsid w:val="00B41DE2"/>
    <w:rsid w:val="00B45544"/>
    <w:rsid w:val="00B459BF"/>
    <w:rsid w:val="00B51DD7"/>
    <w:rsid w:val="00B53238"/>
    <w:rsid w:val="00B54648"/>
    <w:rsid w:val="00B5644D"/>
    <w:rsid w:val="00B6488F"/>
    <w:rsid w:val="00B67E78"/>
    <w:rsid w:val="00B71D4A"/>
    <w:rsid w:val="00B7264D"/>
    <w:rsid w:val="00B75675"/>
    <w:rsid w:val="00B7574D"/>
    <w:rsid w:val="00B91086"/>
    <w:rsid w:val="00B920C4"/>
    <w:rsid w:val="00B93C66"/>
    <w:rsid w:val="00B9557D"/>
    <w:rsid w:val="00B96259"/>
    <w:rsid w:val="00BA053F"/>
    <w:rsid w:val="00BA0A44"/>
    <w:rsid w:val="00BA0B03"/>
    <w:rsid w:val="00BA47F2"/>
    <w:rsid w:val="00BA7117"/>
    <w:rsid w:val="00BB59FD"/>
    <w:rsid w:val="00BB7CB3"/>
    <w:rsid w:val="00BC4E82"/>
    <w:rsid w:val="00BC6A67"/>
    <w:rsid w:val="00BC7765"/>
    <w:rsid w:val="00BC7BA1"/>
    <w:rsid w:val="00BC7DEE"/>
    <w:rsid w:val="00BD09D4"/>
    <w:rsid w:val="00BD3048"/>
    <w:rsid w:val="00BD5536"/>
    <w:rsid w:val="00BD5A43"/>
    <w:rsid w:val="00BD6DAA"/>
    <w:rsid w:val="00BE07B8"/>
    <w:rsid w:val="00BE16F2"/>
    <w:rsid w:val="00BE561C"/>
    <w:rsid w:val="00BE7A47"/>
    <w:rsid w:val="00BF2D69"/>
    <w:rsid w:val="00BF3BE1"/>
    <w:rsid w:val="00BF7882"/>
    <w:rsid w:val="00C00534"/>
    <w:rsid w:val="00C019DF"/>
    <w:rsid w:val="00C01C40"/>
    <w:rsid w:val="00C02BC4"/>
    <w:rsid w:val="00C02C7E"/>
    <w:rsid w:val="00C03816"/>
    <w:rsid w:val="00C039C8"/>
    <w:rsid w:val="00C03C5C"/>
    <w:rsid w:val="00C040FB"/>
    <w:rsid w:val="00C069EE"/>
    <w:rsid w:val="00C0752D"/>
    <w:rsid w:val="00C20B74"/>
    <w:rsid w:val="00C26C34"/>
    <w:rsid w:val="00C277D4"/>
    <w:rsid w:val="00C31D59"/>
    <w:rsid w:val="00C32288"/>
    <w:rsid w:val="00C36694"/>
    <w:rsid w:val="00C36CFE"/>
    <w:rsid w:val="00C40D30"/>
    <w:rsid w:val="00C40E49"/>
    <w:rsid w:val="00C4159D"/>
    <w:rsid w:val="00C418AC"/>
    <w:rsid w:val="00C42F75"/>
    <w:rsid w:val="00C537B1"/>
    <w:rsid w:val="00C55660"/>
    <w:rsid w:val="00C55A46"/>
    <w:rsid w:val="00C56A66"/>
    <w:rsid w:val="00C605B6"/>
    <w:rsid w:val="00C60E82"/>
    <w:rsid w:val="00C65A6C"/>
    <w:rsid w:val="00C7190E"/>
    <w:rsid w:val="00C71DAD"/>
    <w:rsid w:val="00C75E1F"/>
    <w:rsid w:val="00C776E1"/>
    <w:rsid w:val="00C809DA"/>
    <w:rsid w:val="00C80B87"/>
    <w:rsid w:val="00C83133"/>
    <w:rsid w:val="00C851EA"/>
    <w:rsid w:val="00C910B3"/>
    <w:rsid w:val="00C948E2"/>
    <w:rsid w:val="00C97D77"/>
    <w:rsid w:val="00CA02A7"/>
    <w:rsid w:val="00CA3A7B"/>
    <w:rsid w:val="00CA449B"/>
    <w:rsid w:val="00CA703C"/>
    <w:rsid w:val="00CB0622"/>
    <w:rsid w:val="00CB1DBD"/>
    <w:rsid w:val="00CB2502"/>
    <w:rsid w:val="00CB495E"/>
    <w:rsid w:val="00CB65F1"/>
    <w:rsid w:val="00CC048B"/>
    <w:rsid w:val="00CC1035"/>
    <w:rsid w:val="00CD3416"/>
    <w:rsid w:val="00CD5309"/>
    <w:rsid w:val="00CD648A"/>
    <w:rsid w:val="00CD6692"/>
    <w:rsid w:val="00CD6D89"/>
    <w:rsid w:val="00CE1EDF"/>
    <w:rsid w:val="00CE392F"/>
    <w:rsid w:val="00CE7D95"/>
    <w:rsid w:val="00CF05D5"/>
    <w:rsid w:val="00CF0C8B"/>
    <w:rsid w:val="00CF193A"/>
    <w:rsid w:val="00CF3A28"/>
    <w:rsid w:val="00CF3AD7"/>
    <w:rsid w:val="00D00804"/>
    <w:rsid w:val="00D0603E"/>
    <w:rsid w:val="00D06558"/>
    <w:rsid w:val="00D1608D"/>
    <w:rsid w:val="00D1631B"/>
    <w:rsid w:val="00D16A5C"/>
    <w:rsid w:val="00D21E33"/>
    <w:rsid w:val="00D25F9D"/>
    <w:rsid w:val="00D31EAB"/>
    <w:rsid w:val="00D4168B"/>
    <w:rsid w:val="00D417B1"/>
    <w:rsid w:val="00D427AB"/>
    <w:rsid w:val="00D43759"/>
    <w:rsid w:val="00D45E68"/>
    <w:rsid w:val="00D500C3"/>
    <w:rsid w:val="00D56384"/>
    <w:rsid w:val="00D60E1D"/>
    <w:rsid w:val="00D64407"/>
    <w:rsid w:val="00D64A7E"/>
    <w:rsid w:val="00D67F07"/>
    <w:rsid w:val="00D70901"/>
    <w:rsid w:val="00D71E61"/>
    <w:rsid w:val="00D77450"/>
    <w:rsid w:val="00D8151F"/>
    <w:rsid w:val="00D8284D"/>
    <w:rsid w:val="00D83088"/>
    <w:rsid w:val="00D84283"/>
    <w:rsid w:val="00D84735"/>
    <w:rsid w:val="00D852CB"/>
    <w:rsid w:val="00D86FDA"/>
    <w:rsid w:val="00D91465"/>
    <w:rsid w:val="00D9306F"/>
    <w:rsid w:val="00D9317E"/>
    <w:rsid w:val="00D93EC5"/>
    <w:rsid w:val="00D9732F"/>
    <w:rsid w:val="00DA0028"/>
    <w:rsid w:val="00DA393B"/>
    <w:rsid w:val="00DB1FDC"/>
    <w:rsid w:val="00DB4445"/>
    <w:rsid w:val="00DB50E3"/>
    <w:rsid w:val="00DB55CC"/>
    <w:rsid w:val="00DB56C5"/>
    <w:rsid w:val="00DC4312"/>
    <w:rsid w:val="00DC7139"/>
    <w:rsid w:val="00DD2096"/>
    <w:rsid w:val="00DD247E"/>
    <w:rsid w:val="00DD2EAA"/>
    <w:rsid w:val="00DD413F"/>
    <w:rsid w:val="00DD758E"/>
    <w:rsid w:val="00DD7621"/>
    <w:rsid w:val="00DE64EE"/>
    <w:rsid w:val="00DE66BF"/>
    <w:rsid w:val="00DF0EE4"/>
    <w:rsid w:val="00DF42B1"/>
    <w:rsid w:val="00E04A08"/>
    <w:rsid w:val="00E0652A"/>
    <w:rsid w:val="00E133A6"/>
    <w:rsid w:val="00E13EA7"/>
    <w:rsid w:val="00E20F02"/>
    <w:rsid w:val="00E22710"/>
    <w:rsid w:val="00E265A7"/>
    <w:rsid w:val="00E31E43"/>
    <w:rsid w:val="00E35531"/>
    <w:rsid w:val="00E35E95"/>
    <w:rsid w:val="00E37576"/>
    <w:rsid w:val="00E408FE"/>
    <w:rsid w:val="00E41AC4"/>
    <w:rsid w:val="00E42EB0"/>
    <w:rsid w:val="00E46197"/>
    <w:rsid w:val="00E461B2"/>
    <w:rsid w:val="00E546B4"/>
    <w:rsid w:val="00E5584B"/>
    <w:rsid w:val="00E562EE"/>
    <w:rsid w:val="00E6231B"/>
    <w:rsid w:val="00E62A90"/>
    <w:rsid w:val="00E62C95"/>
    <w:rsid w:val="00E6328F"/>
    <w:rsid w:val="00E66C65"/>
    <w:rsid w:val="00E66E09"/>
    <w:rsid w:val="00E70AB0"/>
    <w:rsid w:val="00E7481A"/>
    <w:rsid w:val="00E81D0F"/>
    <w:rsid w:val="00E944B0"/>
    <w:rsid w:val="00E94FE0"/>
    <w:rsid w:val="00EA49CA"/>
    <w:rsid w:val="00EB1F9D"/>
    <w:rsid w:val="00EB2C9E"/>
    <w:rsid w:val="00EB4B20"/>
    <w:rsid w:val="00EB5A5D"/>
    <w:rsid w:val="00EB7BE5"/>
    <w:rsid w:val="00EC01EB"/>
    <w:rsid w:val="00EC13F9"/>
    <w:rsid w:val="00EC4810"/>
    <w:rsid w:val="00ED0910"/>
    <w:rsid w:val="00ED09B6"/>
    <w:rsid w:val="00ED109D"/>
    <w:rsid w:val="00EE0521"/>
    <w:rsid w:val="00EE2A88"/>
    <w:rsid w:val="00EE2F94"/>
    <w:rsid w:val="00EE45E4"/>
    <w:rsid w:val="00EE71DA"/>
    <w:rsid w:val="00EE73CD"/>
    <w:rsid w:val="00EF101F"/>
    <w:rsid w:val="00EF162D"/>
    <w:rsid w:val="00EF16E3"/>
    <w:rsid w:val="00EF216E"/>
    <w:rsid w:val="00EF2A19"/>
    <w:rsid w:val="00EF5532"/>
    <w:rsid w:val="00EF76DF"/>
    <w:rsid w:val="00F00157"/>
    <w:rsid w:val="00F007D8"/>
    <w:rsid w:val="00F0538F"/>
    <w:rsid w:val="00F06AD9"/>
    <w:rsid w:val="00F07B74"/>
    <w:rsid w:val="00F11795"/>
    <w:rsid w:val="00F146C7"/>
    <w:rsid w:val="00F14EDC"/>
    <w:rsid w:val="00F16E92"/>
    <w:rsid w:val="00F20F2C"/>
    <w:rsid w:val="00F25062"/>
    <w:rsid w:val="00F258E4"/>
    <w:rsid w:val="00F261A6"/>
    <w:rsid w:val="00F30774"/>
    <w:rsid w:val="00F30FED"/>
    <w:rsid w:val="00F35A6F"/>
    <w:rsid w:val="00F36944"/>
    <w:rsid w:val="00F36B74"/>
    <w:rsid w:val="00F41A23"/>
    <w:rsid w:val="00F45EDD"/>
    <w:rsid w:val="00F529B7"/>
    <w:rsid w:val="00F55172"/>
    <w:rsid w:val="00F55309"/>
    <w:rsid w:val="00F55E66"/>
    <w:rsid w:val="00F5776D"/>
    <w:rsid w:val="00F63D54"/>
    <w:rsid w:val="00F64EFB"/>
    <w:rsid w:val="00F660B3"/>
    <w:rsid w:val="00F717C3"/>
    <w:rsid w:val="00F74987"/>
    <w:rsid w:val="00F74B08"/>
    <w:rsid w:val="00F77F58"/>
    <w:rsid w:val="00F8177E"/>
    <w:rsid w:val="00F8259D"/>
    <w:rsid w:val="00F872D1"/>
    <w:rsid w:val="00F87563"/>
    <w:rsid w:val="00F876DC"/>
    <w:rsid w:val="00F908A8"/>
    <w:rsid w:val="00F95295"/>
    <w:rsid w:val="00FA0D0E"/>
    <w:rsid w:val="00FA1B52"/>
    <w:rsid w:val="00FA4046"/>
    <w:rsid w:val="00FA532B"/>
    <w:rsid w:val="00FA542C"/>
    <w:rsid w:val="00FA56B6"/>
    <w:rsid w:val="00FA59C4"/>
    <w:rsid w:val="00FA60D5"/>
    <w:rsid w:val="00FA62BC"/>
    <w:rsid w:val="00FB34E3"/>
    <w:rsid w:val="00FB43AB"/>
    <w:rsid w:val="00FB4CB4"/>
    <w:rsid w:val="00FB52C4"/>
    <w:rsid w:val="00FB6724"/>
    <w:rsid w:val="00FB6BED"/>
    <w:rsid w:val="00FC24F8"/>
    <w:rsid w:val="00FC2DBE"/>
    <w:rsid w:val="00FE19F2"/>
    <w:rsid w:val="00FE1C5D"/>
    <w:rsid w:val="00FF1746"/>
    <w:rsid w:val="01380FEC"/>
    <w:rsid w:val="018C77AF"/>
    <w:rsid w:val="0304237A"/>
    <w:rsid w:val="03A71B7E"/>
    <w:rsid w:val="0401078E"/>
    <w:rsid w:val="05364DA3"/>
    <w:rsid w:val="06912C9E"/>
    <w:rsid w:val="08DA56D7"/>
    <w:rsid w:val="09631889"/>
    <w:rsid w:val="096742E6"/>
    <w:rsid w:val="09FC7AF5"/>
    <w:rsid w:val="0A406185"/>
    <w:rsid w:val="0C0F3C8E"/>
    <w:rsid w:val="0E9447D3"/>
    <w:rsid w:val="0ED24691"/>
    <w:rsid w:val="12635ADF"/>
    <w:rsid w:val="128C6FEA"/>
    <w:rsid w:val="142806DC"/>
    <w:rsid w:val="157F75CC"/>
    <w:rsid w:val="163043F9"/>
    <w:rsid w:val="16842491"/>
    <w:rsid w:val="16CF5128"/>
    <w:rsid w:val="18B30B19"/>
    <w:rsid w:val="194A4E64"/>
    <w:rsid w:val="1AAD2897"/>
    <w:rsid w:val="1C4165C4"/>
    <w:rsid w:val="1E7052C5"/>
    <w:rsid w:val="1F5A1013"/>
    <w:rsid w:val="20383300"/>
    <w:rsid w:val="216E3710"/>
    <w:rsid w:val="222C7737"/>
    <w:rsid w:val="223618CF"/>
    <w:rsid w:val="230E7562"/>
    <w:rsid w:val="24E55412"/>
    <w:rsid w:val="25AA3D11"/>
    <w:rsid w:val="26051917"/>
    <w:rsid w:val="27494558"/>
    <w:rsid w:val="28E4593D"/>
    <w:rsid w:val="29D4593E"/>
    <w:rsid w:val="2A0916DA"/>
    <w:rsid w:val="2E8F7467"/>
    <w:rsid w:val="2FB13C97"/>
    <w:rsid w:val="30BD1110"/>
    <w:rsid w:val="336A433A"/>
    <w:rsid w:val="33B319C3"/>
    <w:rsid w:val="35C95244"/>
    <w:rsid w:val="386A7C20"/>
    <w:rsid w:val="38CA0292"/>
    <w:rsid w:val="3A316AA7"/>
    <w:rsid w:val="3AC5195A"/>
    <w:rsid w:val="3BD715AB"/>
    <w:rsid w:val="3C48667C"/>
    <w:rsid w:val="3E577BFC"/>
    <w:rsid w:val="3F7A5EE4"/>
    <w:rsid w:val="3F816A0B"/>
    <w:rsid w:val="41CD07B6"/>
    <w:rsid w:val="46BA7FEA"/>
    <w:rsid w:val="47DE4C65"/>
    <w:rsid w:val="49AB638A"/>
    <w:rsid w:val="4BA45467"/>
    <w:rsid w:val="4C810159"/>
    <w:rsid w:val="4C8E2FC8"/>
    <w:rsid w:val="4CCC4B3B"/>
    <w:rsid w:val="4CE61B27"/>
    <w:rsid w:val="4D127F34"/>
    <w:rsid w:val="4D3F1BB6"/>
    <w:rsid w:val="50102255"/>
    <w:rsid w:val="50D740BB"/>
    <w:rsid w:val="5130282F"/>
    <w:rsid w:val="51DA3845"/>
    <w:rsid w:val="528366E1"/>
    <w:rsid w:val="52911819"/>
    <w:rsid w:val="54A830AF"/>
    <w:rsid w:val="54B97E8A"/>
    <w:rsid w:val="559A53FD"/>
    <w:rsid w:val="56B331A3"/>
    <w:rsid w:val="581230B8"/>
    <w:rsid w:val="58641647"/>
    <w:rsid w:val="594C1C06"/>
    <w:rsid w:val="597E7969"/>
    <w:rsid w:val="5A8126D6"/>
    <w:rsid w:val="5C467F17"/>
    <w:rsid w:val="5C81679F"/>
    <w:rsid w:val="5F645F89"/>
    <w:rsid w:val="606A1909"/>
    <w:rsid w:val="60F22963"/>
    <w:rsid w:val="618312A0"/>
    <w:rsid w:val="62F351DC"/>
    <w:rsid w:val="66150F90"/>
    <w:rsid w:val="6733243B"/>
    <w:rsid w:val="673B6D35"/>
    <w:rsid w:val="67D72CA3"/>
    <w:rsid w:val="682919EB"/>
    <w:rsid w:val="6A1A5B39"/>
    <w:rsid w:val="6AE0479F"/>
    <w:rsid w:val="6BDB1853"/>
    <w:rsid w:val="6C913373"/>
    <w:rsid w:val="6D385743"/>
    <w:rsid w:val="6D5A6AA6"/>
    <w:rsid w:val="6D8A7951"/>
    <w:rsid w:val="6DCC1BE9"/>
    <w:rsid w:val="6DE52F01"/>
    <w:rsid w:val="6E95615F"/>
    <w:rsid w:val="6F4F432F"/>
    <w:rsid w:val="70B83419"/>
    <w:rsid w:val="71866233"/>
    <w:rsid w:val="7310440B"/>
    <w:rsid w:val="76D36F69"/>
    <w:rsid w:val="79B84D11"/>
    <w:rsid w:val="7FEA126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1"/>
    <w:autoRedefine/>
    <w:semiHidden/>
    <w:qFormat/>
    <w:uiPriority w:val="99"/>
    <w:rPr>
      <w:sz w:val="18"/>
      <w:szCs w:val="18"/>
    </w:rPr>
  </w:style>
  <w:style w:type="paragraph" w:styleId="3">
    <w:name w:val="footer"/>
    <w:basedOn w:val="1"/>
    <w:link w:val="8"/>
    <w:autoRedefine/>
    <w:qFormat/>
    <w:uiPriority w:val="99"/>
    <w:pPr>
      <w:tabs>
        <w:tab w:val="center" w:pos="4153"/>
        <w:tab w:val="right" w:pos="8306"/>
      </w:tabs>
      <w:snapToGrid w:val="0"/>
      <w:jc w:val="left"/>
    </w:pPr>
    <w:rPr>
      <w:sz w:val="18"/>
      <w:szCs w:val="18"/>
    </w:rPr>
  </w:style>
  <w:style w:type="paragraph" w:styleId="4">
    <w:name w:val="header"/>
    <w:basedOn w:val="1"/>
    <w:link w:val="9"/>
    <w:autoRedefine/>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脚 Char"/>
    <w:link w:val="3"/>
    <w:autoRedefine/>
    <w:qFormat/>
    <w:locked/>
    <w:uiPriority w:val="99"/>
    <w:rPr>
      <w:rFonts w:cs="Times New Roman"/>
      <w:sz w:val="18"/>
      <w:szCs w:val="18"/>
    </w:rPr>
  </w:style>
  <w:style w:type="character" w:customStyle="1" w:styleId="9">
    <w:name w:val="页眉 Char"/>
    <w:link w:val="4"/>
    <w:autoRedefine/>
    <w:qFormat/>
    <w:locked/>
    <w:uiPriority w:val="99"/>
    <w:rPr>
      <w:rFonts w:cs="Times New Roman"/>
      <w:sz w:val="18"/>
      <w:szCs w:val="18"/>
    </w:rPr>
  </w:style>
  <w:style w:type="paragraph" w:styleId="10">
    <w:name w:val="List Paragraph"/>
    <w:basedOn w:val="1"/>
    <w:autoRedefine/>
    <w:qFormat/>
    <w:uiPriority w:val="99"/>
    <w:pPr>
      <w:ind w:firstLine="420" w:firstLineChars="200"/>
    </w:pPr>
  </w:style>
  <w:style w:type="character" w:customStyle="1" w:styleId="11">
    <w:name w:val="批注框文本 Char"/>
    <w:link w:val="2"/>
    <w:autoRedefine/>
    <w:semiHidden/>
    <w:qFormat/>
    <w:locked/>
    <w:uiPriority w:val="99"/>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2</Pages>
  <Words>970</Words>
  <Characters>1045</Characters>
  <Lines>9</Lines>
  <Paragraphs>2</Paragraphs>
  <TotalTime>96</TotalTime>
  <ScaleCrop>false</ScaleCrop>
  <LinksUpToDate>false</LinksUpToDate>
  <CharactersWithSpaces>1074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2018-02-27T02:45:00Z</dcterms:created>
  <dc:creator>徐德兰</dc:creator>
  <cp:lastModifiedBy>孟令波</cp:lastModifiedBy>
  <cp:lastPrinted>2018-05-02T08:38:00Z</cp:lastPrinted>
  <dcterms:modified xsi:type="dcterms:W3CDTF">2026-11-04T06:36:16Z</dcterms:modified>
  <cp:revision>212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D8C93F3B54C04844A3688FA44A623AF2</vt:lpwstr>
  </property>
  <property fmtid="{D5CDD505-2E9C-101B-9397-08002B2CF9AE}" pid="4" name="KSOTemplateDocerSaveRecord">
    <vt:lpwstr>eyJoZGlkIjoiM2MwNWQ5ZTQ0ZDk0YTI0NzE0MmY3ZTVkYzRjY2ZkOTYiLCJ1c2VySWQiOiI3ODkyODQzNDMifQ==</vt:lpwstr>
  </property>
</Properties>
</file>