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C25DA">
      <w:pPr>
        <w:pageBreakBefore w:val="0"/>
        <w:kinsoku/>
        <w:wordWrap/>
        <w:overflowPunct/>
        <w:topLinePunct w:val="0"/>
        <w:bidi w:val="0"/>
        <w:spacing w:beforeLines="20" w:line="660" w:lineRule="exact"/>
        <w:jc w:val="center"/>
        <w:rPr>
          <w:rFonts w:hint="default" w:ascii="Times New Roman" w:hAnsi="Times New Roman" w:cs="Times New Roman" w:eastAsiaTheme="minorEastAsia"/>
          <w:b/>
          <w:color w:val="auto"/>
          <w:spacing w:val="80"/>
          <w:sz w:val="48"/>
          <w:szCs w:val="48"/>
          <w:lang w:eastAsia="zh-CN"/>
        </w:rPr>
      </w:pPr>
    </w:p>
    <w:p w14:paraId="7FDC0356">
      <w:pPr>
        <w:pageBreakBefore w:val="0"/>
        <w:kinsoku/>
        <w:wordWrap/>
        <w:overflowPunct/>
        <w:topLinePunct w:val="0"/>
        <w:bidi w:val="0"/>
        <w:spacing w:beforeLines="20" w:line="660" w:lineRule="exact"/>
        <w:jc w:val="center"/>
        <w:rPr>
          <w:rFonts w:hint="default" w:ascii="Times New Roman" w:hAnsi="Times New Roman" w:cs="Times New Roman" w:eastAsiaTheme="minorEastAsia"/>
          <w:b/>
          <w:color w:val="auto"/>
          <w:spacing w:val="80"/>
          <w:sz w:val="48"/>
          <w:szCs w:val="48"/>
          <w:lang w:eastAsia="zh-CN"/>
        </w:rPr>
      </w:pPr>
    </w:p>
    <w:p w14:paraId="479D3F19">
      <w:pPr>
        <w:pageBreakBefore w:val="0"/>
        <w:kinsoku/>
        <w:wordWrap/>
        <w:overflowPunct/>
        <w:topLinePunct w:val="0"/>
        <w:bidi w:val="0"/>
        <w:spacing w:beforeLines="20" w:line="660" w:lineRule="exact"/>
        <w:jc w:val="center"/>
        <w:rPr>
          <w:rFonts w:hint="default" w:ascii="Times New Roman" w:hAnsi="Times New Roman" w:cs="Times New Roman" w:eastAsiaTheme="minorEastAsia"/>
          <w:b/>
          <w:color w:val="auto"/>
          <w:spacing w:val="80"/>
          <w:sz w:val="48"/>
          <w:szCs w:val="48"/>
          <w:lang w:eastAsia="zh-CN"/>
        </w:rPr>
      </w:pPr>
    </w:p>
    <w:p w14:paraId="495A4B1D">
      <w:pPr>
        <w:pageBreakBefore w:val="0"/>
        <w:kinsoku/>
        <w:wordWrap/>
        <w:overflowPunct/>
        <w:topLinePunct w:val="0"/>
        <w:bidi w:val="0"/>
        <w:jc w:val="center"/>
        <w:rPr>
          <w:rFonts w:hint="eastAsia" w:asciiTheme="minorEastAsia" w:hAnsiTheme="minorEastAsia" w:eastAsiaTheme="minorEastAsia" w:cstheme="minorEastAsia"/>
          <w:color w:val="auto"/>
          <w:sz w:val="48"/>
          <w:szCs w:val="48"/>
          <w:highlight w:val="none"/>
          <w:lang w:eastAsia="zh-CN"/>
        </w:rPr>
      </w:pPr>
      <w:r>
        <w:rPr>
          <w:rFonts w:hint="eastAsia" w:asciiTheme="minorEastAsia" w:hAnsiTheme="minorEastAsia" w:eastAsiaTheme="minorEastAsia" w:cstheme="minorEastAsia"/>
          <w:color w:val="auto"/>
          <w:sz w:val="48"/>
          <w:szCs w:val="48"/>
          <w:highlight w:val="none"/>
          <w:lang w:eastAsia="zh-CN"/>
        </w:rPr>
        <w:t>大兴安岭地区呼玛县JH项目鸥浦乡</w:t>
      </w:r>
    </w:p>
    <w:p w14:paraId="196E6770">
      <w:pPr>
        <w:pageBreakBefore w:val="0"/>
        <w:kinsoku/>
        <w:wordWrap/>
        <w:overflowPunct/>
        <w:topLinePunct w:val="0"/>
        <w:bidi w:val="0"/>
        <w:jc w:val="center"/>
        <w:rPr>
          <w:rFonts w:hint="eastAsia" w:asciiTheme="minorEastAsia" w:hAnsiTheme="minorEastAsia" w:eastAsiaTheme="minorEastAsia" w:cstheme="minorEastAsia"/>
          <w:color w:val="auto"/>
          <w:sz w:val="48"/>
          <w:szCs w:val="48"/>
          <w:highlight w:val="none"/>
          <w:lang w:eastAsia="zh-CN"/>
        </w:rPr>
      </w:pPr>
      <w:r>
        <w:rPr>
          <w:rFonts w:hint="eastAsia" w:asciiTheme="minorEastAsia" w:hAnsiTheme="minorEastAsia" w:eastAsiaTheme="minorEastAsia" w:cstheme="minorEastAsia"/>
          <w:color w:val="auto"/>
          <w:sz w:val="48"/>
          <w:szCs w:val="48"/>
          <w:highlight w:val="none"/>
          <w:lang w:eastAsia="zh-CN"/>
        </w:rPr>
        <w:t>配套采石场建筑用凝灰岩矿</w:t>
      </w:r>
    </w:p>
    <w:p w14:paraId="0BF35A77">
      <w:pPr>
        <w:pageBreakBefore w:val="0"/>
        <w:kinsoku/>
        <w:wordWrap/>
        <w:overflowPunct/>
        <w:topLinePunct w:val="0"/>
        <w:bidi w:val="0"/>
        <w:jc w:val="center"/>
        <w:rPr>
          <w:rFonts w:hint="eastAsia" w:ascii="黑体" w:hAnsi="黑体" w:eastAsia="黑体" w:cs="黑体"/>
          <w:color w:val="auto"/>
          <w:sz w:val="52"/>
          <w:szCs w:val="52"/>
          <w:lang w:val="en-US" w:eastAsia="zh-CN"/>
        </w:rPr>
      </w:pPr>
      <w:r>
        <w:rPr>
          <w:rFonts w:hint="eastAsia" w:ascii="黑体" w:hAnsi="黑体" w:eastAsia="黑体" w:cs="黑体"/>
          <w:color w:val="auto"/>
          <w:sz w:val="52"/>
          <w:szCs w:val="52"/>
          <w:lang w:val="en-US" w:eastAsia="zh-CN"/>
        </w:rPr>
        <w:t>开采方案</w:t>
      </w:r>
    </w:p>
    <w:p w14:paraId="0640B8FD">
      <w:pPr>
        <w:pageBreakBefore w:val="0"/>
        <w:tabs>
          <w:tab w:val="left" w:pos="5891"/>
        </w:tabs>
        <w:kinsoku/>
        <w:wordWrap/>
        <w:overflowPunct/>
        <w:topLinePunct w:val="0"/>
        <w:bidi w:val="0"/>
        <w:jc w:val="left"/>
        <w:rPr>
          <w:rFonts w:hint="default" w:ascii="Times New Roman" w:hAnsi="Times New Roman" w:cs="Times New Roman" w:eastAsiaTheme="minorEastAsia"/>
          <w:color w:val="auto"/>
          <w:sz w:val="32"/>
        </w:rPr>
      </w:pPr>
      <w:r>
        <w:rPr>
          <w:rFonts w:hint="default" w:ascii="Times New Roman" w:hAnsi="Times New Roman" w:cs="Times New Roman" w:eastAsiaTheme="minorEastAsia"/>
          <w:color w:val="auto"/>
          <w:sz w:val="32"/>
        </w:rPr>
        <w:tab/>
      </w:r>
    </w:p>
    <w:p w14:paraId="2581ABE5">
      <w:pPr>
        <w:pageBreakBefore w:val="0"/>
        <w:kinsoku/>
        <w:wordWrap/>
        <w:overflowPunct/>
        <w:topLinePunct w:val="0"/>
        <w:bidi w:val="0"/>
        <w:jc w:val="center"/>
        <w:rPr>
          <w:rFonts w:hint="default" w:ascii="Times New Roman" w:hAnsi="Times New Roman" w:cs="Times New Roman" w:eastAsiaTheme="minorEastAsia"/>
          <w:color w:val="auto"/>
          <w:sz w:val="32"/>
        </w:rPr>
      </w:pPr>
    </w:p>
    <w:p w14:paraId="6BE1E317">
      <w:pPr>
        <w:pageBreakBefore w:val="0"/>
        <w:kinsoku/>
        <w:wordWrap/>
        <w:overflowPunct/>
        <w:topLinePunct w:val="0"/>
        <w:bidi w:val="0"/>
        <w:jc w:val="center"/>
        <w:rPr>
          <w:rFonts w:hint="default" w:ascii="Times New Roman" w:hAnsi="Times New Roman" w:cs="Times New Roman" w:eastAsiaTheme="minorEastAsia"/>
          <w:color w:val="auto"/>
          <w:sz w:val="32"/>
        </w:rPr>
      </w:pPr>
    </w:p>
    <w:p w14:paraId="7C694CD9">
      <w:pPr>
        <w:pageBreakBefore w:val="0"/>
        <w:kinsoku/>
        <w:wordWrap/>
        <w:overflowPunct/>
        <w:topLinePunct w:val="0"/>
        <w:bidi w:val="0"/>
        <w:jc w:val="center"/>
        <w:rPr>
          <w:rFonts w:hint="default" w:ascii="Times New Roman" w:hAnsi="Times New Roman" w:cs="Times New Roman" w:eastAsiaTheme="minorEastAsia"/>
          <w:color w:val="auto"/>
          <w:sz w:val="32"/>
        </w:rPr>
      </w:pPr>
    </w:p>
    <w:p w14:paraId="159D3C20">
      <w:pPr>
        <w:pageBreakBefore w:val="0"/>
        <w:kinsoku/>
        <w:wordWrap/>
        <w:overflowPunct/>
        <w:topLinePunct w:val="0"/>
        <w:bidi w:val="0"/>
        <w:jc w:val="center"/>
        <w:rPr>
          <w:rFonts w:hint="default" w:ascii="Times New Roman" w:hAnsi="Times New Roman" w:cs="Times New Roman" w:eastAsiaTheme="minorEastAsia"/>
          <w:color w:val="auto"/>
          <w:sz w:val="32"/>
        </w:rPr>
      </w:pPr>
    </w:p>
    <w:p w14:paraId="1EEACC3B">
      <w:pPr>
        <w:pageBreakBefore w:val="0"/>
        <w:kinsoku/>
        <w:wordWrap/>
        <w:overflowPunct/>
        <w:topLinePunct w:val="0"/>
        <w:bidi w:val="0"/>
        <w:jc w:val="center"/>
        <w:rPr>
          <w:rFonts w:hint="default" w:ascii="Times New Roman" w:hAnsi="Times New Roman" w:cs="Times New Roman" w:eastAsiaTheme="minorEastAsia"/>
          <w:color w:val="auto"/>
          <w:sz w:val="32"/>
        </w:rPr>
      </w:pPr>
    </w:p>
    <w:p w14:paraId="57853058">
      <w:pPr>
        <w:pageBreakBefore w:val="0"/>
        <w:kinsoku/>
        <w:wordWrap/>
        <w:overflowPunct/>
        <w:topLinePunct w:val="0"/>
        <w:bidi w:val="0"/>
        <w:jc w:val="center"/>
        <w:rPr>
          <w:rFonts w:hint="default" w:ascii="Times New Roman" w:hAnsi="Times New Roman" w:cs="Times New Roman" w:eastAsiaTheme="minorEastAsia"/>
          <w:color w:val="auto"/>
          <w:sz w:val="32"/>
        </w:rPr>
      </w:pPr>
    </w:p>
    <w:p w14:paraId="6B63E2FE">
      <w:pPr>
        <w:pageBreakBefore w:val="0"/>
        <w:kinsoku/>
        <w:wordWrap/>
        <w:overflowPunct/>
        <w:topLinePunct w:val="0"/>
        <w:bidi w:val="0"/>
        <w:jc w:val="center"/>
        <w:rPr>
          <w:rFonts w:hint="default" w:ascii="Times New Roman" w:hAnsi="Times New Roman" w:cs="Times New Roman" w:eastAsiaTheme="minorEastAsia"/>
          <w:color w:val="auto"/>
          <w:sz w:val="32"/>
        </w:rPr>
      </w:pPr>
    </w:p>
    <w:p w14:paraId="064C37A3">
      <w:pPr>
        <w:pageBreakBefore w:val="0"/>
        <w:kinsoku/>
        <w:wordWrap/>
        <w:overflowPunct/>
        <w:topLinePunct w:val="0"/>
        <w:bidi w:val="0"/>
        <w:jc w:val="center"/>
        <w:rPr>
          <w:rFonts w:hint="default" w:ascii="Times New Roman" w:hAnsi="Times New Roman" w:cs="Times New Roman" w:eastAsiaTheme="minorEastAsia"/>
          <w:color w:val="auto"/>
          <w:sz w:val="32"/>
        </w:rPr>
      </w:pPr>
    </w:p>
    <w:p w14:paraId="539A0917">
      <w:pPr>
        <w:pStyle w:val="8"/>
        <w:pageBreakBefore w:val="0"/>
        <w:kinsoku/>
        <w:wordWrap/>
        <w:overflowPunct/>
        <w:topLinePunct w:val="0"/>
        <w:bidi w:val="0"/>
        <w:jc w:val="center"/>
        <w:rPr>
          <w:rFonts w:hint="default" w:ascii="Times New Roman" w:hAnsi="Times New Roman" w:cs="Times New Roman" w:eastAsiaTheme="minorEastAsia"/>
          <w:color w:val="auto"/>
          <w:sz w:val="32"/>
          <w:szCs w:val="30"/>
        </w:rPr>
      </w:pPr>
    </w:p>
    <w:p w14:paraId="5A950107">
      <w:pPr>
        <w:pStyle w:val="8"/>
        <w:pageBreakBefore w:val="0"/>
        <w:kinsoku/>
        <w:wordWrap/>
        <w:overflowPunct/>
        <w:topLinePunct w:val="0"/>
        <w:bidi w:val="0"/>
        <w:jc w:val="center"/>
        <w:rPr>
          <w:rFonts w:hint="default" w:ascii="Times New Roman" w:hAnsi="Times New Roman" w:cs="Times New Roman" w:eastAsiaTheme="minorEastAsia"/>
          <w:color w:val="auto"/>
          <w:sz w:val="32"/>
          <w:szCs w:val="30"/>
        </w:rPr>
      </w:pPr>
    </w:p>
    <w:p w14:paraId="5BFD6DF2">
      <w:pPr>
        <w:pStyle w:val="8"/>
        <w:pageBreakBefore w:val="0"/>
        <w:kinsoku/>
        <w:wordWrap/>
        <w:overflowPunct/>
        <w:topLinePunct w:val="0"/>
        <w:bidi w:val="0"/>
        <w:jc w:val="center"/>
        <w:rPr>
          <w:rFonts w:hint="default" w:ascii="Times New Roman" w:hAnsi="Times New Roman" w:cs="Times New Roman" w:eastAsiaTheme="minorEastAsia"/>
          <w:color w:val="auto"/>
          <w:sz w:val="32"/>
          <w:szCs w:val="30"/>
        </w:rPr>
      </w:pPr>
    </w:p>
    <w:p w14:paraId="6783BFAC">
      <w:pPr>
        <w:pageBreakBefore w:val="0"/>
        <w:kinsoku/>
        <w:wordWrap/>
        <w:overflowPunct/>
        <w:topLinePunct w:val="0"/>
        <w:bidi w:val="0"/>
        <w:jc w:val="center"/>
        <w:rPr>
          <w:rFonts w:hint="default" w:ascii="Times New Roman" w:hAnsi="Times New Roman" w:cs="Times New Roman" w:eastAsiaTheme="minorEastAsia"/>
          <w:b w:val="0"/>
          <w:bCs w:val="0"/>
          <w:color w:val="auto"/>
          <w:spacing w:val="-20"/>
          <w:sz w:val="44"/>
          <w:szCs w:val="44"/>
          <w:lang w:eastAsia="zh-CN"/>
        </w:rPr>
      </w:pPr>
      <w:r>
        <w:rPr>
          <w:rFonts w:hint="default" w:ascii="Times New Roman" w:hAnsi="Times New Roman" w:cs="Times New Roman" w:eastAsiaTheme="minorEastAsia"/>
          <w:b w:val="0"/>
          <w:bCs w:val="0"/>
          <w:color w:val="auto"/>
          <w:spacing w:val="-20"/>
          <w:sz w:val="44"/>
          <w:szCs w:val="44"/>
          <w:lang w:eastAsia="zh-CN"/>
        </w:rPr>
        <w:t>大兴安岭呼玛对俄经济贸易园区开发有限责任公司</w:t>
      </w:r>
    </w:p>
    <w:p w14:paraId="63C57809">
      <w:pPr>
        <w:pageBreakBefore w:val="0"/>
        <w:kinsoku/>
        <w:wordWrap/>
        <w:overflowPunct/>
        <w:topLinePunct w:val="0"/>
        <w:bidi w:val="0"/>
        <w:jc w:val="center"/>
        <w:rPr>
          <w:rFonts w:hint="default" w:ascii="Times New Roman" w:hAnsi="Times New Roman" w:cs="Times New Roman" w:eastAsiaTheme="minorEastAsia"/>
          <w:b w:val="0"/>
          <w:bCs w:val="0"/>
          <w:color w:val="auto"/>
          <w:sz w:val="44"/>
          <w:szCs w:val="44"/>
        </w:rPr>
      </w:pPr>
      <w:r>
        <w:rPr>
          <w:rFonts w:hint="default" w:ascii="Times New Roman" w:hAnsi="Times New Roman" w:cs="Times New Roman" w:eastAsiaTheme="minorEastAsia"/>
          <w:b w:val="0"/>
          <w:bCs w:val="0"/>
          <w:color w:val="auto"/>
          <w:sz w:val="44"/>
          <w:szCs w:val="44"/>
          <w:lang w:val="en-US" w:eastAsia="zh-CN"/>
        </w:rPr>
        <w:t>2026</w:t>
      </w:r>
      <w:r>
        <w:rPr>
          <w:rFonts w:hint="default" w:ascii="Times New Roman" w:hAnsi="Times New Roman" w:cs="Times New Roman" w:eastAsiaTheme="minorEastAsia"/>
          <w:b w:val="0"/>
          <w:bCs w:val="0"/>
          <w:color w:val="auto"/>
          <w:sz w:val="44"/>
          <w:szCs w:val="44"/>
          <w:lang w:eastAsia="zh-CN"/>
        </w:rPr>
        <w:t>年</w:t>
      </w:r>
      <w:r>
        <w:rPr>
          <w:rFonts w:hint="eastAsia" w:ascii="Times New Roman" w:hAnsi="Times New Roman" w:cs="Times New Roman"/>
          <w:b w:val="0"/>
          <w:bCs w:val="0"/>
          <w:color w:val="auto"/>
          <w:sz w:val="44"/>
          <w:szCs w:val="44"/>
          <w:lang w:val="en-US" w:eastAsia="zh-CN"/>
        </w:rPr>
        <w:t>10</w:t>
      </w:r>
      <w:r>
        <w:rPr>
          <w:rFonts w:hint="default" w:ascii="Times New Roman" w:hAnsi="Times New Roman" w:cs="Times New Roman" w:eastAsiaTheme="minorEastAsia"/>
          <w:b w:val="0"/>
          <w:bCs w:val="0"/>
          <w:color w:val="auto"/>
          <w:sz w:val="44"/>
          <w:szCs w:val="44"/>
          <w:lang w:eastAsia="zh-CN"/>
        </w:rPr>
        <w:t>月</w:t>
      </w:r>
    </w:p>
    <w:p w14:paraId="6D35AC47">
      <w:pPr>
        <w:pStyle w:val="8"/>
        <w:pageBreakBefore w:val="0"/>
        <w:kinsoku/>
        <w:wordWrap/>
        <w:overflowPunct/>
        <w:topLinePunct w:val="0"/>
        <w:bidi w:val="0"/>
        <w:jc w:val="center"/>
        <w:rPr>
          <w:rFonts w:hint="default" w:ascii="Times New Roman" w:hAnsi="Times New Roman" w:cs="Times New Roman" w:eastAsiaTheme="minorEastAsia"/>
          <w:b/>
          <w:color w:val="auto"/>
          <w:sz w:val="32"/>
          <w:szCs w:val="32"/>
        </w:rPr>
        <w:sectPr>
          <w:footerReference r:id="rId4" w:type="default"/>
          <w:headerReference r:id="rId3" w:type="even"/>
          <w:footerReference r:id="rId5" w:type="even"/>
          <w:pgSz w:w="11907" w:h="16840"/>
          <w:pgMar w:top="1304" w:right="1304" w:bottom="1304" w:left="1304" w:header="851" w:footer="964" w:gutter="340"/>
          <w:cols w:space="425" w:num="1"/>
          <w:titlePg/>
          <w:docGrid w:type="lines" w:linePitch="474" w:charSpace="2048"/>
        </w:sectPr>
      </w:pPr>
    </w:p>
    <w:p w14:paraId="28C53655">
      <w:pPr>
        <w:pageBreakBefore w:val="0"/>
        <w:kinsoku/>
        <w:wordWrap/>
        <w:overflowPunct/>
        <w:topLinePunct w:val="0"/>
        <w:bidi w:val="0"/>
        <w:spacing w:beforeLines="20" w:line="660" w:lineRule="exact"/>
        <w:jc w:val="center"/>
        <w:rPr>
          <w:rFonts w:hint="default" w:ascii="Times New Roman" w:hAnsi="Times New Roman" w:cs="Times New Roman" w:eastAsiaTheme="minorEastAsia"/>
          <w:b/>
          <w:color w:val="auto"/>
          <w:spacing w:val="80"/>
          <w:sz w:val="48"/>
          <w:szCs w:val="48"/>
          <w:lang w:eastAsia="zh-CN"/>
        </w:rPr>
      </w:pPr>
    </w:p>
    <w:p w14:paraId="34FDCB21">
      <w:pPr>
        <w:pageBreakBefore w:val="0"/>
        <w:kinsoku/>
        <w:wordWrap/>
        <w:overflowPunct/>
        <w:topLinePunct w:val="0"/>
        <w:bidi w:val="0"/>
        <w:spacing w:beforeLines="20" w:line="660" w:lineRule="exact"/>
        <w:jc w:val="center"/>
        <w:rPr>
          <w:rFonts w:hint="default" w:ascii="Times New Roman" w:hAnsi="Times New Roman" w:cs="Times New Roman" w:eastAsiaTheme="minorEastAsia"/>
          <w:b/>
          <w:color w:val="auto"/>
          <w:spacing w:val="80"/>
          <w:sz w:val="48"/>
          <w:szCs w:val="48"/>
          <w:lang w:eastAsia="zh-CN"/>
        </w:rPr>
      </w:pPr>
    </w:p>
    <w:p w14:paraId="5D7EB3BA">
      <w:pPr>
        <w:pageBreakBefore w:val="0"/>
        <w:kinsoku/>
        <w:wordWrap/>
        <w:overflowPunct/>
        <w:topLinePunct w:val="0"/>
        <w:bidi w:val="0"/>
        <w:jc w:val="center"/>
        <w:rPr>
          <w:rFonts w:hint="eastAsia" w:asciiTheme="minorEastAsia" w:hAnsiTheme="minorEastAsia" w:eastAsiaTheme="minorEastAsia" w:cstheme="minorEastAsia"/>
          <w:color w:val="auto"/>
          <w:sz w:val="48"/>
          <w:szCs w:val="48"/>
          <w:highlight w:val="none"/>
          <w:lang w:eastAsia="zh-CN"/>
        </w:rPr>
      </w:pPr>
      <w:r>
        <w:rPr>
          <w:rFonts w:hint="eastAsia" w:asciiTheme="minorEastAsia" w:hAnsiTheme="minorEastAsia" w:eastAsiaTheme="minorEastAsia" w:cstheme="minorEastAsia"/>
          <w:color w:val="auto"/>
          <w:sz w:val="48"/>
          <w:szCs w:val="48"/>
          <w:highlight w:val="none"/>
          <w:lang w:eastAsia="zh-CN"/>
        </w:rPr>
        <w:t>大兴安岭地区呼玛县JH项目鸥浦乡</w:t>
      </w:r>
    </w:p>
    <w:p w14:paraId="7519AE35">
      <w:pPr>
        <w:pageBreakBefore w:val="0"/>
        <w:kinsoku/>
        <w:wordWrap/>
        <w:overflowPunct/>
        <w:topLinePunct w:val="0"/>
        <w:bidi w:val="0"/>
        <w:jc w:val="center"/>
        <w:rPr>
          <w:rFonts w:hint="eastAsia" w:asciiTheme="minorEastAsia" w:hAnsiTheme="minorEastAsia" w:eastAsiaTheme="minorEastAsia" w:cstheme="minorEastAsia"/>
          <w:color w:val="auto"/>
          <w:sz w:val="48"/>
          <w:szCs w:val="48"/>
          <w:highlight w:val="none"/>
          <w:lang w:eastAsia="zh-CN"/>
        </w:rPr>
      </w:pPr>
      <w:r>
        <w:rPr>
          <w:rFonts w:hint="eastAsia" w:asciiTheme="minorEastAsia" w:hAnsiTheme="minorEastAsia" w:eastAsiaTheme="minorEastAsia" w:cstheme="minorEastAsia"/>
          <w:color w:val="auto"/>
          <w:sz w:val="48"/>
          <w:szCs w:val="48"/>
          <w:highlight w:val="none"/>
          <w:lang w:eastAsia="zh-CN"/>
        </w:rPr>
        <w:t>配套采石场建筑用凝灰岩矿</w:t>
      </w:r>
    </w:p>
    <w:p w14:paraId="40925129">
      <w:pPr>
        <w:pageBreakBefore w:val="0"/>
        <w:kinsoku/>
        <w:wordWrap/>
        <w:overflowPunct/>
        <w:topLinePunct w:val="0"/>
        <w:bidi w:val="0"/>
        <w:jc w:val="center"/>
        <w:rPr>
          <w:rFonts w:hint="eastAsia" w:ascii="黑体" w:hAnsi="黑体" w:eastAsia="黑体" w:cs="黑体"/>
          <w:color w:val="auto"/>
          <w:sz w:val="52"/>
          <w:szCs w:val="52"/>
          <w:lang w:val="en-US" w:eastAsia="zh-CN"/>
        </w:rPr>
      </w:pPr>
      <w:r>
        <w:rPr>
          <w:rFonts w:hint="eastAsia" w:ascii="黑体" w:hAnsi="黑体" w:eastAsia="黑体" w:cs="黑体"/>
          <w:color w:val="auto"/>
          <w:sz w:val="52"/>
          <w:szCs w:val="52"/>
          <w:lang w:val="en-US" w:eastAsia="zh-CN"/>
        </w:rPr>
        <w:t>开采方案</w:t>
      </w:r>
    </w:p>
    <w:p w14:paraId="21A08695">
      <w:pPr>
        <w:pageBreakBefore w:val="0"/>
        <w:kinsoku/>
        <w:wordWrap/>
        <w:overflowPunct/>
        <w:topLinePunct w:val="0"/>
        <w:bidi w:val="0"/>
        <w:rPr>
          <w:rFonts w:hint="default" w:ascii="Times New Roman" w:hAnsi="Times New Roman" w:cs="Times New Roman" w:eastAsiaTheme="minorEastAsia"/>
          <w:b/>
          <w:bCs/>
          <w:color w:val="auto"/>
          <w:sz w:val="44"/>
        </w:rPr>
      </w:pPr>
    </w:p>
    <w:p w14:paraId="4D0AF156">
      <w:pPr>
        <w:pageBreakBefore w:val="0"/>
        <w:kinsoku/>
        <w:wordWrap/>
        <w:overflowPunct/>
        <w:topLinePunct w:val="0"/>
        <w:bidi w:val="0"/>
        <w:rPr>
          <w:rFonts w:hint="default" w:ascii="Times New Roman" w:hAnsi="Times New Roman" w:cs="Times New Roman" w:eastAsiaTheme="minorEastAsia"/>
          <w:b/>
          <w:bCs/>
          <w:color w:val="auto"/>
          <w:sz w:val="44"/>
        </w:rPr>
      </w:pPr>
    </w:p>
    <w:p w14:paraId="681BC1CF">
      <w:pPr>
        <w:pageBreakBefore w:val="0"/>
        <w:tabs>
          <w:tab w:val="left" w:pos="5891"/>
        </w:tabs>
        <w:kinsoku/>
        <w:wordWrap/>
        <w:overflowPunct/>
        <w:topLinePunct w:val="0"/>
        <w:bidi w:val="0"/>
        <w:jc w:val="left"/>
        <w:rPr>
          <w:rFonts w:hint="default" w:ascii="Times New Roman" w:hAnsi="Times New Roman" w:cs="Times New Roman" w:eastAsiaTheme="minorEastAsia"/>
          <w:color w:val="auto"/>
          <w:sz w:val="32"/>
        </w:rPr>
      </w:pPr>
      <w:r>
        <w:rPr>
          <w:rFonts w:hint="default" w:ascii="Times New Roman" w:hAnsi="Times New Roman" w:cs="Times New Roman" w:eastAsiaTheme="minorEastAsia"/>
          <w:color w:val="auto"/>
          <w:sz w:val="32"/>
        </w:rPr>
        <w:tab/>
      </w:r>
    </w:p>
    <w:p w14:paraId="363C27E6">
      <w:pPr>
        <w:pageBreakBefore w:val="0"/>
        <w:kinsoku/>
        <w:wordWrap/>
        <w:overflowPunct/>
        <w:topLinePunct w:val="0"/>
        <w:bidi w:val="0"/>
        <w:jc w:val="center"/>
        <w:rPr>
          <w:rFonts w:hint="default" w:ascii="Times New Roman" w:hAnsi="Times New Roman" w:cs="Times New Roman" w:eastAsiaTheme="minorEastAsia"/>
          <w:color w:val="auto"/>
          <w:sz w:val="32"/>
        </w:rPr>
      </w:pPr>
    </w:p>
    <w:p w14:paraId="564502A2">
      <w:pPr>
        <w:pageBreakBefore w:val="0"/>
        <w:kinsoku/>
        <w:wordWrap/>
        <w:overflowPunct/>
        <w:topLinePunct w:val="0"/>
        <w:bidi w:val="0"/>
        <w:jc w:val="center"/>
        <w:rPr>
          <w:rFonts w:hint="default" w:ascii="Times New Roman" w:hAnsi="Times New Roman" w:cs="Times New Roman" w:eastAsiaTheme="minorEastAsia"/>
          <w:color w:val="auto"/>
          <w:sz w:val="32"/>
        </w:rPr>
      </w:pPr>
    </w:p>
    <w:p w14:paraId="2B214B47">
      <w:pPr>
        <w:pStyle w:val="8"/>
        <w:pageBreakBefore w:val="0"/>
        <w:kinsoku/>
        <w:wordWrap/>
        <w:overflowPunct/>
        <w:topLinePunct w:val="0"/>
        <w:bidi w:val="0"/>
        <w:jc w:val="center"/>
        <w:rPr>
          <w:rFonts w:hint="default" w:ascii="Times New Roman" w:hAnsi="Times New Roman" w:cs="Times New Roman" w:eastAsiaTheme="minorEastAsia"/>
          <w:color w:val="auto"/>
          <w:sz w:val="32"/>
          <w:szCs w:val="30"/>
        </w:rPr>
      </w:pPr>
    </w:p>
    <w:p w14:paraId="215211B9">
      <w:pPr>
        <w:pStyle w:val="8"/>
        <w:pageBreakBefore w:val="0"/>
        <w:kinsoku/>
        <w:wordWrap/>
        <w:overflowPunct/>
        <w:topLinePunct w:val="0"/>
        <w:bidi w:val="0"/>
        <w:jc w:val="center"/>
        <w:rPr>
          <w:rFonts w:hint="default" w:ascii="Times New Roman" w:hAnsi="Times New Roman" w:cs="Times New Roman" w:eastAsiaTheme="minorEastAsia"/>
          <w:color w:val="auto"/>
          <w:sz w:val="32"/>
          <w:szCs w:val="30"/>
        </w:rPr>
      </w:pPr>
    </w:p>
    <w:p w14:paraId="17701C14">
      <w:pPr>
        <w:pageBreakBefore w:val="0"/>
        <w:kinsoku/>
        <w:wordWrap/>
        <w:overflowPunct/>
        <w:topLinePunct w:val="0"/>
        <w:bidi w:val="0"/>
        <w:rPr>
          <w:rFonts w:hint="default" w:ascii="Times New Roman" w:hAnsi="Times New Roman" w:cs="Times New Roman" w:eastAsiaTheme="minorEastAsia"/>
          <w:color w:val="auto"/>
          <w:sz w:val="26"/>
        </w:rPr>
      </w:pPr>
    </w:p>
    <w:p w14:paraId="1CFA2C82">
      <w:pPr>
        <w:pageBreakBefore w:val="0"/>
        <w:kinsoku/>
        <w:wordWrap/>
        <w:overflowPunct/>
        <w:topLinePunct w:val="0"/>
        <w:bidi w:val="0"/>
        <w:rPr>
          <w:rFonts w:hint="default" w:ascii="Times New Roman" w:hAnsi="Times New Roman" w:cs="Times New Roman" w:eastAsiaTheme="minorEastAsia"/>
          <w:color w:val="auto"/>
          <w:sz w:val="26"/>
        </w:rPr>
      </w:pPr>
    </w:p>
    <w:p w14:paraId="5D782ABC">
      <w:pPr>
        <w:pageBreakBefore w:val="0"/>
        <w:kinsoku/>
        <w:wordWrap/>
        <w:overflowPunct/>
        <w:topLinePunct w:val="0"/>
        <w:bidi w:val="0"/>
        <w:spacing w:line="600" w:lineRule="exact"/>
        <w:rPr>
          <w:rFonts w:hint="default" w:ascii="Times New Roman" w:hAnsi="Times New Roman" w:cs="Times New Roman" w:eastAsiaTheme="minorEastAsia"/>
          <w:color w:val="auto"/>
          <w:spacing w:val="-16"/>
          <w:w w:val="100"/>
          <w:sz w:val="32"/>
          <w:szCs w:val="32"/>
          <w:lang w:eastAsia="zh-CN"/>
        </w:rPr>
      </w:pPr>
      <w:r>
        <w:rPr>
          <w:rFonts w:hint="default" w:ascii="Times New Roman" w:hAnsi="Times New Roman" w:cs="Times New Roman" w:eastAsiaTheme="minorEastAsia"/>
          <w:color w:val="auto"/>
          <w:w w:val="100"/>
          <w:sz w:val="32"/>
          <w:szCs w:val="32"/>
          <w:lang w:val="en-US" w:eastAsia="zh-CN"/>
        </w:rPr>
        <w:t>编制</w:t>
      </w:r>
      <w:r>
        <w:rPr>
          <w:rFonts w:hint="default" w:ascii="Times New Roman" w:hAnsi="Times New Roman" w:cs="Times New Roman" w:eastAsiaTheme="minorEastAsia"/>
          <w:color w:val="auto"/>
          <w:w w:val="100"/>
          <w:sz w:val="32"/>
          <w:szCs w:val="32"/>
        </w:rPr>
        <w:t>单位：</w:t>
      </w:r>
      <w:r>
        <w:rPr>
          <w:rFonts w:hint="default" w:ascii="Times New Roman" w:hAnsi="Times New Roman" w:cs="Times New Roman" w:eastAsiaTheme="minorEastAsia"/>
          <w:color w:val="auto"/>
          <w:w w:val="100"/>
          <w:sz w:val="32"/>
          <w:szCs w:val="32"/>
          <w:lang w:eastAsia="zh-CN"/>
        </w:rPr>
        <w:t>黑龙江省水工环地质勘查技术服务有限责任公司</w:t>
      </w:r>
    </w:p>
    <w:p w14:paraId="3B2C7372">
      <w:pPr>
        <w:pageBreakBefore w:val="0"/>
        <w:kinsoku/>
        <w:wordWrap/>
        <w:overflowPunct/>
        <w:topLinePunct w:val="0"/>
        <w:bidi w:val="0"/>
        <w:spacing w:line="600" w:lineRule="exact"/>
        <w:rPr>
          <w:rFonts w:hint="default" w:ascii="Times New Roman" w:hAnsi="Times New Roman" w:cs="Times New Roman" w:eastAsiaTheme="minorEastAsia"/>
          <w:color w:val="auto"/>
          <w:w w:val="100"/>
          <w:sz w:val="32"/>
          <w:szCs w:val="32"/>
          <w:vertAlign w:val="superscript"/>
        </w:rPr>
      </w:pPr>
      <w:r>
        <w:rPr>
          <w:rFonts w:hint="default" w:ascii="Times New Roman" w:hAnsi="Times New Roman" w:cs="Times New Roman" w:eastAsiaTheme="minorEastAsia"/>
          <w:color w:val="auto"/>
          <w:spacing w:val="38"/>
          <w:w w:val="100"/>
          <w:sz w:val="32"/>
          <w:szCs w:val="32"/>
          <w:lang w:val="en-US" w:eastAsia="zh-CN"/>
        </w:rPr>
        <w:t>法定代表人</w:t>
      </w:r>
      <w:r>
        <w:rPr>
          <w:rFonts w:hint="default" w:ascii="Times New Roman" w:hAnsi="Times New Roman" w:cs="Times New Roman" w:eastAsiaTheme="minorEastAsia"/>
          <w:color w:val="auto"/>
          <w:w w:val="100"/>
          <w:sz w:val="32"/>
          <w:szCs w:val="32"/>
        </w:rPr>
        <w:t>：</w:t>
      </w:r>
      <w:r>
        <w:rPr>
          <w:rFonts w:hint="default" w:ascii="Times New Roman" w:hAnsi="Times New Roman" w:cs="Times New Roman" w:eastAsiaTheme="minorEastAsia"/>
          <w:color w:val="auto"/>
          <w:w w:val="100"/>
          <w:sz w:val="32"/>
          <w:szCs w:val="32"/>
          <w:lang w:val="en-US" w:eastAsia="zh-CN"/>
        </w:rPr>
        <w:t xml:space="preserve"> </w:t>
      </w:r>
      <w:r>
        <w:rPr>
          <w:rFonts w:hint="default" w:ascii="Times New Roman" w:hAnsi="Times New Roman" w:cs="Times New Roman" w:eastAsiaTheme="minorEastAsia"/>
          <w:color w:val="auto"/>
          <w:w w:val="100"/>
          <w:sz w:val="32"/>
          <w:szCs w:val="32"/>
          <w:lang w:val="en-US" w:eastAsia="zh-CN"/>
        </w:rPr>
        <w:tab/>
      </w:r>
      <w:r>
        <w:rPr>
          <w:rFonts w:hint="default" w:ascii="Times New Roman" w:hAnsi="Times New Roman" w:cs="Times New Roman"/>
          <w:color w:val="auto"/>
          <w:spacing w:val="38"/>
          <w:w w:val="100"/>
          <w:sz w:val="32"/>
          <w:szCs w:val="32"/>
          <w:lang w:val="en-US" w:eastAsia="zh-CN"/>
        </w:rPr>
        <w:t xml:space="preserve">刘显友   </w:t>
      </w:r>
    </w:p>
    <w:p w14:paraId="0D0A2CED">
      <w:pPr>
        <w:pageBreakBefore w:val="0"/>
        <w:kinsoku/>
        <w:wordWrap/>
        <w:overflowPunct/>
        <w:topLinePunct w:val="0"/>
        <w:bidi w:val="0"/>
        <w:spacing w:line="600" w:lineRule="exact"/>
        <w:rPr>
          <w:rFonts w:hint="default" w:ascii="Times New Roman" w:hAnsi="Times New Roman" w:cs="Times New Roman" w:eastAsiaTheme="minorEastAsia"/>
          <w:color w:val="auto"/>
          <w:w w:val="100"/>
          <w:sz w:val="32"/>
          <w:szCs w:val="32"/>
          <w:vertAlign w:val="superscript"/>
        </w:rPr>
      </w:pPr>
      <w:r>
        <w:rPr>
          <w:rFonts w:hint="default" w:ascii="Times New Roman" w:hAnsi="Times New Roman" w:cs="Times New Roman" w:eastAsiaTheme="minorEastAsia"/>
          <w:color w:val="auto"/>
          <w:spacing w:val="38"/>
          <w:w w:val="100"/>
          <w:sz w:val="32"/>
          <w:szCs w:val="32"/>
          <w:lang w:val="en-US" w:eastAsia="zh-CN"/>
        </w:rPr>
        <w:t>总工程师</w:t>
      </w:r>
      <w:r>
        <w:rPr>
          <w:rFonts w:hint="default" w:ascii="Times New Roman" w:hAnsi="Times New Roman" w:cs="Times New Roman" w:eastAsiaTheme="minorEastAsia"/>
          <w:color w:val="auto"/>
          <w:w w:val="100"/>
          <w:sz w:val="32"/>
          <w:szCs w:val="32"/>
        </w:rPr>
        <w:t>：</w:t>
      </w:r>
      <w:r>
        <w:rPr>
          <w:rFonts w:hint="default" w:ascii="Times New Roman" w:hAnsi="Times New Roman" w:cs="Times New Roman" w:eastAsiaTheme="minorEastAsia"/>
          <w:color w:val="auto"/>
          <w:w w:val="100"/>
          <w:sz w:val="32"/>
          <w:szCs w:val="32"/>
          <w:lang w:val="en-US" w:eastAsia="zh-CN"/>
        </w:rPr>
        <w:t xml:space="preserve">  </w:t>
      </w:r>
      <w:r>
        <w:rPr>
          <w:rFonts w:hint="default" w:ascii="Times New Roman" w:hAnsi="Times New Roman" w:cs="Times New Roman" w:eastAsiaTheme="minorEastAsia"/>
          <w:color w:val="auto"/>
          <w:w w:val="100"/>
          <w:sz w:val="32"/>
          <w:szCs w:val="32"/>
          <w:lang w:val="en-US" w:eastAsia="zh-CN"/>
        </w:rPr>
        <w:tab/>
      </w:r>
      <w:r>
        <w:rPr>
          <w:rFonts w:hint="eastAsia" w:ascii="Times New Roman" w:hAnsi="Times New Roman" w:cs="Times New Roman"/>
          <w:color w:val="auto"/>
          <w:spacing w:val="38"/>
          <w:w w:val="100"/>
          <w:sz w:val="32"/>
          <w:szCs w:val="32"/>
          <w:lang w:val="en-US" w:eastAsia="zh-CN"/>
        </w:rPr>
        <w:t>曲振平</w:t>
      </w:r>
      <w:r>
        <w:rPr>
          <w:rFonts w:hint="default" w:ascii="Times New Roman" w:hAnsi="Times New Roman" w:cs="Times New Roman"/>
          <w:color w:val="auto"/>
          <w:spacing w:val="38"/>
          <w:w w:val="100"/>
          <w:sz w:val="32"/>
          <w:szCs w:val="32"/>
          <w:lang w:val="en-US" w:eastAsia="zh-CN"/>
        </w:rPr>
        <w:t xml:space="preserve">   </w:t>
      </w:r>
    </w:p>
    <w:p w14:paraId="37EBB841">
      <w:pPr>
        <w:pageBreakBefore w:val="0"/>
        <w:kinsoku/>
        <w:wordWrap/>
        <w:overflowPunct/>
        <w:topLinePunct w:val="0"/>
        <w:bidi w:val="0"/>
        <w:spacing w:line="600" w:lineRule="exact"/>
        <w:rPr>
          <w:rFonts w:hint="default" w:ascii="Times New Roman" w:hAnsi="Times New Roman" w:cs="Times New Roman" w:eastAsiaTheme="minorEastAsia"/>
          <w:color w:val="auto"/>
          <w:w w:val="100"/>
          <w:sz w:val="32"/>
          <w:szCs w:val="32"/>
          <w:lang w:eastAsia="zh-CN"/>
        </w:rPr>
      </w:pPr>
      <w:r>
        <w:rPr>
          <w:rFonts w:hint="default" w:ascii="Times New Roman" w:hAnsi="Times New Roman" w:cs="Times New Roman" w:eastAsiaTheme="minorEastAsia"/>
          <w:color w:val="auto"/>
          <w:spacing w:val="38"/>
          <w:w w:val="100"/>
          <w:sz w:val="32"/>
          <w:szCs w:val="32"/>
          <w:lang w:val="en-US" w:eastAsia="zh-CN"/>
        </w:rPr>
        <w:t>项目负责人</w:t>
      </w:r>
      <w:r>
        <w:rPr>
          <w:rFonts w:hint="default" w:ascii="Times New Roman" w:hAnsi="Times New Roman" w:cs="Times New Roman" w:eastAsiaTheme="minorEastAsia"/>
          <w:color w:val="auto"/>
          <w:w w:val="100"/>
          <w:sz w:val="32"/>
          <w:szCs w:val="32"/>
        </w:rPr>
        <w:t>：</w:t>
      </w:r>
      <w:r>
        <w:rPr>
          <w:rFonts w:hint="default" w:ascii="Times New Roman" w:hAnsi="Times New Roman" w:cs="Times New Roman"/>
          <w:color w:val="auto"/>
          <w:spacing w:val="38"/>
          <w:w w:val="100"/>
          <w:sz w:val="32"/>
          <w:szCs w:val="32"/>
          <w:lang w:val="en-US" w:eastAsia="zh-CN"/>
        </w:rPr>
        <w:tab/>
      </w:r>
      <w:r>
        <w:rPr>
          <w:rFonts w:hint="eastAsia" w:ascii="Times New Roman" w:hAnsi="Times New Roman" w:cs="Times New Roman"/>
          <w:color w:val="auto"/>
          <w:spacing w:val="38"/>
          <w:w w:val="100"/>
          <w:sz w:val="32"/>
          <w:szCs w:val="32"/>
          <w:lang w:val="en-US" w:eastAsia="zh-CN"/>
        </w:rPr>
        <w:t>曲振平</w:t>
      </w:r>
    </w:p>
    <w:p w14:paraId="6B22C565">
      <w:pPr>
        <w:pageBreakBefore w:val="0"/>
        <w:kinsoku/>
        <w:wordWrap/>
        <w:overflowPunct/>
        <w:topLinePunct w:val="0"/>
        <w:bidi w:val="0"/>
        <w:spacing w:line="600" w:lineRule="exact"/>
        <w:rPr>
          <w:rFonts w:hint="default" w:ascii="Times New Roman" w:hAnsi="Times New Roman" w:cs="Times New Roman" w:eastAsiaTheme="minorEastAsia"/>
          <w:color w:val="auto"/>
          <w:w w:val="100"/>
          <w:sz w:val="32"/>
          <w:szCs w:val="32"/>
          <w:lang w:val="en-US" w:eastAsia="zh-CN"/>
        </w:rPr>
      </w:pPr>
      <w:r>
        <w:rPr>
          <w:rFonts w:hint="default" w:ascii="Times New Roman" w:hAnsi="Times New Roman" w:cs="Times New Roman" w:eastAsiaTheme="minorEastAsia"/>
          <w:color w:val="auto"/>
          <w:spacing w:val="38"/>
          <w:w w:val="100"/>
          <w:sz w:val="32"/>
          <w:szCs w:val="32"/>
          <w:lang w:val="en-US" w:eastAsia="zh-CN"/>
        </w:rPr>
        <w:t>主要编制人员：</w:t>
      </w:r>
      <w:r>
        <w:rPr>
          <w:rFonts w:hint="eastAsia" w:ascii="Times New Roman" w:hAnsi="Times New Roman" w:cs="Times New Roman"/>
          <w:color w:val="auto"/>
          <w:spacing w:val="38"/>
          <w:w w:val="100"/>
          <w:sz w:val="32"/>
          <w:szCs w:val="32"/>
          <w:lang w:val="en-US" w:eastAsia="zh-CN"/>
        </w:rPr>
        <w:t xml:space="preserve">黄小斌  </w:t>
      </w:r>
      <w:r>
        <w:rPr>
          <w:rFonts w:hint="default" w:ascii="Times New Roman" w:hAnsi="Times New Roman" w:cs="Times New Roman" w:eastAsiaTheme="minorEastAsia"/>
          <w:color w:val="auto"/>
          <w:spacing w:val="38"/>
          <w:w w:val="100"/>
          <w:sz w:val="32"/>
          <w:szCs w:val="32"/>
          <w:lang w:val="en-US" w:eastAsia="zh-CN"/>
        </w:rPr>
        <w:t>高</w:t>
      </w:r>
      <w:r>
        <w:rPr>
          <w:rFonts w:hint="default" w:ascii="Times New Roman" w:hAnsi="Times New Roman" w:cs="Times New Roman" w:eastAsiaTheme="minorEastAsia"/>
          <w:color w:val="auto"/>
          <w:w w:val="100"/>
          <w:sz w:val="32"/>
          <w:szCs w:val="32"/>
          <w:lang w:val="en-US" w:eastAsia="zh-CN"/>
        </w:rPr>
        <w:t xml:space="preserve">  磊</w:t>
      </w:r>
    </w:p>
    <w:p w14:paraId="6F1A970E">
      <w:pPr>
        <w:pageBreakBefore w:val="0"/>
        <w:kinsoku/>
        <w:wordWrap/>
        <w:overflowPunct/>
        <w:topLinePunct w:val="0"/>
        <w:bidi w:val="0"/>
        <w:rPr>
          <w:rFonts w:hint="default" w:ascii="Times New Roman" w:hAnsi="Times New Roman" w:cs="Times New Roman" w:eastAsiaTheme="minorEastAsia"/>
          <w:color w:val="auto"/>
          <w:w w:val="100"/>
          <w:sz w:val="32"/>
          <w:szCs w:val="32"/>
          <w:lang w:eastAsia="zh-CN"/>
        </w:rPr>
        <w:sectPr>
          <w:headerReference r:id="rId6" w:type="default"/>
          <w:footerReference r:id="rId7" w:type="default"/>
          <w:footerReference r:id="rId8" w:type="even"/>
          <w:pgSz w:w="11906" w:h="16838"/>
          <w:pgMar w:top="1440" w:right="1605" w:bottom="1440" w:left="1797" w:header="851" w:footer="992" w:gutter="0"/>
          <w:pgNumType w:start="1"/>
          <w:cols w:space="720" w:num="1"/>
          <w:titlePg/>
          <w:docGrid w:type="lines" w:linePitch="312" w:charSpace="0"/>
        </w:sectPr>
      </w:pPr>
    </w:p>
    <w:p w14:paraId="276E9E89">
      <w:pPr>
        <w:pageBreakBefore w:val="0"/>
        <w:kinsoku/>
        <w:wordWrap/>
        <w:overflowPunct/>
        <w:topLinePunct w:val="0"/>
        <w:bidi w:val="0"/>
        <w:spacing w:line="240" w:lineRule="auto"/>
        <w:jc w:val="center"/>
        <w:rPr>
          <w:rFonts w:hint="default" w:ascii="Times New Roman" w:hAnsi="Times New Roman" w:cs="Times New Roman" w:eastAsiaTheme="minorEastAsia"/>
          <w:color w:val="auto"/>
          <w:sz w:val="28"/>
          <w:szCs w:val="28"/>
          <w:highlight w:val="none"/>
        </w:rPr>
      </w:pPr>
    </w:p>
    <w:p w14:paraId="3C0C7427">
      <w:pPr>
        <w:pageBreakBefore w:val="0"/>
        <w:kinsoku/>
        <w:wordWrap/>
        <w:overflowPunct/>
        <w:topLinePunct w:val="0"/>
        <w:bidi w:val="0"/>
        <w:spacing w:line="360" w:lineRule="auto"/>
        <w:jc w:val="center"/>
        <w:rPr>
          <w:rFonts w:hint="default" w:ascii="Times New Roman" w:hAnsi="Times New Roman" w:cs="Times New Roman" w:eastAsiaTheme="minorEastAsia"/>
          <w:b w:val="0"/>
          <w:color w:val="auto"/>
          <w:sz w:val="32"/>
          <w:szCs w:val="32"/>
          <w:highlight w:val="none"/>
        </w:rPr>
      </w:pPr>
      <w:r>
        <w:rPr>
          <w:rFonts w:hint="default" w:ascii="Times New Roman" w:hAnsi="Times New Roman" w:cs="Times New Roman" w:eastAsiaTheme="minorEastAsia"/>
          <w:b w:val="0"/>
          <w:color w:val="auto"/>
          <w:sz w:val="32"/>
          <w:szCs w:val="32"/>
          <w:highlight w:val="none"/>
        </w:rPr>
        <w:t>开采方案编写人员名单表</w:t>
      </w: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3"/>
        <w:gridCol w:w="1663"/>
        <w:gridCol w:w="1663"/>
        <w:gridCol w:w="1663"/>
        <w:gridCol w:w="1664"/>
      </w:tblGrid>
      <w:tr w14:paraId="59838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8316" w:type="dxa"/>
            <w:gridSpan w:val="5"/>
            <w:noWrap w:val="0"/>
            <w:vAlign w:val="top"/>
          </w:tcPr>
          <w:p w14:paraId="27CB0B94">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z w:val="28"/>
                <w:szCs w:val="28"/>
                <w:highlight w:val="none"/>
              </w:rPr>
            </w:pPr>
            <w:r>
              <w:rPr>
                <w:rFonts w:hint="default" w:ascii="Times New Roman" w:hAnsi="Times New Roman" w:cs="Times New Roman" w:eastAsiaTheme="minorEastAsia"/>
                <w:snapToGrid w:val="0"/>
                <w:color w:val="auto"/>
                <w:sz w:val="28"/>
                <w:szCs w:val="28"/>
                <w:highlight w:val="none"/>
              </w:rPr>
              <w:t>方案负责人</w:t>
            </w:r>
          </w:p>
        </w:tc>
      </w:tr>
      <w:tr w14:paraId="744ED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663" w:type="dxa"/>
            <w:noWrap w:val="0"/>
            <w:vAlign w:val="top"/>
          </w:tcPr>
          <w:p w14:paraId="740D6552">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pacing w:val="6"/>
                <w:sz w:val="28"/>
                <w:szCs w:val="28"/>
                <w:highlight w:val="none"/>
              </w:rPr>
            </w:pPr>
            <w:r>
              <w:rPr>
                <w:rFonts w:hint="default" w:ascii="Times New Roman" w:hAnsi="Times New Roman" w:cs="Times New Roman" w:eastAsiaTheme="minorEastAsia"/>
                <w:snapToGrid w:val="0"/>
                <w:color w:val="auto"/>
                <w:spacing w:val="6"/>
                <w:sz w:val="28"/>
                <w:szCs w:val="28"/>
                <w:highlight w:val="none"/>
              </w:rPr>
              <w:t>姓名</w:t>
            </w:r>
          </w:p>
        </w:tc>
        <w:tc>
          <w:tcPr>
            <w:tcW w:w="1663" w:type="dxa"/>
            <w:noWrap w:val="0"/>
            <w:vAlign w:val="center"/>
          </w:tcPr>
          <w:p w14:paraId="4AD55D2E">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pacing w:val="6"/>
                <w:sz w:val="28"/>
                <w:szCs w:val="28"/>
                <w:highlight w:val="none"/>
              </w:rPr>
            </w:pPr>
            <w:r>
              <w:rPr>
                <w:rFonts w:hint="default" w:ascii="Times New Roman" w:hAnsi="Times New Roman" w:cs="Times New Roman" w:eastAsiaTheme="minorEastAsia"/>
                <w:snapToGrid w:val="0"/>
                <w:color w:val="auto"/>
                <w:spacing w:val="6"/>
                <w:sz w:val="28"/>
                <w:szCs w:val="28"/>
                <w:highlight w:val="none"/>
              </w:rPr>
              <w:t>职务</w:t>
            </w:r>
          </w:p>
        </w:tc>
        <w:tc>
          <w:tcPr>
            <w:tcW w:w="1663" w:type="dxa"/>
            <w:noWrap w:val="0"/>
            <w:vAlign w:val="center"/>
          </w:tcPr>
          <w:p w14:paraId="403B7F76">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pacing w:val="7"/>
                <w:sz w:val="28"/>
                <w:szCs w:val="28"/>
                <w:highlight w:val="none"/>
              </w:rPr>
            </w:pPr>
            <w:r>
              <w:rPr>
                <w:rFonts w:hint="default" w:ascii="Times New Roman" w:hAnsi="Times New Roman" w:cs="Times New Roman" w:eastAsiaTheme="minorEastAsia"/>
                <w:snapToGrid w:val="0"/>
                <w:color w:val="auto"/>
                <w:spacing w:val="7"/>
                <w:sz w:val="28"/>
                <w:szCs w:val="28"/>
                <w:highlight w:val="none"/>
              </w:rPr>
              <w:t>专业</w:t>
            </w:r>
          </w:p>
        </w:tc>
        <w:tc>
          <w:tcPr>
            <w:tcW w:w="1663" w:type="dxa"/>
            <w:noWrap w:val="0"/>
            <w:vAlign w:val="center"/>
          </w:tcPr>
          <w:p w14:paraId="037EF9DB">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pacing w:val="5"/>
                <w:sz w:val="28"/>
                <w:szCs w:val="28"/>
                <w:highlight w:val="none"/>
              </w:rPr>
            </w:pPr>
            <w:r>
              <w:rPr>
                <w:rFonts w:hint="default" w:ascii="Times New Roman" w:hAnsi="Times New Roman" w:cs="Times New Roman" w:eastAsiaTheme="minorEastAsia"/>
                <w:snapToGrid w:val="0"/>
                <w:color w:val="auto"/>
                <w:spacing w:val="5"/>
                <w:sz w:val="28"/>
                <w:szCs w:val="28"/>
                <w:highlight w:val="none"/>
              </w:rPr>
              <w:t>技术职称</w:t>
            </w:r>
          </w:p>
        </w:tc>
        <w:tc>
          <w:tcPr>
            <w:tcW w:w="1664" w:type="dxa"/>
            <w:noWrap w:val="0"/>
            <w:vAlign w:val="center"/>
          </w:tcPr>
          <w:p w14:paraId="4DF8B24A">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bCs/>
                <w:snapToGrid w:val="0"/>
                <w:color w:val="auto"/>
                <w:spacing w:val="17"/>
                <w:sz w:val="28"/>
                <w:szCs w:val="28"/>
                <w:highlight w:val="none"/>
              </w:rPr>
            </w:pPr>
            <w:r>
              <w:rPr>
                <w:rFonts w:hint="default" w:ascii="Times New Roman" w:hAnsi="Times New Roman" w:cs="Times New Roman" w:eastAsiaTheme="minorEastAsia"/>
                <w:bCs/>
                <w:snapToGrid w:val="0"/>
                <w:color w:val="auto"/>
                <w:spacing w:val="17"/>
                <w:sz w:val="28"/>
                <w:szCs w:val="28"/>
                <w:highlight w:val="none"/>
              </w:rPr>
              <w:t>签名</w:t>
            </w:r>
          </w:p>
        </w:tc>
      </w:tr>
      <w:tr w14:paraId="47673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663" w:type="dxa"/>
            <w:noWrap w:val="0"/>
            <w:vAlign w:val="top"/>
          </w:tcPr>
          <w:p w14:paraId="08869DFD">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pacing w:val="6"/>
                <w:sz w:val="28"/>
                <w:szCs w:val="28"/>
                <w:highlight w:val="none"/>
                <w:lang w:val="en-US"/>
              </w:rPr>
            </w:pPr>
            <w:r>
              <w:rPr>
                <w:rFonts w:hint="eastAsia" w:ascii="Times New Roman" w:hAnsi="Times New Roman" w:cs="Times New Roman"/>
                <w:color w:val="auto"/>
                <w:w w:val="100"/>
                <w:sz w:val="28"/>
                <w:szCs w:val="28"/>
                <w:lang w:val="en-US" w:eastAsia="zh-CN"/>
              </w:rPr>
              <w:t>曲振平</w:t>
            </w:r>
          </w:p>
        </w:tc>
        <w:tc>
          <w:tcPr>
            <w:tcW w:w="1663" w:type="dxa"/>
            <w:noWrap w:val="0"/>
            <w:vAlign w:val="center"/>
          </w:tcPr>
          <w:p w14:paraId="324C5BC0">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pacing w:val="6"/>
                <w:sz w:val="28"/>
                <w:szCs w:val="28"/>
                <w:highlight w:val="none"/>
                <w:lang w:val="en-US" w:eastAsia="zh-CN"/>
              </w:rPr>
            </w:pPr>
            <w:r>
              <w:rPr>
                <w:rFonts w:hint="eastAsia" w:ascii="Times New Roman" w:hAnsi="Times New Roman" w:cs="Times New Roman"/>
                <w:snapToGrid w:val="0"/>
                <w:color w:val="auto"/>
                <w:spacing w:val="6"/>
                <w:sz w:val="28"/>
                <w:szCs w:val="28"/>
                <w:highlight w:val="none"/>
                <w:lang w:val="en-US" w:eastAsia="zh-CN"/>
              </w:rPr>
              <w:t>技术负责</w:t>
            </w:r>
          </w:p>
        </w:tc>
        <w:tc>
          <w:tcPr>
            <w:tcW w:w="1663" w:type="dxa"/>
            <w:noWrap w:val="0"/>
            <w:vAlign w:val="center"/>
          </w:tcPr>
          <w:p w14:paraId="41595559">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pacing w:val="7"/>
                <w:sz w:val="28"/>
                <w:szCs w:val="28"/>
                <w:highlight w:val="none"/>
                <w:lang w:val="en-US" w:eastAsia="zh-CN"/>
              </w:rPr>
            </w:pPr>
            <w:r>
              <w:rPr>
                <w:rFonts w:hint="eastAsia" w:ascii="Times New Roman" w:hAnsi="Times New Roman" w:cs="Times New Roman"/>
                <w:snapToGrid w:val="0"/>
                <w:color w:val="auto"/>
                <w:spacing w:val="7"/>
                <w:sz w:val="28"/>
                <w:szCs w:val="28"/>
                <w:highlight w:val="none"/>
                <w:lang w:val="en-US" w:eastAsia="zh-CN"/>
              </w:rPr>
              <w:t>水工环</w:t>
            </w:r>
          </w:p>
        </w:tc>
        <w:tc>
          <w:tcPr>
            <w:tcW w:w="1663" w:type="dxa"/>
            <w:noWrap w:val="0"/>
            <w:vAlign w:val="center"/>
          </w:tcPr>
          <w:p w14:paraId="469BF3A1">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pacing w:val="5"/>
                <w:sz w:val="28"/>
                <w:szCs w:val="28"/>
                <w:highlight w:val="none"/>
                <w:lang w:val="en-US" w:eastAsia="zh-CN"/>
              </w:rPr>
            </w:pPr>
            <w:r>
              <w:rPr>
                <w:rFonts w:hint="eastAsia" w:ascii="Times New Roman" w:hAnsi="Times New Roman" w:cs="Times New Roman"/>
                <w:snapToGrid w:val="0"/>
                <w:color w:val="auto"/>
                <w:spacing w:val="5"/>
                <w:sz w:val="28"/>
                <w:szCs w:val="28"/>
                <w:highlight w:val="none"/>
                <w:lang w:val="en-US" w:eastAsia="zh-CN"/>
              </w:rPr>
              <w:t>高级工程师</w:t>
            </w:r>
          </w:p>
        </w:tc>
        <w:tc>
          <w:tcPr>
            <w:tcW w:w="1664" w:type="dxa"/>
            <w:noWrap w:val="0"/>
            <w:vAlign w:val="center"/>
          </w:tcPr>
          <w:p w14:paraId="5D3F0E8A">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bCs/>
                <w:snapToGrid w:val="0"/>
                <w:color w:val="auto"/>
                <w:spacing w:val="17"/>
                <w:sz w:val="28"/>
                <w:szCs w:val="28"/>
                <w:highlight w:val="none"/>
              </w:rPr>
            </w:pPr>
          </w:p>
        </w:tc>
      </w:tr>
      <w:tr w14:paraId="0B18D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8316" w:type="dxa"/>
            <w:gridSpan w:val="5"/>
            <w:noWrap w:val="0"/>
            <w:vAlign w:val="top"/>
          </w:tcPr>
          <w:p w14:paraId="21A6E600">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bCs/>
                <w:snapToGrid w:val="0"/>
                <w:color w:val="auto"/>
                <w:spacing w:val="17"/>
                <w:sz w:val="28"/>
                <w:szCs w:val="28"/>
                <w:highlight w:val="none"/>
              </w:rPr>
            </w:pPr>
            <w:r>
              <w:rPr>
                <w:rFonts w:hint="default" w:ascii="Times New Roman" w:hAnsi="Times New Roman" w:cs="Times New Roman" w:eastAsiaTheme="minorEastAsia"/>
                <w:bCs/>
                <w:snapToGrid w:val="0"/>
                <w:color w:val="auto"/>
                <w:spacing w:val="17"/>
                <w:sz w:val="28"/>
                <w:szCs w:val="28"/>
                <w:highlight w:val="none"/>
              </w:rPr>
              <w:t>方案主要编写人员</w:t>
            </w:r>
          </w:p>
        </w:tc>
      </w:tr>
      <w:tr w14:paraId="7D79B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663" w:type="dxa"/>
            <w:noWrap w:val="0"/>
            <w:vAlign w:val="top"/>
          </w:tcPr>
          <w:p w14:paraId="6568B315">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pacing w:val="6"/>
                <w:sz w:val="28"/>
                <w:szCs w:val="28"/>
                <w:highlight w:val="none"/>
              </w:rPr>
            </w:pPr>
            <w:r>
              <w:rPr>
                <w:rFonts w:hint="default" w:ascii="Times New Roman" w:hAnsi="Times New Roman" w:cs="Times New Roman" w:eastAsiaTheme="minorEastAsia"/>
                <w:snapToGrid w:val="0"/>
                <w:color w:val="auto"/>
                <w:spacing w:val="6"/>
                <w:sz w:val="28"/>
                <w:szCs w:val="28"/>
                <w:highlight w:val="none"/>
              </w:rPr>
              <w:t>序号</w:t>
            </w:r>
          </w:p>
        </w:tc>
        <w:tc>
          <w:tcPr>
            <w:tcW w:w="1663" w:type="dxa"/>
            <w:noWrap w:val="0"/>
            <w:vAlign w:val="center"/>
          </w:tcPr>
          <w:p w14:paraId="3FC8F61F">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pacing w:val="6"/>
                <w:sz w:val="28"/>
                <w:szCs w:val="28"/>
                <w:highlight w:val="none"/>
              </w:rPr>
            </w:pPr>
            <w:r>
              <w:rPr>
                <w:rFonts w:hint="default" w:ascii="Times New Roman" w:hAnsi="Times New Roman" w:cs="Times New Roman" w:eastAsiaTheme="minorEastAsia"/>
                <w:snapToGrid w:val="0"/>
                <w:color w:val="auto"/>
                <w:spacing w:val="6"/>
                <w:sz w:val="28"/>
                <w:szCs w:val="28"/>
                <w:highlight w:val="none"/>
              </w:rPr>
              <w:t>编写人</w:t>
            </w:r>
          </w:p>
        </w:tc>
        <w:tc>
          <w:tcPr>
            <w:tcW w:w="1663" w:type="dxa"/>
            <w:noWrap w:val="0"/>
            <w:vAlign w:val="center"/>
          </w:tcPr>
          <w:p w14:paraId="05BF1230">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pacing w:val="7"/>
                <w:sz w:val="28"/>
                <w:szCs w:val="28"/>
                <w:highlight w:val="none"/>
              </w:rPr>
            </w:pPr>
            <w:r>
              <w:rPr>
                <w:rFonts w:hint="default" w:ascii="Times New Roman" w:hAnsi="Times New Roman" w:cs="Times New Roman" w:eastAsiaTheme="minorEastAsia"/>
                <w:snapToGrid w:val="0"/>
                <w:color w:val="auto"/>
                <w:spacing w:val="7"/>
                <w:sz w:val="28"/>
                <w:szCs w:val="28"/>
                <w:highlight w:val="none"/>
              </w:rPr>
              <w:t>专业</w:t>
            </w:r>
          </w:p>
        </w:tc>
        <w:tc>
          <w:tcPr>
            <w:tcW w:w="1663" w:type="dxa"/>
            <w:noWrap w:val="0"/>
            <w:vAlign w:val="center"/>
          </w:tcPr>
          <w:p w14:paraId="05A91B7F">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pacing w:val="5"/>
                <w:sz w:val="28"/>
                <w:szCs w:val="28"/>
                <w:highlight w:val="none"/>
              </w:rPr>
            </w:pPr>
            <w:r>
              <w:rPr>
                <w:rFonts w:hint="default" w:ascii="Times New Roman" w:hAnsi="Times New Roman" w:cs="Times New Roman" w:eastAsiaTheme="minorEastAsia"/>
                <w:snapToGrid w:val="0"/>
                <w:color w:val="auto"/>
                <w:spacing w:val="5"/>
                <w:sz w:val="28"/>
                <w:szCs w:val="28"/>
                <w:highlight w:val="none"/>
              </w:rPr>
              <w:t>技术职称</w:t>
            </w:r>
          </w:p>
        </w:tc>
        <w:tc>
          <w:tcPr>
            <w:tcW w:w="1664" w:type="dxa"/>
            <w:noWrap w:val="0"/>
            <w:vAlign w:val="center"/>
          </w:tcPr>
          <w:p w14:paraId="17D1A7EF">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bCs/>
                <w:snapToGrid w:val="0"/>
                <w:color w:val="auto"/>
                <w:spacing w:val="17"/>
                <w:sz w:val="28"/>
                <w:szCs w:val="28"/>
                <w:highlight w:val="none"/>
              </w:rPr>
            </w:pPr>
            <w:r>
              <w:rPr>
                <w:rFonts w:hint="default" w:ascii="Times New Roman" w:hAnsi="Times New Roman" w:cs="Times New Roman" w:eastAsiaTheme="minorEastAsia"/>
                <w:bCs/>
                <w:snapToGrid w:val="0"/>
                <w:color w:val="auto"/>
                <w:spacing w:val="17"/>
                <w:sz w:val="28"/>
                <w:szCs w:val="28"/>
                <w:highlight w:val="none"/>
              </w:rPr>
              <w:t>签名</w:t>
            </w:r>
          </w:p>
        </w:tc>
      </w:tr>
      <w:tr w14:paraId="3DDEB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2" w:hRule="exact"/>
          <w:jc w:val="center"/>
        </w:trPr>
        <w:tc>
          <w:tcPr>
            <w:tcW w:w="1663" w:type="dxa"/>
            <w:noWrap w:val="0"/>
            <w:vAlign w:val="top"/>
          </w:tcPr>
          <w:p w14:paraId="5BDFEC6A">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z w:val="28"/>
                <w:szCs w:val="28"/>
                <w:highlight w:val="none"/>
              </w:rPr>
            </w:pPr>
            <w:r>
              <w:rPr>
                <w:rFonts w:hint="default" w:ascii="Times New Roman" w:hAnsi="Times New Roman" w:cs="Times New Roman" w:eastAsiaTheme="minorEastAsia"/>
                <w:snapToGrid w:val="0"/>
                <w:color w:val="auto"/>
                <w:sz w:val="28"/>
                <w:szCs w:val="28"/>
                <w:highlight w:val="none"/>
              </w:rPr>
              <w:t>1</w:t>
            </w:r>
          </w:p>
        </w:tc>
        <w:tc>
          <w:tcPr>
            <w:tcW w:w="1663" w:type="dxa"/>
            <w:noWrap w:val="0"/>
            <w:vAlign w:val="center"/>
          </w:tcPr>
          <w:p w14:paraId="0F4117F3">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color w:val="auto"/>
                <w:w w:val="100"/>
                <w:sz w:val="28"/>
                <w:szCs w:val="28"/>
                <w:lang w:val="en-US" w:eastAsia="zh-CN"/>
              </w:rPr>
            </w:pPr>
            <w:r>
              <w:rPr>
                <w:rFonts w:hint="eastAsia" w:ascii="Times New Roman" w:hAnsi="Times New Roman" w:cs="Times New Roman"/>
                <w:color w:val="auto"/>
                <w:w w:val="100"/>
                <w:sz w:val="28"/>
                <w:szCs w:val="28"/>
                <w:lang w:val="en-US" w:eastAsia="zh-CN"/>
              </w:rPr>
              <w:t>黄小斌</w:t>
            </w:r>
          </w:p>
        </w:tc>
        <w:tc>
          <w:tcPr>
            <w:tcW w:w="1663" w:type="dxa"/>
            <w:noWrap w:val="0"/>
            <w:vAlign w:val="center"/>
          </w:tcPr>
          <w:p w14:paraId="583E3AD6">
            <w:pPr>
              <w:pageBreakBefore w:val="0"/>
              <w:kinsoku/>
              <w:wordWrap/>
              <w:overflowPunct/>
              <w:topLinePunct w:val="0"/>
              <w:bidi w:val="0"/>
              <w:snapToGrid w:val="0"/>
              <w:jc w:val="center"/>
              <w:rPr>
                <w:rFonts w:hint="default" w:ascii="Times New Roman" w:hAnsi="Times New Roman" w:cs="Times New Roman" w:eastAsiaTheme="minorEastAsia"/>
                <w:snapToGrid w:val="0"/>
                <w:color w:val="auto"/>
                <w:sz w:val="28"/>
                <w:szCs w:val="28"/>
                <w:highlight w:val="none"/>
                <w:lang w:val="en-US" w:eastAsia="zh-CN"/>
              </w:rPr>
            </w:pPr>
            <w:r>
              <w:rPr>
                <w:rFonts w:hint="eastAsia" w:ascii="Times New Roman" w:hAnsi="Times New Roman" w:cs="Times New Roman" w:eastAsiaTheme="minorEastAsia"/>
                <w:b w:val="0"/>
                <w:bCs w:val="0"/>
                <w:color w:val="auto"/>
                <w:sz w:val="28"/>
                <w:szCs w:val="28"/>
                <w:highlight w:val="none"/>
                <w:lang w:val="en-US" w:eastAsia="zh-CN"/>
              </w:rPr>
              <w:t>工程测量与监测</w:t>
            </w:r>
          </w:p>
        </w:tc>
        <w:tc>
          <w:tcPr>
            <w:tcW w:w="1663" w:type="dxa"/>
            <w:noWrap w:val="0"/>
            <w:vAlign w:val="center"/>
          </w:tcPr>
          <w:p w14:paraId="0C8828A5">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z w:val="28"/>
                <w:szCs w:val="28"/>
                <w:highlight w:val="none"/>
              </w:rPr>
            </w:pPr>
            <w:r>
              <w:rPr>
                <w:rFonts w:hint="eastAsia" w:ascii="Times New Roman" w:hAnsi="Times New Roman" w:cs="Times New Roman"/>
                <w:snapToGrid w:val="0"/>
                <w:color w:val="auto"/>
                <w:spacing w:val="5"/>
                <w:sz w:val="28"/>
                <w:szCs w:val="28"/>
                <w:highlight w:val="none"/>
                <w:lang w:val="en-US" w:eastAsia="zh-CN"/>
              </w:rPr>
              <w:t>高级工程师</w:t>
            </w:r>
          </w:p>
        </w:tc>
        <w:tc>
          <w:tcPr>
            <w:tcW w:w="1664" w:type="dxa"/>
            <w:noWrap w:val="0"/>
            <w:vAlign w:val="center"/>
          </w:tcPr>
          <w:p w14:paraId="74F823AF">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z w:val="28"/>
                <w:szCs w:val="28"/>
                <w:highlight w:val="none"/>
              </w:rPr>
            </w:pPr>
          </w:p>
        </w:tc>
      </w:tr>
      <w:tr w14:paraId="28B7E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663" w:type="dxa"/>
            <w:noWrap w:val="0"/>
            <w:vAlign w:val="top"/>
          </w:tcPr>
          <w:p w14:paraId="6F10E205">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z w:val="28"/>
                <w:szCs w:val="28"/>
                <w:highlight w:val="none"/>
              </w:rPr>
            </w:pPr>
            <w:r>
              <w:rPr>
                <w:rFonts w:hint="default" w:ascii="Times New Roman" w:hAnsi="Times New Roman" w:cs="Times New Roman" w:eastAsiaTheme="minorEastAsia"/>
                <w:snapToGrid w:val="0"/>
                <w:color w:val="auto"/>
                <w:sz w:val="28"/>
                <w:szCs w:val="28"/>
                <w:highlight w:val="none"/>
              </w:rPr>
              <w:t>2</w:t>
            </w:r>
          </w:p>
        </w:tc>
        <w:tc>
          <w:tcPr>
            <w:tcW w:w="1663" w:type="dxa"/>
            <w:noWrap w:val="0"/>
            <w:vAlign w:val="center"/>
          </w:tcPr>
          <w:p w14:paraId="2CFC0E8E">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color w:val="auto"/>
                <w:w w:val="100"/>
                <w:sz w:val="28"/>
                <w:szCs w:val="28"/>
                <w:lang w:val="en-US" w:eastAsia="zh-CN"/>
              </w:rPr>
            </w:pPr>
            <w:r>
              <w:rPr>
                <w:rFonts w:hint="default" w:ascii="Times New Roman" w:hAnsi="Times New Roman" w:cs="Times New Roman" w:eastAsiaTheme="minorEastAsia"/>
                <w:color w:val="auto"/>
                <w:w w:val="100"/>
                <w:sz w:val="28"/>
                <w:szCs w:val="28"/>
                <w:lang w:val="en-US" w:eastAsia="zh-CN"/>
              </w:rPr>
              <w:t>高  磊</w:t>
            </w:r>
          </w:p>
          <w:p w14:paraId="389618DF">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color w:val="auto"/>
                <w:w w:val="100"/>
                <w:sz w:val="28"/>
                <w:szCs w:val="28"/>
                <w:lang w:val="en-US" w:eastAsia="zh-CN"/>
              </w:rPr>
            </w:pPr>
          </w:p>
        </w:tc>
        <w:tc>
          <w:tcPr>
            <w:tcW w:w="1663" w:type="dxa"/>
            <w:noWrap w:val="0"/>
            <w:vAlign w:val="center"/>
          </w:tcPr>
          <w:p w14:paraId="3DFA8F16">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z w:val="28"/>
                <w:szCs w:val="28"/>
                <w:highlight w:val="none"/>
                <w:lang w:val="en-US" w:eastAsia="zh-CN"/>
              </w:rPr>
            </w:pPr>
            <w:r>
              <w:rPr>
                <w:rFonts w:hint="eastAsia" w:ascii="Times New Roman" w:hAnsi="Times New Roman" w:cs="Times New Roman"/>
                <w:snapToGrid w:val="0"/>
                <w:color w:val="auto"/>
                <w:sz w:val="28"/>
                <w:szCs w:val="28"/>
                <w:highlight w:val="none"/>
                <w:lang w:val="en-US" w:eastAsia="zh-CN"/>
              </w:rPr>
              <w:t>工程地质</w:t>
            </w:r>
          </w:p>
        </w:tc>
        <w:tc>
          <w:tcPr>
            <w:tcW w:w="1663" w:type="dxa"/>
            <w:noWrap w:val="0"/>
            <w:vAlign w:val="center"/>
          </w:tcPr>
          <w:p w14:paraId="0027A95B">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z w:val="28"/>
                <w:szCs w:val="28"/>
                <w:highlight w:val="none"/>
                <w:lang w:val="en-US" w:eastAsia="zh-CN"/>
              </w:rPr>
            </w:pPr>
            <w:r>
              <w:rPr>
                <w:rFonts w:hint="eastAsia" w:ascii="Times New Roman" w:hAnsi="Times New Roman" w:cs="Times New Roman"/>
                <w:snapToGrid w:val="0"/>
                <w:color w:val="auto"/>
                <w:sz w:val="28"/>
                <w:szCs w:val="28"/>
                <w:highlight w:val="none"/>
                <w:lang w:val="en-US" w:eastAsia="zh-CN"/>
              </w:rPr>
              <w:t>技术员</w:t>
            </w:r>
          </w:p>
        </w:tc>
        <w:tc>
          <w:tcPr>
            <w:tcW w:w="1664" w:type="dxa"/>
            <w:noWrap w:val="0"/>
            <w:vAlign w:val="center"/>
          </w:tcPr>
          <w:p w14:paraId="3E580968">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z w:val="28"/>
                <w:szCs w:val="28"/>
                <w:highlight w:val="none"/>
              </w:rPr>
            </w:pPr>
          </w:p>
        </w:tc>
      </w:tr>
      <w:tr w14:paraId="44492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663" w:type="dxa"/>
            <w:noWrap w:val="0"/>
            <w:vAlign w:val="top"/>
          </w:tcPr>
          <w:p w14:paraId="745106C7">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z w:val="28"/>
                <w:szCs w:val="28"/>
                <w:highlight w:val="none"/>
              </w:rPr>
            </w:pPr>
            <w:r>
              <w:rPr>
                <w:rFonts w:hint="default" w:ascii="Times New Roman" w:hAnsi="Times New Roman" w:cs="Times New Roman" w:eastAsiaTheme="minorEastAsia"/>
                <w:snapToGrid w:val="0"/>
                <w:color w:val="auto"/>
                <w:sz w:val="28"/>
                <w:szCs w:val="28"/>
                <w:highlight w:val="none"/>
              </w:rPr>
              <w:t>3</w:t>
            </w:r>
          </w:p>
        </w:tc>
        <w:tc>
          <w:tcPr>
            <w:tcW w:w="1663" w:type="dxa"/>
            <w:noWrap w:val="0"/>
            <w:vAlign w:val="center"/>
          </w:tcPr>
          <w:p w14:paraId="77871904">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z w:val="28"/>
                <w:szCs w:val="28"/>
                <w:highlight w:val="none"/>
              </w:rPr>
            </w:pPr>
          </w:p>
        </w:tc>
        <w:tc>
          <w:tcPr>
            <w:tcW w:w="1663" w:type="dxa"/>
            <w:noWrap w:val="0"/>
            <w:vAlign w:val="center"/>
          </w:tcPr>
          <w:p w14:paraId="6CD8098D">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z w:val="28"/>
                <w:szCs w:val="28"/>
                <w:highlight w:val="none"/>
              </w:rPr>
            </w:pPr>
          </w:p>
        </w:tc>
        <w:tc>
          <w:tcPr>
            <w:tcW w:w="1663" w:type="dxa"/>
            <w:noWrap w:val="0"/>
            <w:vAlign w:val="center"/>
          </w:tcPr>
          <w:p w14:paraId="566ABA48">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z w:val="28"/>
                <w:szCs w:val="28"/>
                <w:highlight w:val="none"/>
              </w:rPr>
            </w:pPr>
          </w:p>
        </w:tc>
        <w:tc>
          <w:tcPr>
            <w:tcW w:w="1664" w:type="dxa"/>
            <w:noWrap w:val="0"/>
            <w:vAlign w:val="center"/>
          </w:tcPr>
          <w:p w14:paraId="61D103C0">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z w:val="28"/>
                <w:szCs w:val="28"/>
                <w:highlight w:val="none"/>
              </w:rPr>
            </w:pPr>
          </w:p>
        </w:tc>
      </w:tr>
      <w:tr w14:paraId="77F52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663" w:type="dxa"/>
            <w:noWrap w:val="0"/>
            <w:vAlign w:val="top"/>
          </w:tcPr>
          <w:p w14:paraId="2E75B1A6">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z w:val="28"/>
                <w:szCs w:val="28"/>
                <w:highlight w:val="none"/>
              </w:rPr>
            </w:pPr>
            <w:r>
              <w:rPr>
                <w:rFonts w:hint="default" w:ascii="Times New Roman" w:hAnsi="Times New Roman" w:cs="Times New Roman" w:eastAsiaTheme="minorEastAsia"/>
                <w:snapToGrid w:val="0"/>
                <w:color w:val="auto"/>
                <w:sz w:val="28"/>
                <w:szCs w:val="28"/>
                <w:highlight w:val="none"/>
              </w:rPr>
              <w:t>……</w:t>
            </w:r>
          </w:p>
        </w:tc>
        <w:tc>
          <w:tcPr>
            <w:tcW w:w="1663" w:type="dxa"/>
            <w:noWrap w:val="0"/>
            <w:vAlign w:val="center"/>
          </w:tcPr>
          <w:p w14:paraId="0ED8C59B">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z w:val="28"/>
                <w:szCs w:val="28"/>
                <w:highlight w:val="none"/>
              </w:rPr>
            </w:pPr>
          </w:p>
        </w:tc>
        <w:tc>
          <w:tcPr>
            <w:tcW w:w="1663" w:type="dxa"/>
            <w:noWrap w:val="0"/>
            <w:vAlign w:val="center"/>
          </w:tcPr>
          <w:p w14:paraId="027FCFC0">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z w:val="28"/>
                <w:szCs w:val="28"/>
                <w:highlight w:val="none"/>
              </w:rPr>
            </w:pPr>
          </w:p>
        </w:tc>
        <w:tc>
          <w:tcPr>
            <w:tcW w:w="1663" w:type="dxa"/>
            <w:noWrap w:val="0"/>
            <w:vAlign w:val="center"/>
          </w:tcPr>
          <w:p w14:paraId="0C40FE3A">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z w:val="28"/>
                <w:szCs w:val="28"/>
                <w:highlight w:val="none"/>
              </w:rPr>
            </w:pPr>
          </w:p>
        </w:tc>
        <w:tc>
          <w:tcPr>
            <w:tcW w:w="1664" w:type="dxa"/>
            <w:noWrap w:val="0"/>
            <w:vAlign w:val="center"/>
          </w:tcPr>
          <w:p w14:paraId="6B775E81">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cs="Times New Roman" w:eastAsiaTheme="minorEastAsia"/>
                <w:snapToGrid w:val="0"/>
                <w:color w:val="auto"/>
                <w:sz w:val="28"/>
                <w:szCs w:val="28"/>
                <w:highlight w:val="none"/>
              </w:rPr>
            </w:pPr>
          </w:p>
        </w:tc>
      </w:tr>
    </w:tbl>
    <w:p w14:paraId="015E2C0B">
      <w:pPr>
        <w:pageBreakBefore w:val="0"/>
        <w:kinsoku/>
        <w:wordWrap/>
        <w:overflowPunct/>
        <w:topLinePunct w:val="0"/>
        <w:bidi w:val="0"/>
        <w:spacing w:before="20" w:beforeLines="0" w:afterLines="0" w:line="260" w:lineRule="exact"/>
        <w:rPr>
          <w:rFonts w:hint="default" w:ascii="Times New Roman" w:hAnsi="Times New Roman" w:cs="Times New Roman" w:eastAsiaTheme="minorEastAsia"/>
          <w:color w:val="auto"/>
          <w:sz w:val="26"/>
          <w:szCs w:val="24"/>
        </w:rPr>
      </w:pPr>
    </w:p>
    <w:p w14:paraId="3B4CF734">
      <w:pPr>
        <w:pageBreakBefore w:val="0"/>
        <w:kinsoku/>
        <w:wordWrap/>
        <w:overflowPunct/>
        <w:topLinePunct w:val="0"/>
        <w:bidi w:val="0"/>
        <w:spacing w:before="20" w:beforeLines="0" w:afterLines="0" w:line="260" w:lineRule="exact"/>
        <w:rPr>
          <w:rFonts w:hint="default" w:ascii="Times New Roman" w:hAnsi="Times New Roman" w:cs="Times New Roman" w:eastAsiaTheme="minorEastAsia"/>
          <w:color w:val="auto"/>
          <w:sz w:val="26"/>
          <w:szCs w:val="24"/>
        </w:rPr>
      </w:pPr>
    </w:p>
    <w:p w14:paraId="2361A543">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28"/>
          <w:szCs w:val="28"/>
          <w:highlight w:val="none"/>
        </w:rPr>
      </w:pPr>
    </w:p>
    <w:p w14:paraId="06DD3DE4">
      <w:pPr>
        <w:pageBreakBefore w:val="0"/>
        <w:kinsoku/>
        <w:wordWrap/>
        <w:overflowPunct/>
        <w:topLinePunct w:val="0"/>
        <w:bidi w:val="0"/>
        <w:spacing w:beforeLines="0" w:afterLines="0"/>
        <w:rPr>
          <w:rFonts w:hint="default" w:ascii="Times New Roman" w:hAnsi="Times New Roman" w:cs="Times New Roman" w:eastAsiaTheme="minorEastAsia"/>
          <w:color w:val="auto"/>
          <w:sz w:val="24"/>
          <w:szCs w:val="24"/>
        </w:rPr>
        <w:sectPr>
          <w:pgSz w:w="11907" w:h="16840"/>
          <w:pgMar w:top="1200" w:right="1080" w:bottom="280" w:left="1420" w:header="720" w:footer="720" w:gutter="0"/>
          <w:lnNumType w:countBy="0" w:distance="360"/>
          <w:cols w:space="720" w:num="1"/>
        </w:sectPr>
      </w:pPr>
    </w:p>
    <w:p w14:paraId="47AAB7A3">
      <w:pPr>
        <w:pageBreakBefore w:val="0"/>
        <w:kinsoku/>
        <w:wordWrap/>
        <w:overflowPunct/>
        <w:topLinePunct w:val="0"/>
        <w:bidi w:val="0"/>
        <w:spacing w:line="360" w:lineRule="auto"/>
        <w:jc w:val="center"/>
        <w:rPr>
          <w:rFonts w:hint="default" w:ascii="Times New Roman" w:hAnsi="Times New Roman" w:cs="Times New Roman" w:eastAsiaTheme="minorEastAsia"/>
          <w:b w:val="0"/>
          <w:color w:val="auto"/>
          <w:sz w:val="32"/>
          <w:szCs w:val="32"/>
          <w:highlight w:val="none"/>
        </w:rPr>
      </w:pPr>
      <w:r>
        <w:rPr>
          <w:rFonts w:hint="default" w:ascii="Times New Roman" w:hAnsi="Times New Roman" w:cs="Times New Roman" w:eastAsiaTheme="minorEastAsia"/>
          <w:b w:val="0"/>
          <w:color w:val="auto"/>
          <w:sz w:val="32"/>
          <w:szCs w:val="32"/>
          <w:highlight w:val="none"/>
        </w:rPr>
        <w:t>矿产资源开采方案编制信息及承诺书</w:t>
      </w:r>
    </w:p>
    <w:tbl>
      <w:tblPr>
        <w:tblStyle w:val="19"/>
        <w:tblW w:w="88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1345"/>
        <w:gridCol w:w="1061"/>
        <w:gridCol w:w="85"/>
        <w:gridCol w:w="1306"/>
        <w:gridCol w:w="393"/>
        <w:gridCol w:w="1435"/>
        <w:gridCol w:w="1255"/>
        <w:gridCol w:w="1059"/>
      </w:tblGrid>
      <w:tr w14:paraId="4064F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jc w:val="center"/>
        </w:trPr>
        <w:tc>
          <w:tcPr>
            <w:tcW w:w="2269" w:type="dxa"/>
            <w:gridSpan w:val="2"/>
            <w:noWrap w:val="0"/>
            <w:vAlign w:val="center"/>
          </w:tcPr>
          <w:p w14:paraId="37B06EC5">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eastAsia" w:ascii="Times New Roman" w:hAnsi="Times New Roman" w:cs="Times New Roman"/>
                <w:color w:val="auto"/>
                <w:sz w:val="24"/>
                <w:szCs w:val="24"/>
                <w:highlight w:val="none"/>
                <w:lang w:eastAsia="zh-CN"/>
              </w:rPr>
              <w:t>开采</w:t>
            </w:r>
            <w:r>
              <w:rPr>
                <w:rFonts w:hint="default" w:ascii="Times New Roman" w:hAnsi="Times New Roman" w:cs="Times New Roman" w:eastAsiaTheme="minorEastAsia"/>
                <w:color w:val="auto"/>
                <w:sz w:val="24"/>
                <w:szCs w:val="24"/>
                <w:highlight w:val="none"/>
              </w:rPr>
              <w:t>方案名称</w:t>
            </w:r>
          </w:p>
        </w:tc>
        <w:tc>
          <w:tcPr>
            <w:tcW w:w="6594" w:type="dxa"/>
            <w:gridSpan w:val="7"/>
            <w:noWrap w:val="0"/>
            <w:vAlign w:val="center"/>
          </w:tcPr>
          <w:p w14:paraId="2E6D12EB">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lang w:eastAsia="zh-CN"/>
              </w:rPr>
            </w:pPr>
            <w:r>
              <w:rPr>
                <w:rFonts w:hint="default" w:ascii="Times New Roman" w:hAnsi="Times New Roman" w:cs="Times New Roman" w:eastAsiaTheme="minorEastAsia"/>
                <w:color w:val="auto"/>
                <w:sz w:val="24"/>
                <w:szCs w:val="24"/>
                <w:highlight w:val="none"/>
                <w:lang w:eastAsia="zh-CN"/>
              </w:rPr>
              <w:t>大兴安岭地区呼玛县JH项目鸥浦乡配套采石场</w:t>
            </w:r>
          </w:p>
          <w:p w14:paraId="773BB92A">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lang w:eastAsia="zh-CN"/>
              </w:rPr>
              <w:t>建筑用凝灰岩矿</w:t>
            </w:r>
            <w:r>
              <w:rPr>
                <w:rFonts w:hint="default" w:ascii="Times New Roman" w:hAnsi="Times New Roman" w:cs="Times New Roman" w:eastAsiaTheme="minorEastAsia"/>
                <w:color w:val="auto"/>
                <w:sz w:val="24"/>
                <w:szCs w:val="24"/>
                <w:highlight w:val="none"/>
                <w:lang w:val="en-US" w:eastAsia="zh-CN"/>
              </w:rPr>
              <w:t>开采</w:t>
            </w:r>
            <w:r>
              <w:rPr>
                <w:rFonts w:hint="default" w:ascii="Times New Roman" w:hAnsi="Times New Roman" w:cs="Times New Roman" w:eastAsiaTheme="minorEastAsia"/>
                <w:color w:val="auto"/>
                <w:sz w:val="24"/>
                <w:szCs w:val="24"/>
                <w:highlight w:val="none"/>
              </w:rPr>
              <w:t>方案</w:t>
            </w:r>
          </w:p>
        </w:tc>
      </w:tr>
      <w:tr w14:paraId="65805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exact"/>
          <w:jc w:val="center"/>
        </w:trPr>
        <w:tc>
          <w:tcPr>
            <w:tcW w:w="924" w:type="dxa"/>
            <w:vMerge w:val="restart"/>
            <w:noWrap w:val="0"/>
            <w:vAlign w:val="center"/>
          </w:tcPr>
          <w:p w14:paraId="2E81A80B">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矿</w:t>
            </w:r>
          </w:p>
          <w:p w14:paraId="26348F39">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业</w:t>
            </w:r>
          </w:p>
          <w:p w14:paraId="3367EE98">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权</w:t>
            </w:r>
          </w:p>
          <w:p w14:paraId="4C4C39AF">
            <w:pPr>
              <w:pageBreakBefore w:val="0"/>
              <w:kinsoku/>
              <w:wordWrap/>
              <w:overflowPunct/>
              <w:topLinePunct w:val="0"/>
              <w:bidi w:val="0"/>
              <w:snapToGrid w:val="0"/>
              <w:jc w:val="center"/>
              <w:rPr>
                <w:rFonts w:hint="default" w:ascii="Times New Roman" w:hAnsi="Times New Roman" w:cs="Times New Roman" w:eastAsiaTheme="minorEastAsia"/>
                <w:b/>
                <w:bCs/>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人</w:t>
            </w:r>
          </w:p>
        </w:tc>
        <w:tc>
          <w:tcPr>
            <w:tcW w:w="1345" w:type="dxa"/>
            <w:noWrap w:val="0"/>
            <w:vAlign w:val="center"/>
          </w:tcPr>
          <w:p w14:paraId="2C5269B7">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名  称</w:t>
            </w:r>
          </w:p>
        </w:tc>
        <w:tc>
          <w:tcPr>
            <w:tcW w:w="6594" w:type="dxa"/>
            <w:gridSpan w:val="7"/>
            <w:noWrap w:val="0"/>
            <w:vAlign w:val="center"/>
          </w:tcPr>
          <w:p w14:paraId="3320B76E">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lang w:eastAsia="zh-CN"/>
              </w:rPr>
              <w:t>大兴安岭呼玛对俄经济贸易园区开发有限责任公司</w:t>
            </w:r>
          </w:p>
        </w:tc>
      </w:tr>
      <w:tr w14:paraId="7A72A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exact"/>
          <w:jc w:val="center"/>
        </w:trPr>
        <w:tc>
          <w:tcPr>
            <w:tcW w:w="924" w:type="dxa"/>
            <w:vMerge w:val="continue"/>
            <w:noWrap w:val="0"/>
            <w:vAlign w:val="center"/>
          </w:tcPr>
          <w:p w14:paraId="4CAD6BA2">
            <w:pPr>
              <w:pageBreakBefore w:val="0"/>
              <w:kinsoku/>
              <w:wordWrap/>
              <w:overflowPunct/>
              <w:topLinePunct w:val="0"/>
              <w:bidi w:val="0"/>
              <w:snapToGrid w:val="0"/>
              <w:jc w:val="center"/>
              <w:rPr>
                <w:rFonts w:hint="default" w:ascii="Times New Roman" w:hAnsi="Times New Roman" w:cs="Times New Roman" w:eastAsiaTheme="minorEastAsia"/>
                <w:b/>
                <w:bCs/>
                <w:color w:val="auto"/>
                <w:sz w:val="24"/>
                <w:szCs w:val="24"/>
                <w:highlight w:val="none"/>
              </w:rPr>
            </w:pPr>
          </w:p>
        </w:tc>
        <w:tc>
          <w:tcPr>
            <w:tcW w:w="1345" w:type="dxa"/>
            <w:noWrap w:val="0"/>
            <w:vAlign w:val="center"/>
          </w:tcPr>
          <w:p w14:paraId="0DAE1268">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通信地址</w:t>
            </w:r>
          </w:p>
        </w:tc>
        <w:tc>
          <w:tcPr>
            <w:tcW w:w="4280" w:type="dxa"/>
            <w:gridSpan w:val="5"/>
            <w:noWrap w:val="0"/>
            <w:vAlign w:val="center"/>
          </w:tcPr>
          <w:p w14:paraId="24091961">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b w:val="0"/>
                <w:bCs w:val="0"/>
                <w:color w:val="auto"/>
                <w:sz w:val="24"/>
                <w:szCs w:val="24"/>
                <w:highlight w:val="none"/>
                <w:lang w:eastAsia="zh-CN"/>
              </w:rPr>
              <w:t>黑龙江省大兴安岭地区呼玛县呼玛镇长虹路南电视台道东侧(呼玛工业园</w:t>
            </w:r>
            <w:r>
              <w:rPr>
                <w:rFonts w:hint="default" w:ascii="Times New Roman" w:hAnsi="Times New Roman" w:cs="Times New Roman" w:eastAsiaTheme="minorEastAsia"/>
                <w:color w:val="auto"/>
                <w:sz w:val="24"/>
                <w:szCs w:val="24"/>
                <w:highlight w:val="none"/>
                <w:lang w:eastAsia="zh-CN"/>
              </w:rPr>
              <w:t>区)</w:t>
            </w:r>
          </w:p>
        </w:tc>
        <w:tc>
          <w:tcPr>
            <w:tcW w:w="1255" w:type="dxa"/>
            <w:noWrap w:val="0"/>
            <w:vAlign w:val="center"/>
          </w:tcPr>
          <w:p w14:paraId="314D92C2">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邮政编码</w:t>
            </w:r>
          </w:p>
        </w:tc>
        <w:tc>
          <w:tcPr>
            <w:tcW w:w="1059" w:type="dxa"/>
            <w:noWrap w:val="0"/>
            <w:vAlign w:val="center"/>
          </w:tcPr>
          <w:p w14:paraId="3D763855">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b w:val="0"/>
                <w:bCs w:val="0"/>
                <w:color w:val="auto"/>
                <w:sz w:val="24"/>
                <w:szCs w:val="24"/>
                <w:highlight w:val="none"/>
                <w:lang w:val="en-US" w:eastAsia="zh-CN"/>
              </w:rPr>
              <w:t>165199</w:t>
            </w:r>
          </w:p>
        </w:tc>
      </w:tr>
      <w:tr w14:paraId="38551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exact"/>
          <w:jc w:val="center"/>
        </w:trPr>
        <w:tc>
          <w:tcPr>
            <w:tcW w:w="924" w:type="dxa"/>
            <w:vMerge w:val="continue"/>
            <w:noWrap w:val="0"/>
            <w:vAlign w:val="center"/>
          </w:tcPr>
          <w:p w14:paraId="474BE8D8">
            <w:pPr>
              <w:pageBreakBefore w:val="0"/>
              <w:kinsoku/>
              <w:wordWrap/>
              <w:overflowPunct/>
              <w:topLinePunct w:val="0"/>
              <w:bidi w:val="0"/>
              <w:snapToGrid w:val="0"/>
              <w:jc w:val="center"/>
              <w:rPr>
                <w:rFonts w:hint="default" w:ascii="Times New Roman" w:hAnsi="Times New Roman" w:cs="Times New Roman" w:eastAsiaTheme="minorEastAsia"/>
                <w:b/>
                <w:bCs/>
                <w:color w:val="auto"/>
                <w:sz w:val="24"/>
                <w:szCs w:val="24"/>
                <w:highlight w:val="none"/>
              </w:rPr>
            </w:pPr>
          </w:p>
        </w:tc>
        <w:tc>
          <w:tcPr>
            <w:tcW w:w="1345" w:type="dxa"/>
            <w:noWrap w:val="0"/>
            <w:vAlign w:val="center"/>
          </w:tcPr>
          <w:p w14:paraId="0E2A4983">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联系人</w:t>
            </w:r>
          </w:p>
        </w:tc>
        <w:tc>
          <w:tcPr>
            <w:tcW w:w="1146" w:type="dxa"/>
            <w:gridSpan w:val="2"/>
            <w:noWrap w:val="0"/>
            <w:vAlign w:val="center"/>
          </w:tcPr>
          <w:p w14:paraId="49F3E68A">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b w:val="0"/>
                <w:bCs w:val="0"/>
                <w:color w:val="auto"/>
                <w:sz w:val="24"/>
                <w:szCs w:val="24"/>
                <w:highlight w:val="none"/>
                <w:lang w:val="en-US" w:eastAsia="zh-CN"/>
              </w:rPr>
              <w:t>杜升明</w:t>
            </w:r>
          </w:p>
        </w:tc>
        <w:tc>
          <w:tcPr>
            <w:tcW w:w="1306" w:type="dxa"/>
            <w:noWrap w:val="0"/>
            <w:vAlign w:val="center"/>
          </w:tcPr>
          <w:p w14:paraId="5F4FDE67">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联系电话</w:t>
            </w:r>
          </w:p>
        </w:tc>
        <w:tc>
          <w:tcPr>
            <w:tcW w:w="1828" w:type="dxa"/>
            <w:gridSpan w:val="2"/>
            <w:noWrap w:val="0"/>
            <w:vAlign w:val="center"/>
          </w:tcPr>
          <w:p w14:paraId="59C05383">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p>
        </w:tc>
        <w:tc>
          <w:tcPr>
            <w:tcW w:w="1255" w:type="dxa"/>
            <w:noWrap w:val="0"/>
            <w:vAlign w:val="center"/>
          </w:tcPr>
          <w:p w14:paraId="08D54D89">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传 真</w:t>
            </w:r>
          </w:p>
        </w:tc>
        <w:tc>
          <w:tcPr>
            <w:tcW w:w="1059" w:type="dxa"/>
            <w:noWrap w:val="0"/>
            <w:vAlign w:val="center"/>
          </w:tcPr>
          <w:p w14:paraId="568F1768">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lang w:val="en-US" w:eastAsia="zh-CN"/>
              </w:rPr>
              <w:t>/</w:t>
            </w:r>
          </w:p>
        </w:tc>
      </w:tr>
      <w:tr w14:paraId="463FB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exact"/>
          <w:jc w:val="center"/>
        </w:trPr>
        <w:tc>
          <w:tcPr>
            <w:tcW w:w="924" w:type="dxa"/>
            <w:vMerge w:val="continue"/>
            <w:noWrap w:val="0"/>
            <w:vAlign w:val="center"/>
          </w:tcPr>
          <w:p w14:paraId="7742063E">
            <w:pPr>
              <w:pageBreakBefore w:val="0"/>
              <w:kinsoku/>
              <w:wordWrap/>
              <w:overflowPunct/>
              <w:topLinePunct w:val="0"/>
              <w:bidi w:val="0"/>
              <w:snapToGrid w:val="0"/>
              <w:jc w:val="center"/>
              <w:rPr>
                <w:rFonts w:hint="default" w:ascii="Times New Roman" w:hAnsi="Times New Roman" w:cs="Times New Roman" w:eastAsiaTheme="minorEastAsia"/>
                <w:b/>
                <w:bCs/>
                <w:color w:val="auto"/>
                <w:sz w:val="24"/>
                <w:szCs w:val="24"/>
                <w:highlight w:val="none"/>
              </w:rPr>
            </w:pPr>
          </w:p>
        </w:tc>
        <w:tc>
          <w:tcPr>
            <w:tcW w:w="1345" w:type="dxa"/>
            <w:noWrap w:val="0"/>
            <w:vAlign w:val="center"/>
          </w:tcPr>
          <w:p w14:paraId="038DE1EC">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电子邮箱</w:t>
            </w:r>
          </w:p>
        </w:tc>
        <w:tc>
          <w:tcPr>
            <w:tcW w:w="6594" w:type="dxa"/>
            <w:gridSpan w:val="7"/>
            <w:noWrap w:val="0"/>
            <w:vAlign w:val="center"/>
          </w:tcPr>
          <w:p w14:paraId="659684F4">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lang w:val="en-US" w:eastAsia="zh-CN"/>
              </w:rPr>
              <w:t>/</w:t>
            </w:r>
          </w:p>
        </w:tc>
      </w:tr>
      <w:tr w14:paraId="2E790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exact"/>
          <w:jc w:val="center"/>
        </w:trPr>
        <w:tc>
          <w:tcPr>
            <w:tcW w:w="924" w:type="dxa"/>
            <w:vMerge w:val="restart"/>
            <w:noWrap w:val="0"/>
            <w:vAlign w:val="center"/>
          </w:tcPr>
          <w:p w14:paraId="10A5FA15">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编制</w:t>
            </w:r>
          </w:p>
          <w:p w14:paraId="6D13236D">
            <w:pPr>
              <w:pageBreakBefore w:val="0"/>
              <w:kinsoku/>
              <w:wordWrap/>
              <w:overflowPunct/>
              <w:topLinePunct w:val="0"/>
              <w:bidi w:val="0"/>
              <w:snapToGrid w:val="0"/>
              <w:jc w:val="center"/>
              <w:rPr>
                <w:rFonts w:hint="default" w:ascii="Times New Roman" w:hAnsi="Times New Roman" w:cs="Times New Roman" w:eastAsiaTheme="minorEastAsia"/>
                <w:b/>
                <w:bCs/>
                <w:color w:val="auto"/>
                <w:sz w:val="24"/>
                <w:szCs w:val="24"/>
                <w:highlight w:val="none"/>
                <w:lang w:eastAsia="zh-CN"/>
              </w:rPr>
            </w:pPr>
            <w:r>
              <w:rPr>
                <w:rFonts w:hint="default" w:ascii="Times New Roman" w:hAnsi="Times New Roman" w:cs="Times New Roman" w:eastAsiaTheme="minorEastAsia"/>
                <w:color w:val="auto"/>
                <w:sz w:val="24"/>
                <w:szCs w:val="24"/>
                <w:highlight w:val="none"/>
              </w:rPr>
              <w:t>单位</w:t>
            </w:r>
            <w:r>
              <w:rPr>
                <w:rFonts w:hint="default" w:ascii="Times New Roman" w:hAnsi="Times New Roman" w:cs="Times New Roman" w:eastAsiaTheme="minorEastAsia"/>
                <w:color w:val="auto"/>
                <w:sz w:val="24"/>
                <w:szCs w:val="24"/>
                <w:highlight w:val="none"/>
                <w:lang w:eastAsia="zh-CN"/>
              </w:rPr>
              <w:t>（</w:t>
            </w:r>
            <w:r>
              <w:rPr>
                <w:rFonts w:hint="default" w:ascii="Times New Roman" w:hAnsi="Times New Roman" w:cs="Times New Roman" w:eastAsiaTheme="minorEastAsia"/>
                <w:color w:val="auto"/>
                <w:sz w:val="24"/>
                <w:szCs w:val="24"/>
                <w:highlight w:val="none"/>
                <w:lang w:val="en-US" w:eastAsia="zh-CN"/>
              </w:rPr>
              <w:t>矿业权人</w:t>
            </w:r>
            <w:r>
              <w:rPr>
                <w:rFonts w:hint="default" w:ascii="Times New Roman" w:hAnsi="Times New Roman" w:cs="Times New Roman" w:eastAsiaTheme="minorEastAsia"/>
                <w:color w:val="auto"/>
                <w:sz w:val="24"/>
                <w:szCs w:val="24"/>
                <w:highlight w:val="none"/>
                <w:lang w:eastAsia="zh-CN"/>
              </w:rPr>
              <w:t>自行编制可不填）</w:t>
            </w:r>
          </w:p>
        </w:tc>
        <w:tc>
          <w:tcPr>
            <w:tcW w:w="1345" w:type="dxa"/>
            <w:noWrap w:val="0"/>
            <w:vAlign w:val="center"/>
          </w:tcPr>
          <w:p w14:paraId="351E4AB1">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名  称</w:t>
            </w:r>
          </w:p>
        </w:tc>
        <w:tc>
          <w:tcPr>
            <w:tcW w:w="6594" w:type="dxa"/>
            <w:gridSpan w:val="7"/>
            <w:noWrap w:val="0"/>
            <w:vAlign w:val="center"/>
          </w:tcPr>
          <w:p w14:paraId="37805FF5">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b w:val="0"/>
                <w:bCs w:val="0"/>
                <w:color w:val="auto"/>
                <w:sz w:val="24"/>
                <w:szCs w:val="24"/>
                <w:highlight w:val="none"/>
                <w:lang w:val="en-US" w:eastAsia="zh-CN"/>
              </w:rPr>
              <w:t>黑龙江省水工环地质勘查技术服务有限责任公司</w:t>
            </w:r>
          </w:p>
        </w:tc>
      </w:tr>
      <w:tr w14:paraId="6FE91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exact"/>
          <w:jc w:val="center"/>
        </w:trPr>
        <w:tc>
          <w:tcPr>
            <w:tcW w:w="924" w:type="dxa"/>
            <w:vMerge w:val="continue"/>
            <w:noWrap w:val="0"/>
            <w:vAlign w:val="center"/>
          </w:tcPr>
          <w:p w14:paraId="105E4914">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p>
        </w:tc>
        <w:tc>
          <w:tcPr>
            <w:tcW w:w="1345" w:type="dxa"/>
            <w:noWrap w:val="0"/>
            <w:vAlign w:val="center"/>
          </w:tcPr>
          <w:p w14:paraId="70A303FC">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通信地址</w:t>
            </w:r>
          </w:p>
        </w:tc>
        <w:tc>
          <w:tcPr>
            <w:tcW w:w="4280" w:type="dxa"/>
            <w:gridSpan w:val="5"/>
            <w:noWrap w:val="0"/>
            <w:vAlign w:val="center"/>
          </w:tcPr>
          <w:p w14:paraId="38209AE0">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b w:val="0"/>
                <w:bCs w:val="0"/>
                <w:color w:val="auto"/>
                <w:sz w:val="24"/>
                <w:szCs w:val="24"/>
                <w:highlight w:val="none"/>
                <w:lang w:val="en-US" w:eastAsia="zh-CN"/>
              </w:rPr>
              <w:t>黑龙江省齐齐哈尔市龙沙区</w:t>
            </w:r>
          </w:p>
        </w:tc>
        <w:tc>
          <w:tcPr>
            <w:tcW w:w="1255" w:type="dxa"/>
            <w:noWrap w:val="0"/>
            <w:vAlign w:val="center"/>
          </w:tcPr>
          <w:p w14:paraId="3E948282">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邮政编码</w:t>
            </w:r>
          </w:p>
        </w:tc>
        <w:tc>
          <w:tcPr>
            <w:tcW w:w="1059" w:type="dxa"/>
            <w:noWrap w:val="0"/>
            <w:vAlign w:val="center"/>
          </w:tcPr>
          <w:p w14:paraId="60DDEBFE">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b w:val="0"/>
                <w:bCs w:val="0"/>
                <w:color w:val="auto"/>
                <w:sz w:val="24"/>
                <w:szCs w:val="24"/>
                <w:highlight w:val="none"/>
                <w:lang w:val="en-US" w:eastAsia="zh-CN"/>
              </w:rPr>
              <w:t>161000</w:t>
            </w:r>
          </w:p>
        </w:tc>
      </w:tr>
      <w:tr w14:paraId="4CB23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exact"/>
          <w:jc w:val="center"/>
        </w:trPr>
        <w:tc>
          <w:tcPr>
            <w:tcW w:w="924" w:type="dxa"/>
            <w:vMerge w:val="continue"/>
            <w:noWrap w:val="0"/>
            <w:vAlign w:val="center"/>
          </w:tcPr>
          <w:p w14:paraId="1A618362">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p>
        </w:tc>
        <w:tc>
          <w:tcPr>
            <w:tcW w:w="1345" w:type="dxa"/>
            <w:noWrap w:val="0"/>
            <w:vAlign w:val="center"/>
          </w:tcPr>
          <w:p w14:paraId="0DA9674C">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联系人</w:t>
            </w:r>
          </w:p>
        </w:tc>
        <w:tc>
          <w:tcPr>
            <w:tcW w:w="1146" w:type="dxa"/>
            <w:gridSpan w:val="2"/>
            <w:noWrap w:val="0"/>
            <w:vAlign w:val="center"/>
          </w:tcPr>
          <w:p w14:paraId="56DF234C">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b w:val="0"/>
                <w:bCs w:val="0"/>
                <w:color w:val="auto"/>
                <w:sz w:val="24"/>
                <w:szCs w:val="24"/>
                <w:highlight w:val="none"/>
                <w:lang w:val="en-US" w:eastAsia="zh-CN"/>
              </w:rPr>
              <w:t>刘显友</w:t>
            </w:r>
          </w:p>
        </w:tc>
        <w:tc>
          <w:tcPr>
            <w:tcW w:w="1306" w:type="dxa"/>
            <w:noWrap w:val="0"/>
            <w:vAlign w:val="center"/>
          </w:tcPr>
          <w:p w14:paraId="5B03C9E4">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联系电话</w:t>
            </w:r>
          </w:p>
        </w:tc>
        <w:tc>
          <w:tcPr>
            <w:tcW w:w="1828" w:type="dxa"/>
            <w:gridSpan w:val="2"/>
            <w:noWrap w:val="0"/>
            <w:vAlign w:val="center"/>
          </w:tcPr>
          <w:p w14:paraId="158C6F24">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p>
        </w:tc>
        <w:tc>
          <w:tcPr>
            <w:tcW w:w="1255" w:type="dxa"/>
            <w:noWrap w:val="0"/>
            <w:vAlign w:val="center"/>
          </w:tcPr>
          <w:p w14:paraId="650931E6">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传 真</w:t>
            </w:r>
          </w:p>
        </w:tc>
        <w:tc>
          <w:tcPr>
            <w:tcW w:w="1059" w:type="dxa"/>
            <w:noWrap w:val="0"/>
            <w:vAlign w:val="center"/>
          </w:tcPr>
          <w:p w14:paraId="0564600A">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lang w:val="en-US" w:eastAsia="zh-CN"/>
              </w:rPr>
              <w:t>/</w:t>
            </w:r>
          </w:p>
        </w:tc>
      </w:tr>
      <w:tr w14:paraId="7ADA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exact"/>
          <w:jc w:val="center"/>
        </w:trPr>
        <w:tc>
          <w:tcPr>
            <w:tcW w:w="924" w:type="dxa"/>
            <w:vMerge w:val="continue"/>
            <w:noWrap w:val="0"/>
            <w:vAlign w:val="center"/>
          </w:tcPr>
          <w:p w14:paraId="082D2E78">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p>
        </w:tc>
        <w:tc>
          <w:tcPr>
            <w:tcW w:w="1345" w:type="dxa"/>
            <w:noWrap w:val="0"/>
            <w:vAlign w:val="center"/>
          </w:tcPr>
          <w:p w14:paraId="5DEDA4FE">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电子邮箱</w:t>
            </w:r>
          </w:p>
        </w:tc>
        <w:tc>
          <w:tcPr>
            <w:tcW w:w="6594" w:type="dxa"/>
            <w:gridSpan w:val="7"/>
            <w:noWrap w:val="0"/>
            <w:vAlign w:val="center"/>
          </w:tcPr>
          <w:p w14:paraId="328CD1F2">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lang w:val="en-US" w:eastAsia="zh-CN"/>
              </w:rPr>
              <w:t>/</w:t>
            </w:r>
          </w:p>
        </w:tc>
      </w:tr>
      <w:tr w14:paraId="72FBF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0" w:hRule="atLeast"/>
          <w:jc w:val="center"/>
        </w:trPr>
        <w:tc>
          <w:tcPr>
            <w:tcW w:w="2269" w:type="dxa"/>
            <w:gridSpan w:val="2"/>
            <w:noWrap w:val="0"/>
            <w:vAlign w:val="center"/>
          </w:tcPr>
          <w:p w14:paraId="7F3679F3">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开</w:t>
            </w:r>
            <w:r>
              <w:rPr>
                <w:rFonts w:hint="default" w:ascii="Times New Roman" w:hAnsi="Times New Roman" w:cs="Times New Roman" w:eastAsiaTheme="minorEastAsia"/>
                <w:color w:val="auto"/>
                <w:sz w:val="24"/>
                <w:szCs w:val="24"/>
                <w:highlight w:val="none"/>
                <w:lang w:val="en-US" w:eastAsia="zh-CN"/>
              </w:rPr>
              <w:t>采</w:t>
            </w:r>
            <w:r>
              <w:rPr>
                <w:rFonts w:hint="default" w:ascii="Times New Roman" w:hAnsi="Times New Roman" w:cs="Times New Roman" w:eastAsiaTheme="minorEastAsia"/>
                <w:color w:val="auto"/>
                <w:sz w:val="24"/>
                <w:szCs w:val="24"/>
                <w:highlight w:val="none"/>
              </w:rPr>
              <w:t>方案</w:t>
            </w:r>
          </w:p>
          <w:p w14:paraId="3478518F">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编制情形</w:t>
            </w:r>
          </w:p>
        </w:tc>
        <w:tc>
          <w:tcPr>
            <w:tcW w:w="6594" w:type="dxa"/>
            <w:gridSpan w:val="7"/>
            <w:noWrap w:val="0"/>
            <w:vAlign w:val="center"/>
          </w:tcPr>
          <w:p w14:paraId="330B2ADA">
            <w:pPr>
              <w:keepNext w:val="0"/>
              <w:keepLines w:val="0"/>
              <w:pageBreakBefore w:val="0"/>
              <w:widowControl w:val="0"/>
              <w:kinsoku/>
              <w:wordWrap/>
              <w:overflowPunct/>
              <w:topLinePunct w:val="0"/>
              <w:autoSpaceDE/>
              <w:autoSpaceDN/>
              <w:bidi w:val="0"/>
              <w:adjustRightInd/>
              <w:spacing w:line="420" w:lineRule="exact"/>
              <w:ind w:firstLine="960" w:firstLineChars="400"/>
              <w:jc w:val="both"/>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eastAsia="zh-CN"/>
              </w:rPr>
              <w:t>☑</w:t>
            </w:r>
            <w:r>
              <w:rPr>
                <w:rFonts w:hint="default" w:ascii="Times New Roman" w:hAnsi="Times New Roman" w:cs="Times New Roman" w:eastAsiaTheme="minorEastAsia"/>
                <w:color w:val="auto"/>
                <w:sz w:val="24"/>
                <w:szCs w:val="24"/>
                <w:highlight w:val="none"/>
                <w:lang w:val="en-US" w:eastAsia="zh-CN"/>
              </w:rPr>
              <w:t xml:space="preserve">首次申请采矿许可    □扩大开采区域  </w:t>
            </w:r>
          </w:p>
          <w:p w14:paraId="6370F7A8">
            <w:pPr>
              <w:keepNext w:val="0"/>
              <w:keepLines w:val="0"/>
              <w:pageBreakBefore w:val="0"/>
              <w:widowControl w:val="0"/>
              <w:kinsoku/>
              <w:wordWrap/>
              <w:overflowPunct/>
              <w:topLinePunct w:val="0"/>
              <w:autoSpaceDE/>
              <w:autoSpaceDN/>
              <w:bidi w:val="0"/>
              <w:adjustRightInd/>
              <w:spacing w:line="420" w:lineRule="exact"/>
              <w:ind w:firstLine="960" w:firstLineChars="400"/>
              <w:jc w:val="both"/>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□缩小开采区域        □变更主要开采矿种</w:t>
            </w:r>
          </w:p>
          <w:p w14:paraId="38370C91">
            <w:pPr>
              <w:pageBreakBefore w:val="0"/>
              <w:kinsoku/>
              <w:wordWrap/>
              <w:overflowPunct/>
              <w:topLinePunct w:val="0"/>
              <w:bidi w:val="0"/>
              <w:spacing w:line="360" w:lineRule="auto"/>
              <w:ind w:firstLine="960" w:firstLineChars="400"/>
              <w:jc w:val="both"/>
              <w:rPr>
                <w:rFonts w:hint="default" w:ascii="Times New Roman" w:hAnsi="Times New Roman" w:cs="Times New Roman" w:eastAsiaTheme="minorEastAsia"/>
                <w:color w:val="auto"/>
                <w:spacing w:val="6"/>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□变更开采方式</w:t>
            </w:r>
          </w:p>
        </w:tc>
      </w:tr>
      <w:tr w14:paraId="77B4E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269" w:type="dxa"/>
            <w:gridSpan w:val="2"/>
            <w:vMerge w:val="restart"/>
            <w:noWrap w:val="0"/>
            <w:vAlign w:val="center"/>
          </w:tcPr>
          <w:p w14:paraId="70675BE4">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矿业权信息</w:t>
            </w:r>
          </w:p>
        </w:tc>
        <w:tc>
          <w:tcPr>
            <w:tcW w:w="1061" w:type="dxa"/>
            <w:vMerge w:val="restart"/>
            <w:noWrap w:val="0"/>
            <w:vAlign w:val="center"/>
          </w:tcPr>
          <w:p w14:paraId="0334E201">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探矿权信息</w:t>
            </w:r>
          </w:p>
        </w:tc>
        <w:tc>
          <w:tcPr>
            <w:tcW w:w="1784" w:type="dxa"/>
            <w:gridSpan w:val="3"/>
            <w:noWrap w:val="0"/>
            <w:vAlign w:val="center"/>
          </w:tcPr>
          <w:p w14:paraId="277B3A39">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探矿权人</w:t>
            </w:r>
          </w:p>
        </w:tc>
        <w:tc>
          <w:tcPr>
            <w:tcW w:w="3749" w:type="dxa"/>
            <w:gridSpan w:val="3"/>
            <w:noWrap w:val="0"/>
            <w:vAlign w:val="center"/>
          </w:tcPr>
          <w:p w14:paraId="2DB767EA">
            <w:pPr>
              <w:keepNext w:val="0"/>
              <w:keepLines w:val="0"/>
              <w:pageBreakBefore w:val="0"/>
              <w:widowControl w:val="0"/>
              <w:kinsoku/>
              <w:wordWrap/>
              <w:overflowPunct/>
              <w:topLinePunct w:val="0"/>
              <w:autoSpaceDE/>
              <w:autoSpaceDN/>
              <w:bidi w:val="0"/>
              <w:adjustRightInd/>
              <w:spacing w:line="420" w:lineRule="exact"/>
              <w:jc w:val="center"/>
              <w:textAlignment w:val="auto"/>
              <w:rPr>
                <w:rFonts w:hint="default" w:ascii="Times New Roman" w:hAnsi="Times New Roman" w:cs="Times New Roman" w:eastAsiaTheme="minorEastAsia"/>
                <w:color w:val="auto"/>
                <w:sz w:val="24"/>
                <w:szCs w:val="24"/>
                <w:highlight w:val="none"/>
              </w:rPr>
            </w:pPr>
          </w:p>
        </w:tc>
      </w:tr>
      <w:tr w14:paraId="02F95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69" w:type="dxa"/>
            <w:gridSpan w:val="2"/>
            <w:vMerge w:val="continue"/>
            <w:noWrap w:val="0"/>
            <w:vAlign w:val="center"/>
          </w:tcPr>
          <w:p w14:paraId="2BB73E11">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sz w:val="24"/>
                <w:szCs w:val="24"/>
                <w:highlight w:val="none"/>
                <w:lang w:val="en-US" w:eastAsia="zh-CN"/>
              </w:rPr>
            </w:pPr>
          </w:p>
        </w:tc>
        <w:tc>
          <w:tcPr>
            <w:tcW w:w="1061" w:type="dxa"/>
            <w:vMerge w:val="continue"/>
            <w:noWrap w:val="0"/>
            <w:vAlign w:val="center"/>
          </w:tcPr>
          <w:p w14:paraId="0CCB3DEF">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sz w:val="24"/>
                <w:szCs w:val="24"/>
                <w:highlight w:val="none"/>
                <w:lang w:val="en-US" w:eastAsia="zh-CN"/>
              </w:rPr>
            </w:pPr>
          </w:p>
        </w:tc>
        <w:tc>
          <w:tcPr>
            <w:tcW w:w="1784" w:type="dxa"/>
            <w:gridSpan w:val="3"/>
            <w:noWrap w:val="0"/>
            <w:vAlign w:val="center"/>
          </w:tcPr>
          <w:p w14:paraId="3DBD5568">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不动产权证书</w:t>
            </w:r>
          </w:p>
          <w:p w14:paraId="518C7046">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（探矿权）证号</w:t>
            </w:r>
          </w:p>
        </w:tc>
        <w:tc>
          <w:tcPr>
            <w:tcW w:w="3749" w:type="dxa"/>
            <w:gridSpan w:val="3"/>
            <w:noWrap w:val="0"/>
            <w:vAlign w:val="center"/>
          </w:tcPr>
          <w:p w14:paraId="67F6AF90">
            <w:pPr>
              <w:keepNext w:val="0"/>
              <w:keepLines w:val="0"/>
              <w:pageBreakBefore w:val="0"/>
              <w:widowControl w:val="0"/>
              <w:kinsoku/>
              <w:wordWrap/>
              <w:overflowPunct/>
              <w:topLinePunct w:val="0"/>
              <w:autoSpaceDE/>
              <w:autoSpaceDN/>
              <w:bidi w:val="0"/>
              <w:adjustRightInd/>
              <w:spacing w:line="420" w:lineRule="exact"/>
              <w:jc w:val="center"/>
              <w:textAlignment w:val="auto"/>
              <w:rPr>
                <w:rFonts w:hint="default" w:ascii="Times New Roman" w:hAnsi="Times New Roman" w:cs="Times New Roman" w:eastAsiaTheme="minorEastAsia"/>
                <w:color w:val="auto"/>
                <w:sz w:val="24"/>
                <w:szCs w:val="24"/>
                <w:highlight w:val="none"/>
              </w:rPr>
            </w:pPr>
          </w:p>
        </w:tc>
      </w:tr>
      <w:tr w14:paraId="03822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269" w:type="dxa"/>
            <w:gridSpan w:val="2"/>
            <w:vMerge w:val="continue"/>
            <w:noWrap w:val="0"/>
            <w:vAlign w:val="center"/>
          </w:tcPr>
          <w:p w14:paraId="6AB20BBC">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sz w:val="24"/>
                <w:szCs w:val="24"/>
                <w:highlight w:val="none"/>
                <w:lang w:val="en-US" w:eastAsia="zh-CN"/>
              </w:rPr>
            </w:pPr>
          </w:p>
        </w:tc>
        <w:tc>
          <w:tcPr>
            <w:tcW w:w="1061" w:type="dxa"/>
            <w:vMerge w:val="continue"/>
            <w:noWrap w:val="0"/>
            <w:vAlign w:val="center"/>
          </w:tcPr>
          <w:p w14:paraId="28C649C4">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sz w:val="24"/>
                <w:szCs w:val="24"/>
                <w:highlight w:val="none"/>
                <w:lang w:val="en-US" w:eastAsia="zh-CN"/>
              </w:rPr>
            </w:pPr>
          </w:p>
        </w:tc>
        <w:tc>
          <w:tcPr>
            <w:tcW w:w="1784" w:type="dxa"/>
            <w:gridSpan w:val="3"/>
            <w:noWrap w:val="0"/>
            <w:vAlign w:val="center"/>
          </w:tcPr>
          <w:p w14:paraId="1BD4765E">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探矿权有效期</w:t>
            </w:r>
          </w:p>
        </w:tc>
        <w:tc>
          <w:tcPr>
            <w:tcW w:w="3749" w:type="dxa"/>
            <w:gridSpan w:val="3"/>
            <w:noWrap w:val="0"/>
            <w:vAlign w:val="center"/>
          </w:tcPr>
          <w:p w14:paraId="64A27CE4">
            <w:pPr>
              <w:keepNext w:val="0"/>
              <w:keepLines w:val="0"/>
              <w:pageBreakBefore w:val="0"/>
              <w:widowControl w:val="0"/>
              <w:kinsoku/>
              <w:wordWrap/>
              <w:overflowPunct/>
              <w:topLinePunct w:val="0"/>
              <w:autoSpaceDE/>
              <w:autoSpaceDN/>
              <w:bidi w:val="0"/>
              <w:adjustRightInd/>
              <w:spacing w:line="420" w:lineRule="exact"/>
              <w:jc w:val="center"/>
              <w:textAlignment w:val="auto"/>
              <w:rPr>
                <w:rFonts w:hint="default" w:ascii="Times New Roman" w:hAnsi="Times New Roman" w:cs="Times New Roman" w:eastAsiaTheme="minorEastAsia"/>
                <w:color w:val="auto"/>
                <w:sz w:val="24"/>
                <w:szCs w:val="24"/>
                <w:highlight w:val="none"/>
              </w:rPr>
            </w:pPr>
          </w:p>
        </w:tc>
      </w:tr>
      <w:tr w14:paraId="79C2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7" w:hRule="exact"/>
          <w:jc w:val="center"/>
        </w:trPr>
        <w:tc>
          <w:tcPr>
            <w:tcW w:w="2269" w:type="dxa"/>
            <w:gridSpan w:val="2"/>
            <w:vMerge w:val="continue"/>
            <w:noWrap w:val="0"/>
            <w:vAlign w:val="center"/>
          </w:tcPr>
          <w:p w14:paraId="5EC5F975">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sz w:val="24"/>
                <w:szCs w:val="24"/>
                <w:highlight w:val="none"/>
                <w:lang w:val="en-US" w:eastAsia="zh-CN"/>
              </w:rPr>
            </w:pPr>
          </w:p>
        </w:tc>
        <w:tc>
          <w:tcPr>
            <w:tcW w:w="1061" w:type="dxa"/>
            <w:vMerge w:val="restart"/>
            <w:noWrap w:val="0"/>
            <w:vAlign w:val="center"/>
          </w:tcPr>
          <w:p w14:paraId="236BAF04">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采矿权信息</w:t>
            </w:r>
          </w:p>
        </w:tc>
        <w:tc>
          <w:tcPr>
            <w:tcW w:w="1784" w:type="dxa"/>
            <w:gridSpan w:val="3"/>
            <w:noWrap w:val="0"/>
            <w:vAlign w:val="center"/>
          </w:tcPr>
          <w:p w14:paraId="4220EB90">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矿业权人</w:t>
            </w:r>
          </w:p>
        </w:tc>
        <w:tc>
          <w:tcPr>
            <w:tcW w:w="3749" w:type="dxa"/>
            <w:gridSpan w:val="3"/>
            <w:noWrap w:val="0"/>
            <w:vAlign w:val="center"/>
          </w:tcPr>
          <w:p w14:paraId="785F0D26">
            <w:pPr>
              <w:pageBreakBefore w:val="0"/>
              <w:kinsoku/>
              <w:wordWrap/>
              <w:overflowPunct/>
              <w:topLinePunct w:val="0"/>
              <w:bidi w:val="0"/>
              <w:snapToGrid w:val="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b w:val="0"/>
                <w:bCs w:val="0"/>
                <w:color w:val="auto"/>
                <w:sz w:val="24"/>
                <w:szCs w:val="24"/>
                <w:highlight w:val="none"/>
                <w:lang w:val="en-US" w:eastAsia="zh-CN"/>
              </w:rPr>
              <w:t>大兴安岭呼玛对俄经济贸易园区开发有限责任公司</w:t>
            </w:r>
          </w:p>
        </w:tc>
      </w:tr>
      <w:tr w14:paraId="509AC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69" w:type="dxa"/>
            <w:gridSpan w:val="2"/>
            <w:vMerge w:val="continue"/>
            <w:noWrap w:val="0"/>
            <w:vAlign w:val="center"/>
          </w:tcPr>
          <w:p w14:paraId="17C23E7D">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sz w:val="24"/>
                <w:szCs w:val="24"/>
                <w:highlight w:val="none"/>
                <w:lang w:val="en-US" w:eastAsia="zh-CN"/>
              </w:rPr>
            </w:pPr>
          </w:p>
        </w:tc>
        <w:tc>
          <w:tcPr>
            <w:tcW w:w="1061" w:type="dxa"/>
            <w:vMerge w:val="continue"/>
            <w:noWrap w:val="0"/>
            <w:vAlign w:val="center"/>
          </w:tcPr>
          <w:p w14:paraId="5A504A80">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sz w:val="24"/>
                <w:szCs w:val="24"/>
                <w:highlight w:val="none"/>
                <w:lang w:val="en-US" w:eastAsia="zh-CN"/>
              </w:rPr>
            </w:pPr>
          </w:p>
        </w:tc>
        <w:tc>
          <w:tcPr>
            <w:tcW w:w="1784" w:type="dxa"/>
            <w:gridSpan w:val="3"/>
            <w:noWrap w:val="0"/>
            <w:vAlign w:val="center"/>
          </w:tcPr>
          <w:p w14:paraId="2497C2B0">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不动产权证书</w:t>
            </w:r>
          </w:p>
          <w:p w14:paraId="3D8016BC">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（采矿权）证号</w:t>
            </w:r>
          </w:p>
        </w:tc>
        <w:tc>
          <w:tcPr>
            <w:tcW w:w="3749" w:type="dxa"/>
            <w:gridSpan w:val="3"/>
            <w:noWrap w:val="0"/>
            <w:vAlign w:val="center"/>
          </w:tcPr>
          <w:p w14:paraId="090B83B0">
            <w:pPr>
              <w:keepNext w:val="0"/>
              <w:keepLines w:val="0"/>
              <w:pageBreakBefore w:val="0"/>
              <w:widowControl w:val="0"/>
              <w:kinsoku/>
              <w:wordWrap/>
              <w:overflowPunct/>
              <w:topLinePunct w:val="0"/>
              <w:autoSpaceDE/>
              <w:autoSpaceDN/>
              <w:bidi w:val="0"/>
              <w:adjustRightInd/>
              <w:spacing w:line="420" w:lineRule="exact"/>
              <w:jc w:val="center"/>
              <w:textAlignment w:val="auto"/>
              <w:rPr>
                <w:rFonts w:hint="default" w:ascii="Times New Roman" w:hAnsi="Times New Roman" w:cs="Times New Roman" w:eastAsiaTheme="minorEastAsia"/>
                <w:color w:val="auto"/>
                <w:sz w:val="24"/>
                <w:szCs w:val="24"/>
                <w:highlight w:val="none"/>
              </w:rPr>
            </w:pPr>
          </w:p>
        </w:tc>
      </w:tr>
      <w:tr w14:paraId="4E859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269" w:type="dxa"/>
            <w:gridSpan w:val="2"/>
            <w:vMerge w:val="continue"/>
            <w:noWrap w:val="0"/>
            <w:vAlign w:val="center"/>
          </w:tcPr>
          <w:p w14:paraId="651BCD11">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sz w:val="24"/>
                <w:szCs w:val="24"/>
                <w:highlight w:val="none"/>
              </w:rPr>
            </w:pPr>
          </w:p>
        </w:tc>
        <w:tc>
          <w:tcPr>
            <w:tcW w:w="1061" w:type="dxa"/>
            <w:vMerge w:val="continue"/>
            <w:noWrap w:val="0"/>
            <w:vAlign w:val="center"/>
          </w:tcPr>
          <w:p w14:paraId="1CF4E7F9">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sz w:val="24"/>
                <w:szCs w:val="24"/>
                <w:highlight w:val="none"/>
                <w:lang w:val="en-US" w:eastAsia="zh-CN"/>
              </w:rPr>
            </w:pPr>
          </w:p>
        </w:tc>
        <w:tc>
          <w:tcPr>
            <w:tcW w:w="1784" w:type="dxa"/>
            <w:gridSpan w:val="3"/>
            <w:noWrap w:val="0"/>
            <w:vAlign w:val="center"/>
          </w:tcPr>
          <w:p w14:paraId="69A10D23">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采矿权有效期</w:t>
            </w:r>
          </w:p>
        </w:tc>
        <w:tc>
          <w:tcPr>
            <w:tcW w:w="3749" w:type="dxa"/>
            <w:gridSpan w:val="3"/>
            <w:noWrap w:val="0"/>
            <w:vAlign w:val="center"/>
          </w:tcPr>
          <w:p w14:paraId="1A919ED9">
            <w:pPr>
              <w:keepNext w:val="0"/>
              <w:keepLines w:val="0"/>
              <w:pageBreakBefore w:val="0"/>
              <w:widowControl w:val="0"/>
              <w:kinsoku/>
              <w:wordWrap/>
              <w:overflowPunct/>
              <w:topLinePunct w:val="0"/>
              <w:autoSpaceDE/>
              <w:autoSpaceDN/>
              <w:bidi w:val="0"/>
              <w:adjustRightInd/>
              <w:spacing w:line="420" w:lineRule="exact"/>
              <w:jc w:val="center"/>
              <w:textAlignment w:val="auto"/>
              <w:rPr>
                <w:rFonts w:hint="default" w:ascii="Times New Roman" w:hAnsi="Times New Roman" w:cs="Times New Roman" w:eastAsiaTheme="minorEastAsia"/>
                <w:color w:val="auto"/>
                <w:sz w:val="24"/>
                <w:szCs w:val="24"/>
                <w:highlight w:val="none"/>
              </w:rPr>
            </w:pPr>
          </w:p>
        </w:tc>
      </w:tr>
      <w:tr w14:paraId="555A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0" w:hRule="atLeast"/>
          <w:jc w:val="center"/>
        </w:trPr>
        <w:tc>
          <w:tcPr>
            <w:tcW w:w="2269" w:type="dxa"/>
            <w:gridSpan w:val="2"/>
            <w:noWrap w:val="0"/>
            <w:vAlign w:val="center"/>
          </w:tcPr>
          <w:p w14:paraId="2A497642">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lang w:val="en-US" w:eastAsia="zh-CN"/>
              </w:rPr>
              <w:t>矿业权人</w:t>
            </w:r>
            <w:r>
              <w:rPr>
                <w:rFonts w:hint="default" w:ascii="Times New Roman" w:hAnsi="Times New Roman" w:cs="Times New Roman" w:eastAsiaTheme="minorEastAsia"/>
                <w:color w:val="auto"/>
                <w:sz w:val="24"/>
                <w:szCs w:val="24"/>
                <w:highlight w:val="none"/>
              </w:rPr>
              <w:t>承诺</w:t>
            </w:r>
          </w:p>
        </w:tc>
        <w:tc>
          <w:tcPr>
            <w:tcW w:w="6594" w:type="dxa"/>
            <w:gridSpan w:val="7"/>
            <w:noWrap w:val="0"/>
            <w:vAlign w:val="center"/>
          </w:tcPr>
          <w:p w14:paraId="61B0D571">
            <w:pPr>
              <w:pageBreakBefore w:val="0"/>
              <w:kinsoku/>
              <w:wordWrap/>
              <w:overflowPunct/>
              <w:topLinePunct w:val="0"/>
              <w:bidi w:val="0"/>
              <w:snapToGrid w:val="0"/>
              <w:jc w:val="left"/>
              <w:rPr>
                <w:rFonts w:hint="default" w:ascii="Times New Roman" w:hAnsi="Times New Roman" w:cs="Times New Roman" w:eastAsiaTheme="minorEastAsia"/>
                <w:b w:val="0"/>
                <w:bCs w:val="0"/>
                <w:color w:val="auto"/>
                <w:sz w:val="24"/>
                <w:szCs w:val="24"/>
                <w:highlight w:val="none"/>
                <w:lang w:val="en-US" w:eastAsia="zh-CN"/>
              </w:rPr>
            </w:pPr>
            <w:r>
              <w:rPr>
                <w:rFonts w:hint="default" w:ascii="Times New Roman" w:hAnsi="Times New Roman" w:cs="Times New Roman" w:eastAsiaTheme="minorEastAsia"/>
                <w:b w:val="0"/>
                <w:bCs w:val="0"/>
                <w:color w:val="auto"/>
                <w:sz w:val="24"/>
                <w:szCs w:val="24"/>
                <w:highlight w:val="none"/>
                <w:lang w:val="en-US" w:eastAsia="zh-CN"/>
              </w:rPr>
              <w:t>我单位已按要求编制开采方案，现承诺如下：</w:t>
            </w:r>
          </w:p>
          <w:p w14:paraId="7CD26A64">
            <w:pPr>
              <w:pageBreakBefore w:val="0"/>
              <w:kinsoku/>
              <w:wordWrap/>
              <w:overflowPunct/>
              <w:topLinePunct w:val="0"/>
              <w:bidi w:val="0"/>
              <w:snapToGrid w:val="0"/>
              <w:jc w:val="left"/>
              <w:rPr>
                <w:rFonts w:hint="default" w:ascii="Times New Roman" w:hAnsi="Times New Roman" w:cs="Times New Roman" w:eastAsiaTheme="minorEastAsia"/>
                <w:b w:val="0"/>
                <w:bCs w:val="0"/>
                <w:color w:val="auto"/>
                <w:sz w:val="24"/>
                <w:szCs w:val="24"/>
                <w:highlight w:val="none"/>
                <w:lang w:val="en-US" w:eastAsia="zh-CN"/>
              </w:rPr>
            </w:pPr>
            <w:r>
              <w:rPr>
                <w:rFonts w:hint="default" w:ascii="Times New Roman" w:hAnsi="Times New Roman" w:cs="Times New Roman" w:eastAsiaTheme="minorEastAsia"/>
                <w:b w:val="0"/>
                <w:bCs w:val="0"/>
                <w:color w:val="auto"/>
                <w:sz w:val="24"/>
                <w:szCs w:val="24"/>
                <w:highlight w:val="none"/>
                <w:lang w:val="en-US" w:eastAsia="zh-CN"/>
              </w:rPr>
              <w:t>1.方案内容真实、符合技术规范要求。</w:t>
            </w:r>
          </w:p>
          <w:p w14:paraId="4AFD2E68">
            <w:pPr>
              <w:pageBreakBefore w:val="0"/>
              <w:kinsoku/>
              <w:wordWrap/>
              <w:overflowPunct/>
              <w:topLinePunct w:val="0"/>
              <w:bidi w:val="0"/>
              <w:snapToGrid w:val="0"/>
              <w:jc w:val="left"/>
              <w:rPr>
                <w:rFonts w:hint="default" w:ascii="Times New Roman" w:hAnsi="Times New Roman" w:cs="Times New Roman" w:eastAsiaTheme="minorEastAsia"/>
                <w:b w:val="0"/>
                <w:bCs w:val="0"/>
                <w:color w:val="auto"/>
                <w:sz w:val="24"/>
                <w:szCs w:val="24"/>
                <w:highlight w:val="none"/>
                <w:lang w:val="en-US" w:eastAsia="zh-CN"/>
              </w:rPr>
            </w:pPr>
            <w:r>
              <w:rPr>
                <w:rFonts w:hint="default" w:ascii="Times New Roman" w:hAnsi="Times New Roman" w:cs="Times New Roman" w:eastAsiaTheme="minorEastAsia"/>
                <w:b w:val="0"/>
                <w:bCs w:val="0"/>
                <w:color w:val="auto"/>
                <w:sz w:val="24"/>
                <w:szCs w:val="24"/>
                <w:highlight w:val="none"/>
                <w:lang w:val="en-US" w:eastAsia="zh-CN"/>
              </w:rPr>
              <w:t>2.将按照本方案做好矿产资源合理开发利用和保护工作，严格按照批准的开采区域、开采方式、开采矿种等进行开采。矿产资源开采回采率、选矿回收率和综合利用率达到国家有关标准要求。自觉接受相关部门监督管理。</w:t>
            </w:r>
          </w:p>
          <w:p w14:paraId="27127FE2">
            <w:pPr>
              <w:pageBreakBefore w:val="0"/>
              <w:kinsoku/>
              <w:wordWrap/>
              <w:overflowPunct/>
              <w:topLinePunct w:val="0"/>
              <w:bidi w:val="0"/>
              <w:snapToGrid w:val="0"/>
              <w:jc w:val="left"/>
              <w:rPr>
                <w:rFonts w:hint="default" w:ascii="Times New Roman" w:hAnsi="Times New Roman" w:cs="Times New Roman" w:eastAsiaTheme="minorEastAsia"/>
                <w:b w:val="0"/>
                <w:bCs w:val="0"/>
                <w:color w:val="auto"/>
                <w:sz w:val="24"/>
                <w:szCs w:val="24"/>
                <w:highlight w:val="none"/>
                <w:lang w:val="en-US" w:eastAsia="zh-CN"/>
              </w:rPr>
            </w:pPr>
            <w:r>
              <w:rPr>
                <w:rFonts w:hint="default" w:ascii="Times New Roman" w:hAnsi="Times New Roman" w:cs="Times New Roman" w:eastAsiaTheme="minorEastAsia"/>
                <w:b w:val="0"/>
                <w:bCs w:val="0"/>
                <w:color w:val="auto"/>
                <w:sz w:val="24"/>
                <w:szCs w:val="24"/>
                <w:highlight w:val="none"/>
                <w:lang w:val="en-US" w:eastAsia="zh-CN"/>
              </w:rPr>
              <w:t>3.严格遵守矿产资源法律法规、相关矿业权管理政策，依法有效保护、合理开采、综合利用矿产资源，依法保护生态环境，建设绿色矿山。</w:t>
            </w:r>
          </w:p>
          <w:p w14:paraId="44A169BA">
            <w:pPr>
              <w:pageBreakBefore w:val="0"/>
              <w:kinsoku/>
              <w:wordWrap/>
              <w:overflowPunct/>
              <w:topLinePunct w:val="0"/>
              <w:bidi w:val="0"/>
              <w:snapToGrid w:val="0"/>
              <w:jc w:val="left"/>
              <w:rPr>
                <w:rFonts w:hint="default" w:ascii="Times New Roman" w:hAnsi="Times New Roman" w:cs="Times New Roman" w:eastAsiaTheme="minorEastAsia"/>
                <w:b w:val="0"/>
                <w:bCs w:val="0"/>
                <w:color w:val="auto"/>
                <w:sz w:val="24"/>
                <w:szCs w:val="24"/>
                <w:highlight w:val="none"/>
                <w:lang w:val="en-US" w:eastAsia="zh-CN"/>
              </w:rPr>
            </w:pPr>
          </w:p>
          <w:p w14:paraId="34582C89">
            <w:pPr>
              <w:pageBreakBefore w:val="0"/>
              <w:kinsoku/>
              <w:wordWrap/>
              <w:overflowPunct/>
              <w:topLinePunct w:val="0"/>
              <w:bidi w:val="0"/>
              <w:snapToGrid w:val="0"/>
              <w:jc w:val="left"/>
              <w:rPr>
                <w:rFonts w:hint="default" w:ascii="Times New Roman" w:hAnsi="Times New Roman" w:cs="Times New Roman" w:eastAsiaTheme="minorEastAsia"/>
                <w:b w:val="0"/>
                <w:bCs w:val="0"/>
                <w:color w:val="auto"/>
                <w:sz w:val="24"/>
                <w:szCs w:val="24"/>
                <w:highlight w:val="none"/>
                <w:lang w:val="en-US" w:eastAsia="zh-CN"/>
              </w:rPr>
            </w:pPr>
          </w:p>
          <w:p w14:paraId="70DA202C">
            <w:pPr>
              <w:pageBreakBefore w:val="0"/>
              <w:kinsoku/>
              <w:wordWrap/>
              <w:overflowPunct/>
              <w:topLinePunct w:val="0"/>
              <w:bidi w:val="0"/>
              <w:snapToGrid w:val="0"/>
              <w:jc w:val="left"/>
              <w:rPr>
                <w:rFonts w:hint="default" w:ascii="Times New Roman" w:hAnsi="Times New Roman" w:cs="Times New Roman" w:eastAsiaTheme="minorEastAsia"/>
                <w:b w:val="0"/>
                <w:bCs w:val="0"/>
                <w:color w:val="auto"/>
                <w:sz w:val="24"/>
                <w:szCs w:val="24"/>
                <w:highlight w:val="none"/>
                <w:lang w:val="en-US" w:eastAsia="zh-CN"/>
              </w:rPr>
            </w:pPr>
            <w:r>
              <w:rPr>
                <w:rFonts w:hint="default" w:ascii="Times New Roman" w:hAnsi="Times New Roman" w:cs="Times New Roman" w:eastAsiaTheme="minorEastAsia"/>
                <w:b w:val="0"/>
                <w:bCs w:val="0"/>
                <w:color w:val="auto"/>
                <w:sz w:val="24"/>
                <w:szCs w:val="24"/>
                <w:highlight w:val="none"/>
                <w:lang w:val="en-US" w:eastAsia="zh-CN"/>
              </w:rPr>
              <w:t>矿业权人（盖章）：大兴安岭呼玛对俄经济贸易</w:t>
            </w:r>
          </w:p>
          <w:p w14:paraId="79706559">
            <w:pPr>
              <w:pageBreakBefore w:val="0"/>
              <w:kinsoku/>
              <w:wordWrap/>
              <w:overflowPunct/>
              <w:topLinePunct w:val="0"/>
              <w:bidi w:val="0"/>
              <w:snapToGrid w:val="0"/>
              <w:jc w:val="left"/>
              <w:rPr>
                <w:rFonts w:hint="default" w:ascii="Times New Roman" w:hAnsi="Times New Roman" w:cs="Times New Roman" w:eastAsiaTheme="minorEastAsia"/>
                <w:color w:val="auto"/>
                <w:sz w:val="24"/>
                <w:szCs w:val="24"/>
                <w:highlight w:val="none"/>
                <w:u w:val="single"/>
              </w:rPr>
            </w:pPr>
            <w:r>
              <w:rPr>
                <w:rFonts w:hint="default" w:ascii="Times New Roman" w:hAnsi="Times New Roman" w:cs="Times New Roman" w:eastAsiaTheme="minorEastAsia"/>
                <w:b w:val="0"/>
                <w:bCs w:val="0"/>
                <w:color w:val="auto"/>
                <w:sz w:val="24"/>
                <w:szCs w:val="24"/>
                <w:highlight w:val="none"/>
                <w:lang w:val="en-US" w:eastAsia="zh-CN"/>
              </w:rPr>
              <w:t xml:space="preserve">                  园区开发有限责任公司     </w:t>
            </w:r>
            <w:r>
              <w:rPr>
                <w:rFonts w:hint="default" w:ascii="Times New Roman" w:hAnsi="Times New Roman" w:cs="Times New Roman" w:eastAsiaTheme="minorEastAsia"/>
                <w:color w:val="auto"/>
                <w:sz w:val="24"/>
                <w:szCs w:val="24"/>
                <w:highlight w:val="none"/>
                <w:u w:val="none"/>
              </w:rPr>
              <w:t xml:space="preserve">    </w:t>
            </w:r>
          </w:p>
        </w:tc>
      </w:tr>
    </w:tbl>
    <w:p w14:paraId="00E35999">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28"/>
          <w:szCs w:val="28"/>
          <w:highlight w:val="none"/>
        </w:rPr>
      </w:pPr>
    </w:p>
    <w:p w14:paraId="072BA56F">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28"/>
          <w:szCs w:val="28"/>
          <w:highlight w:val="none"/>
        </w:rPr>
      </w:pPr>
    </w:p>
    <w:p w14:paraId="41788405">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28"/>
          <w:szCs w:val="28"/>
          <w:highlight w:val="none"/>
        </w:rPr>
      </w:pPr>
    </w:p>
    <w:p w14:paraId="679E4D98">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28"/>
          <w:szCs w:val="28"/>
          <w:highlight w:val="none"/>
        </w:rPr>
      </w:pPr>
    </w:p>
    <w:p w14:paraId="430BA7A2">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28"/>
          <w:szCs w:val="28"/>
          <w:highlight w:val="none"/>
        </w:rPr>
      </w:pPr>
    </w:p>
    <w:p w14:paraId="26F57623">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28"/>
          <w:szCs w:val="28"/>
          <w:highlight w:val="none"/>
        </w:rPr>
      </w:pPr>
    </w:p>
    <w:p w14:paraId="7B37E3FB">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28"/>
          <w:szCs w:val="28"/>
          <w:highlight w:val="none"/>
        </w:rPr>
      </w:pPr>
    </w:p>
    <w:p w14:paraId="13997747">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28"/>
          <w:szCs w:val="28"/>
          <w:highlight w:val="none"/>
        </w:rPr>
      </w:pPr>
    </w:p>
    <w:p w14:paraId="495D136C">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28"/>
          <w:szCs w:val="28"/>
          <w:highlight w:val="none"/>
        </w:rPr>
      </w:pPr>
    </w:p>
    <w:p w14:paraId="1A0AD565">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28"/>
          <w:szCs w:val="28"/>
          <w:highlight w:val="none"/>
        </w:rPr>
      </w:pPr>
    </w:p>
    <w:p w14:paraId="3CBA937B">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28"/>
          <w:szCs w:val="28"/>
          <w:highlight w:val="none"/>
        </w:rPr>
      </w:pPr>
    </w:p>
    <w:p w14:paraId="5B496EB7">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28"/>
          <w:szCs w:val="28"/>
          <w:highlight w:val="none"/>
        </w:rPr>
      </w:pPr>
    </w:p>
    <w:p w14:paraId="35005217">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28"/>
          <w:szCs w:val="28"/>
          <w:highlight w:val="none"/>
        </w:rPr>
      </w:pPr>
    </w:p>
    <w:p w14:paraId="790655BF">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28"/>
          <w:szCs w:val="28"/>
          <w:highlight w:val="none"/>
        </w:rPr>
      </w:pPr>
    </w:p>
    <w:p w14:paraId="215098C6">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28"/>
          <w:szCs w:val="28"/>
          <w:highlight w:val="none"/>
        </w:rPr>
      </w:pPr>
    </w:p>
    <w:p w14:paraId="75051E9D">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28"/>
          <w:szCs w:val="28"/>
          <w:highlight w:val="none"/>
        </w:rPr>
      </w:pPr>
    </w:p>
    <w:p w14:paraId="0F7F218F">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28"/>
          <w:szCs w:val="28"/>
          <w:highlight w:val="none"/>
        </w:rPr>
      </w:pPr>
    </w:p>
    <w:p w14:paraId="13817873">
      <w:pPr>
        <w:pageBreakBefore w:val="0"/>
        <w:kinsoku/>
        <w:wordWrap/>
        <w:overflowPunct/>
        <w:topLinePunct w:val="0"/>
        <w:bidi w:val="0"/>
        <w:spacing w:line="360" w:lineRule="auto"/>
        <w:jc w:val="center"/>
        <w:rPr>
          <w:rFonts w:hint="default" w:ascii="Times New Roman" w:hAnsi="Times New Roman" w:cs="Times New Roman" w:eastAsiaTheme="minorEastAsia"/>
          <w:b w:val="0"/>
          <w:color w:val="auto"/>
          <w:sz w:val="32"/>
          <w:szCs w:val="32"/>
          <w:highlight w:val="none"/>
        </w:rPr>
      </w:pPr>
      <w:r>
        <w:rPr>
          <w:rFonts w:hint="default" w:ascii="Times New Roman" w:hAnsi="Times New Roman" w:cs="Times New Roman" w:eastAsiaTheme="minorEastAsia"/>
          <w:b w:val="0"/>
          <w:color w:val="auto"/>
          <w:sz w:val="32"/>
          <w:szCs w:val="32"/>
          <w:highlight w:val="none"/>
        </w:rPr>
        <w:t>矿产资源</w:t>
      </w:r>
      <w:r>
        <w:rPr>
          <w:rFonts w:hint="default" w:ascii="Times New Roman" w:hAnsi="Times New Roman" w:cs="Times New Roman" w:eastAsiaTheme="minorEastAsia"/>
          <w:b w:val="0"/>
          <w:color w:val="auto"/>
          <w:sz w:val="32"/>
          <w:szCs w:val="32"/>
          <w:highlight w:val="none"/>
          <w:lang w:val="en-US" w:eastAsia="zh-CN"/>
        </w:rPr>
        <w:t>开采</w:t>
      </w:r>
      <w:r>
        <w:rPr>
          <w:rFonts w:hint="default" w:ascii="Times New Roman" w:hAnsi="Times New Roman" w:cs="Times New Roman" w:eastAsiaTheme="minorEastAsia"/>
          <w:b w:val="0"/>
          <w:color w:val="auto"/>
          <w:sz w:val="32"/>
          <w:szCs w:val="32"/>
          <w:highlight w:val="none"/>
        </w:rPr>
        <w:t>方案综合信息表</w:t>
      </w:r>
    </w:p>
    <w:tbl>
      <w:tblPr>
        <w:tblStyle w:val="19"/>
        <w:tblpPr w:leftFromText="180" w:rightFromText="180" w:vertAnchor="text" w:horzAnchor="page" w:tblpX="1532" w:tblpY="51"/>
        <w:tblOverlap w:val="never"/>
        <w:tblW w:w="88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8"/>
        <w:gridCol w:w="1790"/>
        <w:gridCol w:w="1426"/>
        <w:gridCol w:w="600"/>
        <w:gridCol w:w="1707"/>
        <w:gridCol w:w="1580"/>
      </w:tblGrid>
      <w:tr w14:paraId="1882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891" w:type="dxa"/>
            <w:gridSpan w:val="6"/>
            <w:noWrap w:val="0"/>
            <w:vAlign w:val="center"/>
          </w:tcPr>
          <w:p w14:paraId="3CF29366">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lang w:eastAsia="zh-CN"/>
              </w:rPr>
            </w:pPr>
            <w:r>
              <w:rPr>
                <w:rFonts w:hint="default" w:ascii="Times New Roman" w:hAnsi="Times New Roman" w:cs="Times New Roman" w:eastAsiaTheme="minorEastAsia"/>
                <w:color w:val="auto"/>
                <w:sz w:val="24"/>
                <w:szCs w:val="24"/>
                <w:highlight w:val="none"/>
                <w:lang w:eastAsia="zh-CN"/>
              </w:rPr>
              <w:t>大兴安岭地区呼玛县JH项目鸥浦乡配套采石场建筑用凝灰岩矿</w:t>
            </w:r>
          </w:p>
          <w:p w14:paraId="1ADBF1F6">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8"/>
                <w:szCs w:val="28"/>
                <w:highlight w:val="none"/>
              </w:rPr>
            </w:pPr>
            <w:r>
              <w:rPr>
                <w:rFonts w:hint="default" w:ascii="Times New Roman" w:hAnsi="Times New Roman" w:cs="Times New Roman" w:eastAsiaTheme="minorEastAsia"/>
                <w:color w:val="auto"/>
                <w:sz w:val="24"/>
                <w:szCs w:val="24"/>
                <w:highlight w:val="none"/>
                <w:lang w:eastAsia="zh-CN"/>
              </w:rPr>
              <w:t>开采方案综合信息表</w:t>
            </w:r>
          </w:p>
        </w:tc>
      </w:tr>
      <w:tr w14:paraId="638CB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88" w:type="dxa"/>
            <w:noWrap w:val="0"/>
            <w:vAlign w:val="center"/>
          </w:tcPr>
          <w:p w14:paraId="222C5FCB">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企业名称</w:t>
            </w:r>
          </w:p>
        </w:tc>
        <w:tc>
          <w:tcPr>
            <w:tcW w:w="7103" w:type="dxa"/>
            <w:gridSpan w:val="5"/>
            <w:noWrap w:val="0"/>
            <w:vAlign w:val="center"/>
          </w:tcPr>
          <w:p w14:paraId="67C9DCC2">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lang w:eastAsia="zh-CN"/>
              </w:rPr>
              <w:t>大兴安岭呼玛对俄经济贸易园区开发有限责任公司</w:t>
            </w:r>
          </w:p>
        </w:tc>
      </w:tr>
      <w:tr w14:paraId="3FEFF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88" w:type="dxa"/>
            <w:noWrap w:val="0"/>
            <w:vAlign w:val="center"/>
          </w:tcPr>
          <w:p w14:paraId="347C7961">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矿山名称</w:t>
            </w:r>
          </w:p>
        </w:tc>
        <w:tc>
          <w:tcPr>
            <w:tcW w:w="7103" w:type="dxa"/>
            <w:gridSpan w:val="5"/>
            <w:noWrap w:val="0"/>
            <w:vAlign w:val="center"/>
          </w:tcPr>
          <w:p w14:paraId="7A445749">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大兴安岭地区呼玛县JH项目鸥浦乡配套采石场建筑用凝灰岩矿</w:t>
            </w:r>
          </w:p>
        </w:tc>
      </w:tr>
      <w:tr w14:paraId="36293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88" w:type="dxa"/>
            <w:vMerge w:val="restart"/>
            <w:noWrap w:val="0"/>
            <w:vAlign w:val="center"/>
          </w:tcPr>
          <w:p w14:paraId="37187535">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方案基本情况</w:t>
            </w:r>
          </w:p>
        </w:tc>
        <w:tc>
          <w:tcPr>
            <w:tcW w:w="1790" w:type="dxa"/>
            <w:noWrap w:val="0"/>
            <w:vAlign w:val="center"/>
          </w:tcPr>
          <w:p w14:paraId="1869337E">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lang w:val="en-US" w:eastAsia="zh-CN"/>
              </w:rPr>
              <w:t>开采</w:t>
            </w:r>
            <w:r>
              <w:rPr>
                <w:rFonts w:hint="default" w:ascii="Times New Roman" w:hAnsi="Times New Roman" w:cs="Times New Roman" w:eastAsiaTheme="minorEastAsia"/>
                <w:color w:val="auto"/>
                <w:sz w:val="24"/>
                <w:szCs w:val="24"/>
                <w:highlight w:val="none"/>
              </w:rPr>
              <w:t>方案名称</w:t>
            </w:r>
          </w:p>
        </w:tc>
        <w:tc>
          <w:tcPr>
            <w:tcW w:w="5313" w:type="dxa"/>
            <w:gridSpan w:val="4"/>
            <w:noWrap w:val="0"/>
            <w:vAlign w:val="center"/>
          </w:tcPr>
          <w:p w14:paraId="2A7FAFEF">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b/>
                <w:color w:val="auto"/>
                <w:sz w:val="24"/>
                <w:szCs w:val="24"/>
                <w:highlight w:val="none"/>
              </w:rPr>
            </w:pPr>
            <w:r>
              <w:rPr>
                <w:rFonts w:hint="default" w:ascii="Times New Roman" w:hAnsi="Times New Roman" w:cs="Times New Roman" w:eastAsiaTheme="minorEastAsia"/>
                <w:color w:val="auto"/>
                <w:sz w:val="24"/>
                <w:szCs w:val="24"/>
                <w:highlight w:val="none"/>
                <w:lang w:eastAsia="zh-CN"/>
              </w:rPr>
              <w:t>大兴安岭地区呼玛县JH项目鸥浦乡配套采石场建筑用凝灰岩矿开采方案</w:t>
            </w:r>
          </w:p>
        </w:tc>
      </w:tr>
      <w:tr w14:paraId="7172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88" w:type="dxa"/>
            <w:vMerge w:val="continue"/>
            <w:noWrap w:val="0"/>
            <w:vAlign w:val="center"/>
          </w:tcPr>
          <w:p w14:paraId="159AC030">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790" w:type="dxa"/>
            <w:noWrap w:val="0"/>
            <w:vAlign w:val="center"/>
          </w:tcPr>
          <w:p w14:paraId="0A81FD8F">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lang w:val="en-US" w:eastAsia="zh-CN"/>
              </w:rPr>
              <w:t>开采</w:t>
            </w:r>
            <w:r>
              <w:rPr>
                <w:rFonts w:hint="default" w:ascii="Times New Roman" w:hAnsi="Times New Roman" w:cs="Times New Roman" w:eastAsiaTheme="minorEastAsia"/>
                <w:color w:val="auto"/>
                <w:sz w:val="24"/>
                <w:szCs w:val="24"/>
                <w:highlight w:val="none"/>
              </w:rPr>
              <w:t>方案</w:t>
            </w:r>
          </w:p>
          <w:p w14:paraId="09A40A3A">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编制情形</w:t>
            </w:r>
          </w:p>
        </w:tc>
        <w:tc>
          <w:tcPr>
            <w:tcW w:w="5313" w:type="dxa"/>
            <w:gridSpan w:val="4"/>
            <w:noWrap w:val="0"/>
            <w:vAlign w:val="center"/>
          </w:tcPr>
          <w:p w14:paraId="1265A126">
            <w:pPr>
              <w:keepNext w:val="0"/>
              <w:keepLines w:val="0"/>
              <w:pageBreakBefore w:val="0"/>
              <w:widowControl w:val="0"/>
              <w:kinsoku/>
              <w:wordWrap/>
              <w:overflowPunct/>
              <w:topLinePunct w:val="0"/>
              <w:autoSpaceDE/>
              <w:autoSpaceDN/>
              <w:bidi w:val="0"/>
              <w:adjustRightInd/>
              <w:snapToGrid/>
              <w:spacing w:line="360" w:lineRule="exact"/>
              <w:ind w:firstLine="240" w:firstLineChars="100"/>
              <w:jc w:val="both"/>
              <w:textAlignment w:val="auto"/>
              <w:rPr>
                <w:rFonts w:hint="default" w:ascii="Times New Roman" w:hAnsi="Times New Roman" w:cs="Times New Roman" w:eastAsiaTheme="minorEastAsia"/>
                <w:color w:val="auto"/>
                <w:spacing w:val="6"/>
                <w:sz w:val="24"/>
                <w:szCs w:val="24"/>
                <w:highlight w:val="none"/>
                <w:lang w:val="en-US" w:eastAsia="zh-CN"/>
              </w:rPr>
            </w:pPr>
            <w:r>
              <w:rPr>
                <w:rFonts w:hint="default" w:ascii="Times New Roman" w:hAnsi="Times New Roman" w:cs="Times New Roman" w:eastAsiaTheme="minorEastAsia"/>
                <w:color w:val="auto"/>
                <w:sz w:val="24"/>
                <w:szCs w:val="24"/>
                <w:highlight w:val="none"/>
                <w:lang w:eastAsia="zh-CN"/>
              </w:rPr>
              <w:t>☑</w:t>
            </w:r>
            <w:r>
              <w:rPr>
                <w:rFonts w:hint="default" w:ascii="Times New Roman" w:hAnsi="Times New Roman" w:cs="Times New Roman" w:eastAsiaTheme="minorEastAsia"/>
                <w:color w:val="auto"/>
                <w:spacing w:val="6"/>
                <w:sz w:val="24"/>
                <w:szCs w:val="24"/>
                <w:highlight w:val="none"/>
                <w:lang w:val="en-US" w:eastAsia="zh-CN"/>
              </w:rPr>
              <w:t>首次申请采矿许可</w:t>
            </w:r>
            <w:r>
              <w:rPr>
                <w:rFonts w:hint="default" w:ascii="Times New Roman" w:hAnsi="Times New Roman" w:cs="Times New Roman" w:eastAsiaTheme="minorEastAsia"/>
                <w:color w:val="auto"/>
                <w:spacing w:val="6"/>
                <w:sz w:val="24"/>
                <w:szCs w:val="24"/>
                <w:highlight w:val="none"/>
              </w:rPr>
              <w:t xml:space="preserve">  </w:t>
            </w:r>
            <w:r>
              <w:rPr>
                <w:rFonts w:hint="default" w:ascii="Times New Roman" w:hAnsi="Times New Roman" w:cs="Times New Roman" w:eastAsiaTheme="minorEastAsia"/>
                <w:color w:val="auto"/>
                <w:sz w:val="24"/>
                <w:szCs w:val="24"/>
                <w:highlight w:val="none"/>
              </w:rPr>
              <w:t>□</w:t>
            </w:r>
            <w:r>
              <w:rPr>
                <w:rFonts w:hint="default" w:ascii="Times New Roman" w:hAnsi="Times New Roman" w:cs="Times New Roman" w:eastAsiaTheme="minorEastAsia"/>
                <w:color w:val="auto"/>
                <w:sz w:val="24"/>
                <w:szCs w:val="24"/>
                <w:highlight w:val="none"/>
                <w:lang w:val="en-US" w:eastAsia="zh-CN"/>
              </w:rPr>
              <w:t>扩大开采区域</w:t>
            </w:r>
          </w:p>
          <w:p w14:paraId="308939C4">
            <w:pPr>
              <w:keepNext w:val="0"/>
              <w:keepLines w:val="0"/>
              <w:pageBreakBefore w:val="0"/>
              <w:widowControl w:val="0"/>
              <w:kinsoku/>
              <w:wordWrap/>
              <w:overflowPunct/>
              <w:topLinePunct w:val="0"/>
              <w:autoSpaceDE/>
              <w:autoSpaceDN/>
              <w:bidi w:val="0"/>
              <w:adjustRightInd/>
              <w:snapToGrid/>
              <w:spacing w:line="360" w:lineRule="exact"/>
              <w:ind w:firstLine="240" w:firstLineChars="100"/>
              <w:jc w:val="both"/>
              <w:textAlignment w:val="auto"/>
              <w:rPr>
                <w:rFonts w:hint="default" w:ascii="Times New Roman" w:hAnsi="Times New Roman" w:cs="Times New Roman" w:eastAsiaTheme="minorEastAsia"/>
                <w:color w:val="auto"/>
                <w:spacing w:val="6"/>
                <w:sz w:val="24"/>
                <w:szCs w:val="24"/>
                <w:highlight w:val="none"/>
                <w:lang w:val="en-US" w:eastAsia="zh-CN"/>
              </w:rPr>
            </w:pPr>
            <w:r>
              <w:rPr>
                <w:rFonts w:hint="default" w:ascii="Times New Roman" w:hAnsi="Times New Roman" w:cs="Times New Roman" w:eastAsiaTheme="minorEastAsia"/>
                <w:color w:val="auto"/>
                <w:sz w:val="24"/>
                <w:szCs w:val="24"/>
                <w:highlight w:val="none"/>
                <w:lang w:eastAsia="zh-CN"/>
              </w:rPr>
              <w:t>□</w:t>
            </w:r>
            <w:r>
              <w:rPr>
                <w:rFonts w:hint="default" w:ascii="Times New Roman" w:hAnsi="Times New Roman" w:cs="Times New Roman" w:eastAsiaTheme="minorEastAsia"/>
                <w:color w:val="auto"/>
                <w:spacing w:val="6"/>
                <w:sz w:val="24"/>
                <w:szCs w:val="24"/>
                <w:highlight w:val="none"/>
                <w:lang w:val="en-US" w:eastAsia="zh-CN"/>
              </w:rPr>
              <w:t>缩小开采区域</w:t>
            </w:r>
            <w:r>
              <w:rPr>
                <w:rFonts w:hint="default" w:ascii="Times New Roman" w:hAnsi="Times New Roman" w:cs="Times New Roman" w:eastAsiaTheme="minorEastAsia"/>
                <w:color w:val="auto"/>
                <w:spacing w:val="6"/>
                <w:sz w:val="24"/>
                <w:szCs w:val="24"/>
                <w:highlight w:val="none"/>
              </w:rPr>
              <w:t xml:space="preserve"> </w:t>
            </w:r>
            <w:r>
              <w:rPr>
                <w:rFonts w:hint="default" w:ascii="Times New Roman" w:hAnsi="Times New Roman" w:cs="Times New Roman" w:eastAsiaTheme="minorEastAsia"/>
                <w:color w:val="auto"/>
                <w:spacing w:val="6"/>
                <w:sz w:val="24"/>
                <w:szCs w:val="24"/>
                <w:highlight w:val="none"/>
                <w:lang w:val="en-US" w:eastAsia="zh-CN"/>
              </w:rPr>
              <w:t xml:space="preserve">    </w:t>
            </w:r>
            <w:r>
              <w:rPr>
                <w:rFonts w:hint="default" w:ascii="Times New Roman" w:hAnsi="Times New Roman" w:cs="Times New Roman" w:eastAsiaTheme="minorEastAsia"/>
                <w:color w:val="auto"/>
                <w:spacing w:val="6"/>
                <w:sz w:val="24"/>
                <w:szCs w:val="24"/>
                <w:highlight w:val="none"/>
              </w:rPr>
              <w:t xml:space="preserve"> </w:t>
            </w:r>
            <w:r>
              <w:rPr>
                <w:rFonts w:hint="default" w:ascii="Times New Roman" w:hAnsi="Times New Roman" w:cs="Times New Roman" w:eastAsiaTheme="minorEastAsia"/>
                <w:color w:val="auto"/>
                <w:sz w:val="24"/>
                <w:szCs w:val="24"/>
                <w:highlight w:val="none"/>
              </w:rPr>
              <w:t>□</w:t>
            </w:r>
            <w:r>
              <w:rPr>
                <w:rFonts w:hint="default" w:ascii="Times New Roman" w:hAnsi="Times New Roman" w:cs="Times New Roman" w:eastAsiaTheme="minorEastAsia"/>
                <w:color w:val="auto"/>
                <w:spacing w:val="6"/>
                <w:sz w:val="24"/>
                <w:szCs w:val="24"/>
                <w:highlight w:val="none"/>
              </w:rPr>
              <w:t>变更</w:t>
            </w:r>
            <w:r>
              <w:rPr>
                <w:rFonts w:hint="default" w:ascii="Times New Roman" w:hAnsi="Times New Roman" w:cs="Times New Roman" w:eastAsiaTheme="minorEastAsia"/>
                <w:color w:val="auto"/>
                <w:spacing w:val="6"/>
                <w:sz w:val="24"/>
                <w:szCs w:val="24"/>
                <w:highlight w:val="none"/>
                <w:lang w:val="en-US" w:eastAsia="zh-CN"/>
              </w:rPr>
              <w:t>主要开采矿种</w:t>
            </w:r>
          </w:p>
          <w:p w14:paraId="0FC03CDE">
            <w:pPr>
              <w:keepNext w:val="0"/>
              <w:keepLines w:val="0"/>
              <w:pageBreakBefore w:val="0"/>
              <w:widowControl w:val="0"/>
              <w:kinsoku/>
              <w:wordWrap/>
              <w:overflowPunct/>
              <w:topLinePunct w:val="0"/>
              <w:autoSpaceDE/>
              <w:autoSpaceDN/>
              <w:bidi w:val="0"/>
              <w:adjustRightInd/>
              <w:snapToGrid/>
              <w:spacing w:line="360" w:lineRule="exact"/>
              <w:ind w:firstLine="240" w:firstLineChars="100"/>
              <w:jc w:val="both"/>
              <w:textAlignment w:val="auto"/>
              <w:rPr>
                <w:rFonts w:hint="default" w:ascii="Times New Roman" w:hAnsi="Times New Roman" w:cs="Times New Roman" w:eastAsiaTheme="minorEastAsia"/>
                <w:color w:val="auto"/>
                <w:spacing w:val="6"/>
                <w:sz w:val="24"/>
                <w:szCs w:val="24"/>
                <w:highlight w:val="none"/>
                <w:lang w:val="en-US" w:eastAsia="zh-CN"/>
              </w:rPr>
            </w:pPr>
            <w:r>
              <w:rPr>
                <w:rFonts w:hint="default" w:ascii="Times New Roman" w:hAnsi="Times New Roman" w:cs="Times New Roman" w:eastAsiaTheme="minorEastAsia"/>
                <w:color w:val="auto"/>
                <w:sz w:val="24"/>
                <w:szCs w:val="24"/>
                <w:highlight w:val="none"/>
              </w:rPr>
              <w:t>□</w:t>
            </w:r>
            <w:r>
              <w:rPr>
                <w:rFonts w:hint="default" w:ascii="Times New Roman" w:hAnsi="Times New Roman" w:cs="Times New Roman" w:eastAsiaTheme="minorEastAsia"/>
                <w:color w:val="auto"/>
                <w:spacing w:val="6"/>
                <w:sz w:val="24"/>
                <w:szCs w:val="24"/>
                <w:highlight w:val="none"/>
              </w:rPr>
              <w:t>变更</w:t>
            </w:r>
            <w:r>
              <w:rPr>
                <w:rFonts w:hint="default" w:ascii="Times New Roman" w:hAnsi="Times New Roman" w:cs="Times New Roman" w:eastAsiaTheme="minorEastAsia"/>
                <w:color w:val="auto"/>
                <w:spacing w:val="6"/>
                <w:sz w:val="24"/>
                <w:szCs w:val="24"/>
                <w:highlight w:val="none"/>
                <w:lang w:val="en-US" w:eastAsia="zh-CN"/>
              </w:rPr>
              <w:t>开采方式</w:t>
            </w:r>
          </w:p>
        </w:tc>
      </w:tr>
      <w:tr w14:paraId="47CA0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88" w:type="dxa"/>
            <w:vMerge w:val="continue"/>
            <w:noWrap w:val="0"/>
            <w:vAlign w:val="center"/>
          </w:tcPr>
          <w:p w14:paraId="47DDDF28">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790" w:type="dxa"/>
            <w:vMerge w:val="restart"/>
            <w:noWrap w:val="0"/>
            <w:vAlign w:val="center"/>
          </w:tcPr>
          <w:p w14:paraId="544C98EA">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lang w:val="en-US" w:eastAsia="zh-CN"/>
              </w:rPr>
              <w:t>探矿权信息</w:t>
            </w:r>
          </w:p>
        </w:tc>
        <w:tc>
          <w:tcPr>
            <w:tcW w:w="2026" w:type="dxa"/>
            <w:gridSpan w:val="2"/>
            <w:shd w:val="clear" w:color="auto" w:fill="auto"/>
            <w:noWrap w:val="0"/>
            <w:vAlign w:val="center"/>
          </w:tcPr>
          <w:p w14:paraId="1F50BECE">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kern w:val="2"/>
                <w:sz w:val="24"/>
                <w:szCs w:val="24"/>
                <w:highlight w:val="none"/>
                <w:lang w:val="en-US" w:eastAsia="zh-CN" w:bidi="ar-SA"/>
              </w:rPr>
            </w:pPr>
            <w:r>
              <w:rPr>
                <w:rFonts w:hint="default" w:ascii="Times New Roman" w:hAnsi="Times New Roman" w:cs="Times New Roman" w:eastAsiaTheme="minorEastAsia"/>
                <w:color w:val="auto"/>
                <w:sz w:val="24"/>
                <w:szCs w:val="24"/>
                <w:highlight w:val="none"/>
                <w:lang w:val="en-US" w:eastAsia="zh-CN"/>
              </w:rPr>
              <w:t>探矿权人</w:t>
            </w:r>
          </w:p>
        </w:tc>
        <w:tc>
          <w:tcPr>
            <w:tcW w:w="3287" w:type="dxa"/>
            <w:gridSpan w:val="2"/>
            <w:noWrap w:val="0"/>
            <w:vAlign w:val="center"/>
          </w:tcPr>
          <w:p w14:paraId="3594C502">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rPr>
            </w:pPr>
          </w:p>
        </w:tc>
      </w:tr>
      <w:tr w14:paraId="1B552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88" w:type="dxa"/>
            <w:vMerge w:val="continue"/>
            <w:noWrap w:val="0"/>
            <w:vAlign w:val="center"/>
          </w:tcPr>
          <w:p w14:paraId="112C2F9C">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790" w:type="dxa"/>
            <w:vMerge w:val="continue"/>
            <w:noWrap w:val="0"/>
            <w:vAlign w:val="center"/>
          </w:tcPr>
          <w:p w14:paraId="7F57CC5E">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2026" w:type="dxa"/>
            <w:gridSpan w:val="2"/>
            <w:shd w:val="clear" w:color="auto" w:fill="auto"/>
            <w:noWrap w:val="0"/>
            <w:vAlign w:val="center"/>
          </w:tcPr>
          <w:p w14:paraId="1F7A1BAB">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不动产权证书</w:t>
            </w:r>
          </w:p>
          <w:p w14:paraId="273E91FD">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kern w:val="2"/>
                <w:sz w:val="24"/>
                <w:szCs w:val="24"/>
                <w:highlight w:val="none"/>
                <w:lang w:val="en-US" w:eastAsia="zh-CN" w:bidi="ar-SA"/>
              </w:rPr>
            </w:pPr>
            <w:r>
              <w:rPr>
                <w:rFonts w:hint="default" w:ascii="Times New Roman" w:hAnsi="Times New Roman" w:cs="Times New Roman" w:eastAsiaTheme="minorEastAsia"/>
                <w:color w:val="auto"/>
                <w:sz w:val="24"/>
                <w:szCs w:val="24"/>
                <w:highlight w:val="none"/>
                <w:lang w:val="en-US" w:eastAsia="zh-CN"/>
              </w:rPr>
              <w:t>（探矿权）证号</w:t>
            </w:r>
          </w:p>
        </w:tc>
        <w:tc>
          <w:tcPr>
            <w:tcW w:w="3287" w:type="dxa"/>
            <w:gridSpan w:val="2"/>
            <w:noWrap w:val="0"/>
            <w:vAlign w:val="center"/>
          </w:tcPr>
          <w:p w14:paraId="2DF2ACBF">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rPr>
            </w:pPr>
          </w:p>
        </w:tc>
      </w:tr>
      <w:tr w14:paraId="04FED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88" w:type="dxa"/>
            <w:vMerge w:val="continue"/>
            <w:noWrap w:val="0"/>
            <w:vAlign w:val="center"/>
          </w:tcPr>
          <w:p w14:paraId="28CF2FD2">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790" w:type="dxa"/>
            <w:vMerge w:val="continue"/>
            <w:noWrap w:val="0"/>
            <w:vAlign w:val="center"/>
          </w:tcPr>
          <w:p w14:paraId="05CC9169">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2026" w:type="dxa"/>
            <w:gridSpan w:val="2"/>
            <w:shd w:val="clear" w:color="auto" w:fill="auto"/>
            <w:noWrap w:val="0"/>
            <w:vAlign w:val="center"/>
          </w:tcPr>
          <w:p w14:paraId="31D0A5D8">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kern w:val="2"/>
                <w:sz w:val="24"/>
                <w:szCs w:val="24"/>
                <w:highlight w:val="none"/>
                <w:lang w:val="en-US" w:eastAsia="zh-CN" w:bidi="ar-SA"/>
              </w:rPr>
            </w:pPr>
            <w:r>
              <w:rPr>
                <w:rFonts w:hint="default" w:ascii="Times New Roman" w:hAnsi="Times New Roman" w:cs="Times New Roman" w:eastAsiaTheme="minorEastAsia"/>
                <w:color w:val="auto"/>
                <w:sz w:val="24"/>
                <w:szCs w:val="24"/>
                <w:highlight w:val="none"/>
                <w:lang w:val="en-US" w:eastAsia="zh-CN"/>
              </w:rPr>
              <w:t>探矿权有效期</w:t>
            </w:r>
          </w:p>
        </w:tc>
        <w:tc>
          <w:tcPr>
            <w:tcW w:w="3287" w:type="dxa"/>
            <w:gridSpan w:val="2"/>
            <w:noWrap w:val="0"/>
            <w:vAlign w:val="center"/>
          </w:tcPr>
          <w:p w14:paraId="62AFFD31">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rPr>
            </w:pPr>
          </w:p>
        </w:tc>
      </w:tr>
      <w:tr w14:paraId="2F5AF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trPr>
        <w:tc>
          <w:tcPr>
            <w:tcW w:w="1788" w:type="dxa"/>
            <w:vMerge w:val="continue"/>
            <w:noWrap w:val="0"/>
            <w:vAlign w:val="center"/>
          </w:tcPr>
          <w:p w14:paraId="39D45E61">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790" w:type="dxa"/>
            <w:vMerge w:val="restart"/>
            <w:noWrap w:val="0"/>
            <w:vAlign w:val="center"/>
          </w:tcPr>
          <w:p w14:paraId="23B937A1">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lang w:val="en-US" w:eastAsia="zh-CN"/>
              </w:rPr>
              <w:t>采矿权信息</w:t>
            </w:r>
          </w:p>
        </w:tc>
        <w:tc>
          <w:tcPr>
            <w:tcW w:w="2026" w:type="dxa"/>
            <w:gridSpan w:val="2"/>
            <w:shd w:val="clear" w:color="auto" w:fill="auto"/>
            <w:noWrap w:val="0"/>
            <w:vAlign w:val="center"/>
          </w:tcPr>
          <w:p w14:paraId="51E504D7">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kern w:val="2"/>
                <w:sz w:val="24"/>
                <w:szCs w:val="24"/>
                <w:highlight w:val="none"/>
                <w:lang w:val="en-US" w:eastAsia="zh-CN" w:bidi="ar-SA"/>
              </w:rPr>
            </w:pPr>
            <w:r>
              <w:rPr>
                <w:rFonts w:hint="default" w:ascii="Times New Roman" w:hAnsi="Times New Roman" w:cs="Times New Roman" w:eastAsiaTheme="minorEastAsia"/>
                <w:color w:val="auto"/>
                <w:sz w:val="24"/>
                <w:szCs w:val="24"/>
                <w:highlight w:val="none"/>
                <w:lang w:val="en-US" w:eastAsia="zh-CN"/>
              </w:rPr>
              <w:t>矿业权人</w:t>
            </w:r>
          </w:p>
        </w:tc>
        <w:tc>
          <w:tcPr>
            <w:tcW w:w="3287" w:type="dxa"/>
            <w:gridSpan w:val="2"/>
            <w:noWrap w:val="0"/>
            <w:vAlign w:val="center"/>
          </w:tcPr>
          <w:p w14:paraId="5DFBB957">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lang w:eastAsia="zh-CN"/>
              </w:rPr>
              <w:t>大兴安岭呼玛对俄经济贸易园区开发有限责任公司</w:t>
            </w:r>
          </w:p>
        </w:tc>
      </w:tr>
      <w:tr w14:paraId="0EE0C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88" w:type="dxa"/>
            <w:vMerge w:val="continue"/>
            <w:noWrap w:val="0"/>
            <w:vAlign w:val="center"/>
          </w:tcPr>
          <w:p w14:paraId="584FD78A">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790" w:type="dxa"/>
            <w:vMerge w:val="continue"/>
            <w:noWrap w:val="0"/>
            <w:vAlign w:val="center"/>
          </w:tcPr>
          <w:p w14:paraId="2AFBD64B">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2026" w:type="dxa"/>
            <w:gridSpan w:val="2"/>
            <w:shd w:val="clear" w:color="auto" w:fill="auto"/>
            <w:noWrap w:val="0"/>
            <w:vAlign w:val="center"/>
          </w:tcPr>
          <w:p w14:paraId="3BF127FB">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不动产权证书</w:t>
            </w:r>
          </w:p>
          <w:p w14:paraId="634E39BC">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kern w:val="2"/>
                <w:sz w:val="24"/>
                <w:szCs w:val="24"/>
                <w:highlight w:val="none"/>
                <w:lang w:val="en-US" w:eastAsia="zh-CN" w:bidi="ar-SA"/>
              </w:rPr>
            </w:pPr>
            <w:r>
              <w:rPr>
                <w:rFonts w:hint="default" w:ascii="Times New Roman" w:hAnsi="Times New Roman" w:cs="Times New Roman" w:eastAsiaTheme="minorEastAsia"/>
                <w:color w:val="auto"/>
                <w:sz w:val="24"/>
                <w:szCs w:val="24"/>
                <w:highlight w:val="none"/>
                <w:lang w:val="en-US" w:eastAsia="zh-CN"/>
              </w:rPr>
              <w:t>（采矿权）证号</w:t>
            </w:r>
          </w:p>
        </w:tc>
        <w:tc>
          <w:tcPr>
            <w:tcW w:w="3287" w:type="dxa"/>
            <w:gridSpan w:val="2"/>
            <w:noWrap w:val="0"/>
            <w:vAlign w:val="center"/>
          </w:tcPr>
          <w:p w14:paraId="4C714241">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rPr>
            </w:pPr>
          </w:p>
        </w:tc>
      </w:tr>
      <w:tr w14:paraId="3DA68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88" w:type="dxa"/>
            <w:vMerge w:val="continue"/>
            <w:noWrap w:val="0"/>
            <w:vAlign w:val="center"/>
          </w:tcPr>
          <w:p w14:paraId="791DDB27">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790" w:type="dxa"/>
            <w:vMerge w:val="continue"/>
            <w:noWrap w:val="0"/>
            <w:vAlign w:val="center"/>
          </w:tcPr>
          <w:p w14:paraId="2A566F48">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2026" w:type="dxa"/>
            <w:gridSpan w:val="2"/>
            <w:shd w:val="clear" w:color="auto" w:fill="auto"/>
            <w:noWrap w:val="0"/>
            <w:vAlign w:val="center"/>
          </w:tcPr>
          <w:p w14:paraId="45E6539D">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eastAsiaTheme="minorEastAsia"/>
                <w:color w:val="auto"/>
                <w:kern w:val="2"/>
                <w:sz w:val="24"/>
                <w:szCs w:val="24"/>
                <w:highlight w:val="none"/>
                <w:lang w:val="en-US" w:eastAsia="zh-CN" w:bidi="ar-SA"/>
              </w:rPr>
            </w:pPr>
            <w:r>
              <w:rPr>
                <w:rFonts w:hint="default" w:ascii="Times New Roman" w:hAnsi="Times New Roman" w:cs="Times New Roman" w:eastAsiaTheme="minorEastAsia"/>
                <w:color w:val="auto"/>
                <w:sz w:val="24"/>
                <w:szCs w:val="24"/>
                <w:highlight w:val="none"/>
                <w:lang w:val="en-US" w:eastAsia="zh-CN"/>
              </w:rPr>
              <w:t>采矿权有效期</w:t>
            </w:r>
          </w:p>
        </w:tc>
        <w:tc>
          <w:tcPr>
            <w:tcW w:w="3287" w:type="dxa"/>
            <w:gridSpan w:val="2"/>
            <w:noWrap w:val="0"/>
            <w:vAlign w:val="center"/>
          </w:tcPr>
          <w:p w14:paraId="5EA46F3B">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rPr>
            </w:pPr>
          </w:p>
        </w:tc>
      </w:tr>
      <w:tr w14:paraId="1321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788" w:type="dxa"/>
            <w:vMerge w:val="restart"/>
            <w:noWrap w:val="0"/>
            <w:vAlign w:val="center"/>
          </w:tcPr>
          <w:p w14:paraId="1598B2E5">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矿产资源情况</w:t>
            </w:r>
          </w:p>
        </w:tc>
        <w:tc>
          <w:tcPr>
            <w:tcW w:w="1790" w:type="dxa"/>
            <w:vMerge w:val="restart"/>
            <w:noWrap w:val="0"/>
            <w:vAlign w:val="center"/>
          </w:tcPr>
          <w:p w14:paraId="7AD16793">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lang w:val="en-US"/>
              </w:rPr>
            </w:pPr>
            <w:r>
              <w:rPr>
                <w:rFonts w:hint="default" w:ascii="Times New Roman" w:hAnsi="Times New Roman" w:cs="Times New Roman" w:eastAsiaTheme="minorEastAsia"/>
                <w:color w:val="auto"/>
                <w:sz w:val="24"/>
                <w:szCs w:val="24"/>
                <w:highlight w:val="none"/>
                <w:lang w:val="en-US"/>
              </w:rPr>
              <w:t>评审备案</w:t>
            </w:r>
          </w:p>
          <w:p w14:paraId="24B61E54">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资源量</w:t>
            </w:r>
          </w:p>
          <w:p w14:paraId="0F586E5A">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lang w:eastAsia="zh-CN"/>
              </w:rPr>
            </w:pPr>
            <w:r>
              <w:rPr>
                <w:rFonts w:hint="default" w:ascii="Times New Roman" w:hAnsi="Times New Roman" w:cs="Times New Roman" w:eastAsiaTheme="minorEastAsia"/>
                <w:color w:val="auto"/>
                <w:sz w:val="24"/>
                <w:szCs w:val="24"/>
                <w:highlight w:val="none"/>
                <w:lang w:eastAsia="zh-CN"/>
              </w:rPr>
              <w:t>（保有）</w:t>
            </w:r>
          </w:p>
        </w:tc>
        <w:tc>
          <w:tcPr>
            <w:tcW w:w="1426" w:type="dxa"/>
            <w:noWrap w:val="0"/>
            <w:vAlign w:val="center"/>
          </w:tcPr>
          <w:p w14:paraId="7A0849B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color w:val="auto"/>
                <w:sz w:val="24"/>
                <w:szCs w:val="24"/>
                <w:highlight w:val="none"/>
                <w:u w:val="none"/>
                <w:lang w:val="en-US" w:eastAsia="zh-CN"/>
              </w:rPr>
            </w:pPr>
            <w:r>
              <w:rPr>
                <w:rFonts w:hint="default" w:ascii="Times New Roman" w:hAnsi="Times New Roman" w:cs="Times New Roman" w:eastAsiaTheme="minorEastAsia"/>
                <w:color w:val="auto"/>
                <w:sz w:val="24"/>
                <w:szCs w:val="24"/>
                <w:highlight w:val="none"/>
                <w:u w:val="none"/>
                <w:lang w:val="en-US" w:eastAsia="zh-CN"/>
              </w:rPr>
              <w:t>主矿产与</w:t>
            </w:r>
          </w:p>
          <w:p w14:paraId="72EDDDB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color w:val="auto"/>
                <w:sz w:val="24"/>
                <w:szCs w:val="24"/>
                <w:highlight w:val="none"/>
                <w:u w:val="none"/>
                <w:lang w:val="en-US" w:eastAsia="zh-CN"/>
              </w:rPr>
            </w:pPr>
            <w:r>
              <w:rPr>
                <w:rFonts w:hint="default" w:ascii="Times New Roman" w:hAnsi="Times New Roman" w:cs="Times New Roman" w:eastAsiaTheme="minorEastAsia"/>
                <w:color w:val="auto"/>
                <w:sz w:val="24"/>
                <w:szCs w:val="24"/>
                <w:highlight w:val="none"/>
                <w:u w:val="none"/>
                <w:lang w:val="en-US" w:eastAsia="zh-CN"/>
              </w:rPr>
              <w:t>共伴生矿产</w:t>
            </w:r>
          </w:p>
        </w:tc>
        <w:tc>
          <w:tcPr>
            <w:tcW w:w="600" w:type="dxa"/>
            <w:noWrap w:val="0"/>
            <w:vAlign w:val="center"/>
          </w:tcPr>
          <w:p w14:paraId="4E6E30A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color w:val="auto"/>
                <w:sz w:val="24"/>
                <w:szCs w:val="24"/>
                <w:highlight w:val="none"/>
                <w:u w:val="none"/>
                <w:lang w:val="en-US" w:eastAsia="zh-CN"/>
              </w:rPr>
            </w:pPr>
            <w:r>
              <w:rPr>
                <w:rFonts w:hint="default" w:ascii="Times New Roman" w:hAnsi="Times New Roman" w:cs="Times New Roman" w:eastAsiaTheme="minorEastAsia"/>
                <w:color w:val="auto"/>
                <w:sz w:val="24"/>
                <w:szCs w:val="24"/>
                <w:highlight w:val="none"/>
                <w:u w:val="none"/>
                <w:lang w:val="en-US" w:eastAsia="zh-CN"/>
              </w:rPr>
              <w:t>序</w:t>
            </w:r>
          </w:p>
          <w:p w14:paraId="4C77591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color w:val="auto"/>
                <w:sz w:val="24"/>
                <w:szCs w:val="24"/>
                <w:highlight w:val="none"/>
                <w:u w:val="none"/>
                <w:lang w:val="en-US" w:eastAsia="zh-CN"/>
              </w:rPr>
            </w:pPr>
            <w:r>
              <w:rPr>
                <w:rFonts w:hint="default" w:ascii="Times New Roman" w:hAnsi="Times New Roman" w:cs="Times New Roman" w:eastAsiaTheme="minorEastAsia"/>
                <w:color w:val="auto"/>
                <w:sz w:val="24"/>
                <w:szCs w:val="24"/>
                <w:highlight w:val="none"/>
                <w:u w:val="none"/>
                <w:lang w:val="en-US" w:eastAsia="zh-CN"/>
              </w:rPr>
              <w:t>号</w:t>
            </w:r>
          </w:p>
        </w:tc>
        <w:tc>
          <w:tcPr>
            <w:tcW w:w="1707" w:type="dxa"/>
            <w:noWrap w:val="0"/>
            <w:vAlign w:val="center"/>
          </w:tcPr>
          <w:p w14:paraId="14D31D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color w:val="auto"/>
                <w:sz w:val="24"/>
                <w:szCs w:val="24"/>
                <w:highlight w:val="none"/>
                <w:u w:val="none"/>
                <w:lang w:val="en-US" w:eastAsia="zh-CN"/>
              </w:rPr>
            </w:pPr>
            <w:r>
              <w:rPr>
                <w:rFonts w:hint="default" w:ascii="Times New Roman" w:hAnsi="Times New Roman" w:cs="Times New Roman" w:eastAsiaTheme="minorEastAsia"/>
                <w:color w:val="auto"/>
                <w:sz w:val="24"/>
                <w:szCs w:val="24"/>
                <w:highlight w:val="none"/>
                <w:u w:val="none"/>
                <w:lang w:val="en-US" w:eastAsia="zh-CN"/>
              </w:rPr>
              <w:t>矿石量</w:t>
            </w:r>
            <w:r>
              <w:rPr>
                <w:rFonts w:hint="default" w:ascii="Times New Roman" w:hAnsi="Times New Roman" w:cs="Times New Roman" w:eastAsiaTheme="minorEastAsia"/>
                <w:color w:val="auto"/>
                <w:sz w:val="24"/>
                <w:szCs w:val="24"/>
                <w:highlight w:val="none"/>
                <w:u w:val="none"/>
                <w:lang w:val="en-US" w:eastAsia="zh-CN"/>
              </w:rPr>
              <w:br w:type="textWrapping"/>
            </w:r>
            <w:r>
              <w:rPr>
                <w:rFonts w:hint="default" w:ascii="Times New Roman" w:hAnsi="Times New Roman" w:cs="Times New Roman" w:eastAsiaTheme="minorEastAsia"/>
                <w:color w:val="auto"/>
                <w:sz w:val="24"/>
                <w:szCs w:val="24"/>
                <w:highlight w:val="none"/>
                <w:u w:val="none"/>
                <w:lang w:val="en-US" w:eastAsia="zh-CN"/>
              </w:rPr>
              <w:t>（</w:t>
            </w:r>
            <w:r>
              <w:rPr>
                <w:rFonts w:hint="eastAsia" w:ascii="Times New Roman" w:hAnsi="Times New Roman" w:cs="Times New Roman"/>
                <w:color w:val="auto"/>
                <w:sz w:val="24"/>
                <w:szCs w:val="24"/>
                <w:highlight w:val="none"/>
                <w:u w:val="none"/>
                <w:lang w:val="en-US" w:eastAsia="zh-CN"/>
              </w:rPr>
              <w:t>立方米</w:t>
            </w:r>
            <w:r>
              <w:rPr>
                <w:rFonts w:hint="default" w:ascii="Times New Roman" w:hAnsi="Times New Roman" w:cs="Times New Roman" w:eastAsiaTheme="minorEastAsia"/>
                <w:color w:val="auto"/>
                <w:sz w:val="24"/>
                <w:szCs w:val="24"/>
                <w:highlight w:val="none"/>
                <w:u w:val="none"/>
                <w:lang w:val="en-US" w:eastAsia="zh-CN"/>
              </w:rPr>
              <w:t>）</w:t>
            </w:r>
          </w:p>
        </w:tc>
        <w:tc>
          <w:tcPr>
            <w:tcW w:w="1580" w:type="dxa"/>
            <w:noWrap w:val="0"/>
            <w:vAlign w:val="center"/>
          </w:tcPr>
          <w:p w14:paraId="3D026B0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color w:val="auto"/>
                <w:sz w:val="24"/>
                <w:szCs w:val="24"/>
                <w:highlight w:val="none"/>
                <w:u w:val="none"/>
                <w:lang w:val="en-US" w:eastAsia="zh-CN"/>
              </w:rPr>
            </w:pPr>
            <w:r>
              <w:rPr>
                <w:rFonts w:hint="default" w:ascii="Times New Roman" w:hAnsi="Times New Roman" w:cs="Times New Roman" w:eastAsiaTheme="minorEastAsia"/>
                <w:color w:val="auto"/>
                <w:sz w:val="24"/>
                <w:szCs w:val="24"/>
                <w:highlight w:val="none"/>
                <w:u w:val="none"/>
                <w:lang w:val="en-US" w:eastAsia="zh-CN"/>
              </w:rPr>
              <w:t>矿物量/金属量（吨）</w:t>
            </w:r>
          </w:p>
        </w:tc>
      </w:tr>
      <w:tr w14:paraId="5D739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1788" w:type="dxa"/>
            <w:vMerge w:val="continue"/>
            <w:noWrap w:val="0"/>
            <w:vAlign w:val="center"/>
          </w:tcPr>
          <w:p w14:paraId="70AFFC10">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790" w:type="dxa"/>
            <w:vMerge w:val="continue"/>
            <w:noWrap w:val="0"/>
            <w:vAlign w:val="center"/>
          </w:tcPr>
          <w:p w14:paraId="74FC7671">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426" w:type="dxa"/>
            <w:vMerge w:val="restart"/>
            <w:noWrap w:val="0"/>
            <w:vAlign w:val="center"/>
          </w:tcPr>
          <w:p w14:paraId="0F336CA6">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lang w:val="en-US" w:eastAsia="zh-CN"/>
              </w:rPr>
            </w:pPr>
            <w:r>
              <w:rPr>
                <w:rFonts w:hint="default" w:ascii="Times New Roman" w:hAnsi="Times New Roman" w:cs="Times New Roman" w:eastAsiaTheme="minorEastAsia"/>
                <w:color w:val="auto"/>
                <w:sz w:val="24"/>
                <w:szCs w:val="24"/>
                <w:highlight w:val="none"/>
                <w:u w:val="none"/>
                <w:lang w:val="en-US" w:eastAsia="zh-CN"/>
              </w:rPr>
              <w:t>主矿产</w:t>
            </w:r>
          </w:p>
        </w:tc>
        <w:tc>
          <w:tcPr>
            <w:tcW w:w="600" w:type="dxa"/>
            <w:noWrap w:val="0"/>
            <w:vAlign w:val="center"/>
          </w:tcPr>
          <w:p w14:paraId="381FF377">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lang w:val="en-US" w:eastAsia="zh-CN"/>
              </w:rPr>
            </w:pPr>
            <w:r>
              <w:rPr>
                <w:rFonts w:hint="default" w:ascii="Times New Roman" w:hAnsi="Times New Roman" w:cs="Times New Roman" w:eastAsiaTheme="minorEastAsia"/>
                <w:color w:val="auto"/>
                <w:sz w:val="24"/>
                <w:szCs w:val="24"/>
                <w:highlight w:val="none"/>
                <w:u w:val="none"/>
                <w:lang w:val="en-US" w:eastAsia="zh-CN"/>
              </w:rPr>
              <w:t>1</w:t>
            </w:r>
          </w:p>
        </w:tc>
        <w:tc>
          <w:tcPr>
            <w:tcW w:w="1707" w:type="dxa"/>
            <w:noWrap w:val="0"/>
            <w:vAlign w:val="center"/>
          </w:tcPr>
          <w:p w14:paraId="18036556">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lang w:val="en-US" w:eastAsia="zh-CN"/>
              </w:rPr>
            </w:pPr>
            <w:r>
              <w:rPr>
                <w:rFonts w:hint="eastAsia" w:ascii="Times New Roman" w:hAnsi="Times New Roman" w:cs="Times New Roman"/>
                <w:color w:val="auto"/>
                <w:sz w:val="24"/>
                <w:szCs w:val="24"/>
                <w:highlight w:val="none"/>
                <w:u w:val="none"/>
                <w:lang w:val="en-US" w:eastAsia="zh-CN"/>
              </w:rPr>
              <w:t>314099</w:t>
            </w:r>
          </w:p>
        </w:tc>
        <w:tc>
          <w:tcPr>
            <w:tcW w:w="1580" w:type="dxa"/>
            <w:noWrap w:val="0"/>
            <w:vAlign w:val="center"/>
          </w:tcPr>
          <w:p w14:paraId="2C45E7EE">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rPr>
            </w:pPr>
          </w:p>
        </w:tc>
      </w:tr>
      <w:tr w14:paraId="0E0B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1788" w:type="dxa"/>
            <w:vMerge w:val="continue"/>
            <w:noWrap w:val="0"/>
            <w:vAlign w:val="center"/>
          </w:tcPr>
          <w:p w14:paraId="4AB8C254">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790" w:type="dxa"/>
            <w:vMerge w:val="continue"/>
            <w:noWrap w:val="0"/>
            <w:vAlign w:val="center"/>
          </w:tcPr>
          <w:p w14:paraId="1BF400A1">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426" w:type="dxa"/>
            <w:vMerge w:val="continue"/>
            <w:noWrap w:val="0"/>
            <w:vAlign w:val="center"/>
          </w:tcPr>
          <w:p w14:paraId="50C9E2A7">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rPr>
            </w:pPr>
          </w:p>
        </w:tc>
        <w:tc>
          <w:tcPr>
            <w:tcW w:w="600" w:type="dxa"/>
            <w:noWrap w:val="0"/>
            <w:vAlign w:val="center"/>
          </w:tcPr>
          <w:p w14:paraId="46FA27A5">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lang w:val="en-US" w:eastAsia="zh-CN"/>
              </w:rPr>
            </w:pPr>
            <w:r>
              <w:rPr>
                <w:rFonts w:hint="default" w:ascii="Times New Roman" w:hAnsi="Times New Roman" w:cs="Times New Roman" w:eastAsiaTheme="minorEastAsia"/>
                <w:color w:val="auto"/>
                <w:sz w:val="24"/>
                <w:szCs w:val="24"/>
                <w:highlight w:val="none"/>
                <w:u w:val="none"/>
                <w:lang w:val="en-US" w:eastAsia="zh-CN"/>
              </w:rPr>
              <w:t>2</w:t>
            </w:r>
          </w:p>
        </w:tc>
        <w:tc>
          <w:tcPr>
            <w:tcW w:w="1707" w:type="dxa"/>
            <w:noWrap w:val="0"/>
            <w:vAlign w:val="center"/>
          </w:tcPr>
          <w:p w14:paraId="2C41158B">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rPr>
            </w:pPr>
          </w:p>
        </w:tc>
        <w:tc>
          <w:tcPr>
            <w:tcW w:w="1580" w:type="dxa"/>
            <w:noWrap w:val="0"/>
            <w:vAlign w:val="center"/>
          </w:tcPr>
          <w:p w14:paraId="404D5203">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rPr>
            </w:pPr>
          </w:p>
        </w:tc>
      </w:tr>
      <w:tr w14:paraId="475D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1788" w:type="dxa"/>
            <w:vMerge w:val="continue"/>
            <w:noWrap w:val="0"/>
            <w:vAlign w:val="center"/>
          </w:tcPr>
          <w:p w14:paraId="7171E679">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790" w:type="dxa"/>
            <w:vMerge w:val="continue"/>
            <w:noWrap w:val="0"/>
            <w:vAlign w:val="center"/>
          </w:tcPr>
          <w:p w14:paraId="26418364">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426" w:type="dxa"/>
            <w:vMerge w:val="restart"/>
            <w:noWrap w:val="0"/>
            <w:vAlign w:val="center"/>
          </w:tcPr>
          <w:p w14:paraId="1412D6CD">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lang w:val="en-US" w:eastAsia="zh-CN"/>
              </w:rPr>
            </w:pPr>
            <w:r>
              <w:rPr>
                <w:rFonts w:hint="default" w:ascii="Times New Roman" w:hAnsi="Times New Roman" w:cs="Times New Roman" w:eastAsiaTheme="minorEastAsia"/>
                <w:color w:val="auto"/>
                <w:sz w:val="24"/>
                <w:szCs w:val="24"/>
                <w:highlight w:val="none"/>
                <w:u w:val="none"/>
                <w:lang w:val="en-US" w:eastAsia="zh-CN"/>
              </w:rPr>
              <w:t>共生矿产</w:t>
            </w:r>
          </w:p>
        </w:tc>
        <w:tc>
          <w:tcPr>
            <w:tcW w:w="600" w:type="dxa"/>
            <w:noWrap w:val="0"/>
            <w:vAlign w:val="center"/>
          </w:tcPr>
          <w:p w14:paraId="28E5F2E8">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lang w:val="en-US" w:eastAsia="zh-CN"/>
              </w:rPr>
            </w:pPr>
            <w:r>
              <w:rPr>
                <w:rFonts w:hint="default" w:ascii="Times New Roman" w:hAnsi="Times New Roman" w:cs="Times New Roman" w:eastAsiaTheme="minorEastAsia"/>
                <w:color w:val="auto"/>
                <w:sz w:val="24"/>
                <w:szCs w:val="24"/>
                <w:highlight w:val="none"/>
                <w:u w:val="none"/>
                <w:lang w:val="en-US" w:eastAsia="zh-CN"/>
              </w:rPr>
              <w:t>1</w:t>
            </w:r>
          </w:p>
        </w:tc>
        <w:tc>
          <w:tcPr>
            <w:tcW w:w="1707" w:type="dxa"/>
            <w:noWrap w:val="0"/>
            <w:vAlign w:val="center"/>
          </w:tcPr>
          <w:p w14:paraId="3102E5D1">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rPr>
            </w:pPr>
          </w:p>
        </w:tc>
        <w:tc>
          <w:tcPr>
            <w:tcW w:w="1580" w:type="dxa"/>
            <w:noWrap w:val="0"/>
            <w:vAlign w:val="center"/>
          </w:tcPr>
          <w:p w14:paraId="28A34017">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rPr>
            </w:pPr>
          </w:p>
        </w:tc>
      </w:tr>
      <w:tr w14:paraId="55626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1788" w:type="dxa"/>
            <w:vMerge w:val="continue"/>
            <w:noWrap w:val="0"/>
            <w:vAlign w:val="center"/>
          </w:tcPr>
          <w:p w14:paraId="10F6D8AF">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790" w:type="dxa"/>
            <w:vMerge w:val="continue"/>
            <w:noWrap w:val="0"/>
            <w:vAlign w:val="center"/>
          </w:tcPr>
          <w:p w14:paraId="2404802D">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426" w:type="dxa"/>
            <w:vMerge w:val="continue"/>
            <w:noWrap w:val="0"/>
            <w:vAlign w:val="center"/>
          </w:tcPr>
          <w:p w14:paraId="5C8F7C07">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rPr>
            </w:pPr>
          </w:p>
        </w:tc>
        <w:tc>
          <w:tcPr>
            <w:tcW w:w="600" w:type="dxa"/>
            <w:noWrap w:val="0"/>
            <w:vAlign w:val="center"/>
          </w:tcPr>
          <w:p w14:paraId="64BE0D53">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lang w:val="en-US" w:eastAsia="zh-CN"/>
              </w:rPr>
            </w:pPr>
            <w:r>
              <w:rPr>
                <w:rFonts w:hint="default" w:ascii="Times New Roman" w:hAnsi="Times New Roman" w:cs="Times New Roman" w:eastAsiaTheme="minorEastAsia"/>
                <w:color w:val="auto"/>
                <w:sz w:val="24"/>
                <w:szCs w:val="24"/>
                <w:highlight w:val="none"/>
                <w:u w:val="none"/>
                <w:lang w:val="en-US" w:eastAsia="zh-CN"/>
              </w:rPr>
              <w:t>2</w:t>
            </w:r>
          </w:p>
        </w:tc>
        <w:tc>
          <w:tcPr>
            <w:tcW w:w="1707" w:type="dxa"/>
            <w:noWrap w:val="0"/>
            <w:vAlign w:val="center"/>
          </w:tcPr>
          <w:p w14:paraId="23A2976B">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rPr>
            </w:pPr>
          </w:p>
        </w:tc>
        <w:tc>
          <w:tcPr>
            <w:tcW w:w="1580" w:type="dxa"/>
            <w:noWrap w:val="0"/>
            <w:vAlign w:val="center"/>
          </w:tcPr>
          <w:p w14:paraId="1E72E20B">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rPr>
            </w:pPr>
          </w:p>
        </w:tc>
      </w:tr>
      <w:tr w14:paraId="2EDDE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1788" w:type="dxa"/>
            <w:vMerge w:val="continue"/>
            <w:noWrap w:val="0"/>
            <w:vAlign w:val="center"/>
          </w:tcPr>
          <w:p w14:paraId="64154134">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790" w:type="dxa"/>
            <w:vMerge w:val="continue"/>
            <w:noWrap w:val="0"/>
            <w:vAlign w:val="center"/>
          </w:tcPr>
          <w:p w14:paraId="62D569D6">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426" w:type="dxa"/>
            <w:vMerge w:val="restart"/>
            <w:noWrap w:val="0"/>
            <w:vAlign w:val="center"/>
          </w:tcPr>
          <w:p w14:paraId="69959BB9">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lang w:val="en-US" w:eastAsia="zh-CN"/>
              </w:rPr>
            </w:pPr>
            <w:r>
              <w:rPr>
                <w:rFonts w:hint="default" w:ascii="Times New Roman" w:hAnsi="Times New Roman" w:cs="Times New Roman" w:eastAsiaTheme="minorEastAsia"/>
                <w:color w:val="auto"/>
                <w:sz w:val="24"/>
                <w:szCs w:val="24"/>
                <w:highlight w:val="none"/>
                <w:u w:val="none"/>
                <w:lang w:val="en-US" w:eastAsia="zh-CN"/>
              </w:rPr>
              <w:t>伴生矿产</w:t>
            </w:r>
          </w:p>
        </w:tc>
        <w:tc>
          <w:tcPr>
            <w:tcW w:w="600" w:type="dxa"/>
            <w:noWrap w:val="0"/>
            <w:vAlign w:val="center"/>
          </w:tcPr>
          <w:p w14:paraId="3065FF69">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lang w:val="en-US" w:eastAsia="zh-CN"/>
              </w:rPr>
            </w:pPr>
            <w:r>
              <w:rPr>
                <w:rFonts w:hint="default" w:ascii="Times New Roman" w:hAnsi="Times New Roman" w:cs="Times New Roman" w:eastAsiaTheme="minorEastAsia"/>
                <w:color w:val="auto"/>
                <w:sz w:val="24"/>
                <w:szCs w:val="24"/>
                <w:highlight w:val="none"/>
                <w:u w:val="none"/>
                <w:lang w:val="en-US" w:eastAsia="zh-CN"/>
              </w:rPr>
              <w:t>1</w:t>
            </w:r>
          </w:p>
        </w:tc>
        <w:tc>
          <w:tcPr>
            <w:tcW w:w="1707" w:type="dxa"/>
            <w:noWrap w:val="0"/>
            <w:vAlign w:val="center"/>
          </w:tcPr>
          <w:p w14:paraId="4E14FC42">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rPr>
            </w:pPr>
          </w:p>
        </w:tc>
        <w:tc>
          <w:tcPr>
            <w:tcW w:w="1580" w:type="dxa"/>
            <w:noWrap w:val="0"/>
            <w:vAlign w:val="center"/>
          </w:tcPr>
          <w:p w14:paraId="2CBE092E">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rPr>
            </w:pPr>
          </w:p>
        </w:tc>
      </w:tr>
      <w:tr w14:paraId="37E8E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1788" w:type="dxa"/>
            <w:vMerge w:val="continue"/>
            <w:noWrap w:val="0"/>
            <w:vAlign w:val="center"/>
          </w:tcPr>
          <w:p w14:paraId="37043373">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790" w:type="dxa"/>
            <w:vMerge w:val="continue"/>
            <w:noWrap w:val="0"/>
            <w:vAlign w:val="center"/>
          </w:tcPr>
          <w:p w14:paraId="65C21B44">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426" w:type="dxa"/>
            <w:vMerge w:val="continue"/>
            <w:noWrap w:val="0"/>
            <w:vAlign w:val="center"/>
          </w:tcPr>
          <w:p w14:paraId="27E92318">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rPr>
            </w:pPr>
          </w:p>
        </w:tc>
        <w:tc>
          <w:tcPr>
            <w:tcW w:w="600" w:type="dxa"/>
            <w:noWrap w:val="0"/>
            <w:vAlign w:val="center"/>
          </w:tcPr>
          <w:p w14:paraId="5271A141">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lang w:val="en-US" w:eastAsia="zh-CN"/>
              </w:rPr>
            </w:pPr>
            <w:r>
              <w:rPr>
                <w:rFonts w:hint="default" w:ascii="Times New Roman" w:hAnsi="Times New Roman" w:cs="Times New Roman" w:eastAsiaTheme="minorEastAsia"/>
                <w:color w:val="auto"/>
                <w:sz w:val="24"/>
                <w:szCs w:val="24"/>
                <w:highlight w:val="none"/>
                <w:u w:val="none"/>
                <w:lang w:val="en-US" w:eastAsia="zh-CN"/>
              </w:rPr>
              <w:t>2</w:t>
            </w:r>
          </w:p>
        </w:tc>
        <w:tc>
          <w:tcPr>
            <w:tcW w:w="1707" w:type="dxa"/>
            <w:noWrap w:val="0"/>
            <w:vAlign w:val="center"/>
          </w:tcPr>
          <w:p w14:paraId="17C00178">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rPr>
            </w:pPr>
          </w:p>
        </w:tc>
        <w:tc>
          <w:tcPr>
            <w:tcW w:w="1580" w:type="dxa"/>
            <w:noWrap w:val="0"/>
            <w:vAlign w:val="center"/>
          </w:tcPr>
          <w:p w14:paraId="54DD3AE3">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none"/>
              </w:rPr>
            </w:pPr>
          </w:p>
        </w:tc>
      </w:tr>
      <w:tr w14:paraId="403CB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88" w:type="dxa"/>
            <w:vMerge w:val="continue"/>
            <w:noWrap w:val="0"/>
            <w:vAlign w:val="center"/>
          </w:tcPr>
          <w:p w14:paraId="11B295DC">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790" w:type="dxa"/>
            <w:noWrap w:val="0"/>
            <w:vAlign w:val="center"/>
          </w:tcPr>
          <w:p w14:paraId="297CFFCE">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勘查程度</w:t>
            </w:r>
          </w:p>
        </w:tc>
        <w:tc>
          <w:tcPr>
            <w:tcW w:w="5313" w:type="dxa"/>
            <w:gridSpan w:val="4"/>
            <w:noWrap w:val="0"/>
            <w:vAlign w:val="center"/>
          </w:tcPr>
          <w:p w14:paraId="5AAA37ED">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u w:val="single"/>
              </w:rPr>
            </w:pPr>
            <w:r>
              <w:rPr>
                <w:rFonts w:hint="default" w:ascii="Times New Roman" w:hAnsi="Times New Roman" w:cs="Times New Roman" w:eastAsiaTheme="minorEastAsia"/>
                <w:color w:val="auto"/>
                <w:sz w:val="24"/>
                <w:szCs w:val="24"/>
                <w:highlight w:val="none"/>
                <w:lang w:eastAsia="zh-CN"/>
              </w:rPr>
              <w:t>☑</w:t>
            </w:r>
            <w:r>
              <w:rPr>
                <w:rFonts w:hint="eastAsia" w:ascii="仿宋" w:hAnsi="仿宋" w:eastAsia="仿宋"/>
                <w:sz w:val="28"/>
                <w:szCs w:val="28"/>
              </w:rPr>
              <w:t>普查</w:t>
            </w:r>
            <w:r>
              <w:rPr>
                <w:rFonts w:hint="eastAsia" w:ascii="仿宋" w:hAnsi="仿宋" w:eastAsia="仿宋"/>
                <w:sz w:val="28"/>
                <w:szCs w:val="28"/>
                <w:lang w:val="en-US" w:eastAsia="zh-CN"/>
              </w:rPr>
              <w:t xml:space="preserve"> </w:t>
            </w:r>
            <w:r>
              <w:rPr>
                <w:rFonts w:hint="default" w:ascii="Times New Roman" w:hAnsi="Times New Roman" w:cs="Times New Roman" w:eastAsiaTheme="minorEastAsia"/>
                <w:color w:val="auto"/>
                <w:sz w:val="24"/>
                <w:szCs w:val="24"/>
                <w:highlight w:val="none"/>
              </w:rPr>
              <w:t>□</w:t>
            </w:r>
            <w:r>
              <w:rPr>
                <w:rFonts w:hint="default" w:ascii="Times New Roman" w:hAnsi="Times New Roman" w:cs="Times New Roman" w:eastAsiaTheme="minorEastAsia"/>
                <w:color w:val="auto"/>
                <w:spacing w:val="6"/>
                <w:sz w:val="24"/>
                <w:szCs w:val="24"/>
                <w:highlight w:val="none"/>
              </w:rPr>
              <w:t xml:space="preserve">详查  </w:t>
            </w:r>
            <w:r>
              <w:rPr>
                <w:rFonts w:hint="default" w:ascii="Times New Roman" w:hAnsi="Times New Roman" w:cs="Times New Roman" w:eastAsiaTheme="minorEastAsia"/>
                <w:color w:val="auto"/>
                <w:sz w:val="24"/>
                <w:szCs w:val="24"/>
                <w:highlight w:val="none"/>
              </w:rPr>
              <w:t>□</w:t>
            </w:r>
            <w:r>
              <w:rPr>
                <w:rFonts w:hint="default" w:ascii="Times New Roman" w:hAnsi="Times New Roman" w:cs="Times New Roman" w:eastAsiaTheme="minorEastAsia"/>
                <w:color w:val="auto"/>
                <w:spacing w:val="6"/>
                <w:sz w:val="24"/>
                <w:szCs w:val="24"/>
                <w:highlight w:val="none"/>
              </w:rPr>
              <w:t>勘探</w:t>
            </w:r>
          </w:p>
        </w:tc>
      </w:tr>
      <w:tr w14:paraId="59AB4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88" w:type="dxa"/>
            <w:vMerge w:val="continue"/>
            <w:noWrap w:val="0"/>
            <w:vAlign w:val="center"/>
          </w:tcPr>
          <w:p w14:paraId="562BA299">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790" w:type="dxa"/>
            <w:noWrap w:val="0"/>
            <w:vAlign w:val="center"/>
          </w:tcPr>
          <w:p w14:paraId="23EB3057">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lang w:val="en-US"/>
              </w:rPr>
            </w:pPr>
            <w:r>
              <w:rPr>
                <w:rFonts w:hint="default" w:ascii="Times New Roman" w:hAnsi="Times New Roman" w:cs="Times New Roman" w:eastAsiaTheme="minorEastAsia"/>
                <w:color w:val="auto"/>
                <w:sz w:val="24"/>
                <w:szCs w:val="24"/>
                <w:highlight w:val="none"/>
                <w:lang w:val="en-US" w:eastAsia="zh-CN"/>
              </w:rPr>
              <w:t>资源量规模</w:t>
            </w:r>
          </w:p>
        </w:tc>
        <w:tc>
          <w:tcPr>
            <w:tcW w:w="5313" w:type="dxa"/>
            <w:gridSpan w:val="4"/>
            <w:noWrap w:val="0"/>
            <w:vAlign w:val="center"/>
          </w:tcPr>
          <w:p w14:paraId="48482165">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lang w:eastAsia="zh-CN"/>
              </w:rPr>
            </w:pPr>
            <w:r>
              <w:rPr>
                <w:rFonts w:hint="default" w:ascii="Times New Roman" w:hAnsi="Times New Roman" w:cs="Times New Roman" w:eastAsiaTheme="minorEastAsia"/>
                <w:color w:val="auto"/>
                <w:sz w:val="24"/>
                <w:szCs w:val="24"/>
                <w:highlight w:val="none"/>
              </w:rPr>
              <w:t>□</w:t>
            </w:r>
            <w:r>
              <w:rPr>
                <w:rFonts w:hint="default" w:ascii="Times New Roman" w:hAnsi="Times New Roman" w:cs="Times New Roman" w:eastAsiaTheme="minorEastAsia"/>
                <w:color w:val="auto"/>
                <w:spacing w:val="6"/>
                <w:sz w:val="24"/>
                <w:szCs w:val="24"/>
                <w:highlight w:val="none"/>
                <w:lang w:val="en-US" w:eastAsia="zh-CN"/>
              </w:rPr>
              <w:t>大型</w:t>
            </w:r>
            <w:r>
              <w:rPr>
                <w:rFonts w:hint="default" w:ascii="Times New Roman" w:hAnsi="Times New Roman" w:cs="Times New Roman" w:eastAsiaTheme="minorEastAsia"/>
                <w:color w:val="auto"/>
                <w:spacing w:val="6"/>
                <w:sz w:val="24"/>
                <w:szCs w:val="24"/>
                <w:highlight w:val="none"/>
              </w:rPr>
              <w:t xml:space="preserve">  </w:t>
            </w:r>
            <w:r>
              <w:rPr>
                <w:rFonts w:hint="default" w:ascii="Times New Roman" w:hAnsi="Times New Roman" w:cs="Times New Roman" w:eastAsiaTheme="minorEastAsia"/>
                <w:color w:val="auto"/>
                <w:sz w:val="24"/>
                <w:szCs w:val="24"/>
                <w:highlight w:val="none"/>
              </w:rPr>
              <w:t>□</w:t>
            </w:r>
            <w:r>
              <w:rPr>
                <w:rFonts w:hint="default" w:ascii="Times New Roman" w:hAnsi="Times New Roman" w:cs="Times New Roman" w:eastAsiaTheme="minorEastAsia"/>
                <w:color w:val="auto"/>
                <w:spacing w:val="6"/>
                <w:sz w:val="24"/>
                <w:szCs w:val="24"/>
                <w:highlight w:val="none"/>
                <w:lang w:val="en-US" w:eastAsia="zh-CN"/>
              </w:rPr>
              <w:t>中型</w:t>
            </w:r>
            <w:r>
              <w:rPr>
                <w:rFonts w:hint="default" w:ascii="Times New Roman" w:hAnsi="Times New Roman" w:cs="Times New Roman" w:eastAsiaTheme="minorEastAsia"/>
                <w:color w:val="auto"/>
                <w:spacing w:val="6"/>
                <w:sz w:val="24"/>
                <w:szCs w:val="24"/>
                <w:highlight w:val="none"/>
              </w:rPr>
              <w:t xml:space="preserve">  </w:t>
            </w:r>
            <w:r>
              <w:rPr>
                <w:rFonts w:hint="default" w:ascii="Times New Roman" w:hAnsi="Times New Roman" w:cs="Times New Roman" w:eastAsiaTheme="minorEastAsia"/>
                <w:color w:val="auto"/>
                <w:sz w:val="24"/>
                <w:szCs w:val="24"/>
                <w:highlight w:val="none"/>
                <w:lang w:eastAsia="zh-CN"/>
              </w:rPr>
              <w:t>☑</w:t>
            </w:r>
            <w:r>
              <w:rPr>
                <w:rFonts w:hint="default" w:ascii="Times New Roman" w:hAnsi="Times New Roman" w:cs="Times New Roman" w:eastAsiaTheme="minorEastAsia"/>
                <w:color w:val="auto"/>
                <w:spacing w:val="6"/>
                <w:sz w:val="24"/>
                <w:szCs w:val="24"/>
                <w:highlight w:val="none"/>
                <w:lang w:val="en-US" w:eastAsia="zh-CN"/>
              </w:rPr>
              <w:t>小型</w:t>
            </w:r>
          </w:p>
        </w:tc>
      </w:tr>
      <w:tr w14:paraId="0153E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88" w:type="dxa"/>
            <w:vMerge w:val="continue"/>
            <w:noWrap w:val="0"/>
            <w:vAlign w:val="center"/>
          </w:tcPr>
          <w:p w14:paraId="77905083">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790" w:type="dxa"/>
            <w:noWrap w:val="0"/>
            <w:vAlign w:val="center"/>
          </w:tcPr>
          <w:p w14:paraId="1417330B">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lang w:eastAsia="zh-CN"/>
              </w:rPr>
              <w:t>估算</w:t>
            </w:r>
            <w:r>
              <w:rPr>
                <w:rFonts w:hint="default" w:ascii="Times New Roman" w:hAnsi="Times New Roman" w:cs="Times New Roman" w:eastAsiaTheme="minorEastAsia"/>
                <w:color w:val="auto"/>
                <w:sz w:val="24"/>
                <w:szCs w:val="24"/>
                <w:highlight w:val="none"/>
              </w:rPr>
              <w:t>设计</w:t>
            </w:r>
          </w:p>
          <w:p w14:paraId="7CF9BD3C">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kern w:val="2"/>
                <w:sz w:val="24"/>
                <w:szCs w:val="24"/>
                <w:highlight w:val="none"/>
                <w:lang w:val="en-US" w:eastAsia="zh-CN" w:bidi="ar-SA"/>
              </w:rPr>
            </w:pPr>
            <w:r>
              <w:rPr>
                <w:rFonts w:hint="default" w:ascii="Times New Roman" w:hAnsi="Times New Roman" w:cs="Times New Roman" w:eastAsiaTheme="minorEastAsia"/>
                <w:color w:val="auto"/>
                <w:sz w:val="24"/>
                <w:szCs w:val="24"/>
                <w:highlight w:val="none"/>
              </w:rPr>
              <w:t>利用资源量</w:t>
            </w:r>
          </w:p>
        </w:tc>
        <w:tc>
          <w:tcPr>
            <w:tcW w:w="5313" w:type="dxa"/>
            <w:gridSpan w:val="4"/>
            <w:noWrap w:val="0"/>
            <w:vAlign w:val="center"/>
          </w:tcPr>
          <w:p w14:paraId="6257DB39">
            <w:pPr>
              <w:pageBreakBefore w:val="0"/>
              <w:kinsoku/>
              <w:wordWrap/>
              <w:overflowPunct/>
              <w:topLinePunct w:val="0"/>
              <w:bidi w:val="0"/>
              <w:jc w:val="center"/>
              <w:rPr>
                <w:rFonts w:hint="default" w:ascii="Times New Roman" w:hAnsi="Times New Roman" w:cs="Times New Roman" w:eastAsiaTheme="minorEastAsia"/>
                <w:color w:val="auto"/>
                <w:kern w:val="2"/>
                <w:sz w:val="24"/>
                <w:szCs w:val="24"/>
                <w:highlight w:val="none"/>
                <w:lang w:val="en-US" w:eastAsia="zh-CN" w:bidi="ar-SA"/>
              </w:rPr>
            </w:pPr>
            <w:r>
              <w:rPr>
                <w:rFonts w:hint="default" w:ascii="Times New Roman" w:hAnsi="Times New Roman" w:cs="Times New Roman" w:eastAsiaTheme="minorEastAsia"/>
                <w:color w:val="auto"/>
                <w:sz w:val="24"/>
                <w:szCs w:val="24"/>
                <w:highlight w:val="none"/>
                <w:u w:val="single"/>
                <w:lang w:val="en-US" w:eastAsia="zh-CN"/>
              </w:rPr>
              <w:t>314099</w:t>
            </w:r>
            <w:r>
              <w:rPr>
                <w:rFonts w:hint="default" w:ascii="Times New Roman" w:hAnsi="Times New Roman" w:cs="Times New Roman" w:eastAsiaTheme="minorEastAsia"/>
                <w:color w:val="auto"/>
                <w:sz w:val="24"/>
                <w:szCs w:val="24"/>
                <w:highlight w:val="none"/>
              </w:rPr>
              <w:t>（单位：</w:t>
            </w:r>
            <w:r>
              <w:rPr>
                <w:rFonts w:hint="default" w:ascii="Times New Roman" w:hAnsi="Times New Roman" w:cs="Times New Roman" w:eastAsiaTheme="minorEastAsia"/>
                <w:color w:val="auto"/>
                <w:sz w:val="24"/>
                <w:szCs w:val="24"/>
                <w:highlight w:val="none"/>
                <w:u w:val="single"/>
              </w:rPr>
              <w:t xml:space="preserve"> </w:t>
            </w:r>
            <w:r>
              <w:rPr>
                <w:rFonts w:hint="default" w:ascii="Times New Roman" w:hAnsi="Times New Roman" w:cs="Times New Roman" w:eastAsiaTheme="minorEastAsia"/>
                <w:color w:val="auto"/>
                <w:sz w:val="24"/>
                <w:szCs w:val="24"/>
                <w:highlight w:val="none"/>
                <w:u w:val="single"/>
                <w:lang w:val="en-US" w:eastAsia="zh-CN"/>
              </w:rPr>
              <w:t>立方米</w:t>
            </w:r>
            <w:r>
              <w:rPr>
                <w:rFonts w:hint="default" w:ascii="Times New Roman" w:hAnsi="Times New Roman" w:cs="Times New Roman" w:eastAsiaTheme="minorEastAsia"/>
                <w:color w:val="auto"/>
                <w:sz w:val="24"/>
                <w:szCs w:val="24"/>
                <w:highlight w:val="none"/>
                <w:u w:val="single"/>
              </w:rPr>
              <w:t xml:space="preserve"> </w:t>
            </w:r>
            <w:r>
              <w:rPr>
                <w:rFonts w:hint="default" w:ascii="Times New Roman" w:hAnsi="Times New Roman" w:cs="Times New Roman" w:eastAsiaTheme="minorEastAsia"/>
                <w:color w:val="auto"/>
                <w:sz w:val="24"/>
                <w:szCs w:val="24"/>
                <w:highlight w:val="none"/>
              </w:rPr>
              <w:t>）</w:t>
            </w:r>
          </w:p>
        </w:tc>
      </w:tr>
      <w:tr w14:paraId="4096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88" w:type="dxa"/>
            <w:vMerge w:val="continue"/>
            <w:noWrap w:val="0"/>
            <w:vAlign w:val="center"/>
          </w:tcPr>
          <w:p w14:paraId="55D61B2F">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790" w:type="dxa"/>
            <w:noWrap w:val="0"/>
            <w:vAlign w:val="center"/>
          </w:tcPr>
          <w:p w14:paraId="5C290C69">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lang w:eastAsia="zh-CN"/>
              </w:rPr>
            </w:pPr>
            <w:r>
              <w:rPr>
                <w:rFonts w:hint="default" w:ascii="Times New Roman" w:hAnsi="Times New Roman" w:cs="Times New Roman" w:eastAsiaTheme="minorEastAsia"/>
                <w:color w:val="auto"/>
                <w:sz w:val="24"/>
                <w:szCs w:val="24"/>
                <w:highlight w:val="none"/>
                <w:lang w:eastAsia="zh-CN"/>
              </w:rPr>
              <w:t>估算</w:t>
            </w:r>
          </w:p>
          <w:p w14:paraId="4990F93D">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可采储量</w:t>
            </w:r>
          </w:p>
        </w:tc>
        <w:tc>
          <w:tcPr>
            <w:tcW w:w="5313" w:type="dxa"/>
            <w:gridSpan w:val="4"/>
            <w:noWrap w:val="0"/>
            <w:vAlign w:val="center"/>
          </w:tcPr>
          <w:p w14:paraId="6FA457D2">
            <w:pPr>
              <w:pageBreakBefore w:val="0"/>
              <w:kinsoku/>
              <w:wordWrap/>
              <w:overflowPunct/>
              <w:topLinePunct w:val="0"/>
              <w:bidi w:val="0"/>
              <w:jc w:val="center"/>
              <w:rPr>
                <w:rFonts w:hint="default" w:ascii="Times New Roman" w:hAnsi="Times New Roman" w:cs="Times New Roman" w:eastAsiaTheme="minorEastAsia"/>
                <w:color w:val="auto"/>
                <w:sz w:val="24"/>
                <w:szCs w:val="24"/>
                <w:highlight w:val="none"/>
                <w:u w:val="single"/>
              </w:rPr>
            </w:pPr>
            <w:r>
              <w:rPr>
                <w:rFonts w:hint="default" w:ascii="Times New Roman" w:hAnsi="Times New Roman" w:cs="Times New Roman" w:eastAsiaTheme="minorEastAsia"/>
                <w:color w:val="auto"/>
                <w:sz w:val="24"/>
                <w:szCs w:val="24"/>
                <w:highlight w:val="none"/>
                <w:u w:val="single"/>
                <w:lang w:val="en-US" w:eastAsia="zh-CN"/>
              </w:rPr>
              <w:t>298394</w:t>
            </w:r>
            <w:r>
              <w:rPr>
                <w:rFonts w:hint="default" w:ascii="Times New Roman" w:hAnsi="Times New Roman" w:cs="Times New Roman" w:eastAsiaTheme="minorEastAsia"/>
                <w:color w:val="auto"/>
                <w:sz w:val="24"/>
                <w:szCs w:val="24"/>
                <w:highlight w:val="none"/>
              </w:rPr>
              <w:t>（单位：</w:t>
            </w:r>
            <w:r>
              <w:rPr>
                <w:rFonts w:hint="default" w:ascii="Times New Roman" w:hAnsi="Times New Roman" w:cs="Times New Roman" w:eastAsiaTheme="minorEastAsia"/>
                <w:color w:val="auto"/>
                <w:sz w:val="24"/>
                <w:szCs w:val="24"/>
                <w:highlight w:val="none"/>
                <w:u w:val="single"/>
              </w:rPr>
              <w:t xml:space="preserve"> </w:t>
            </w:r>
            <w:r>
              <w:rPr>
                <w:rFonts w:hint="default" w:ascii="Times New Roman" w:hAnsi="Times New Roman" w:cs="Times New Roman" w:eastAsiaTheme="minorEastAsia"/>
                <w:color w:val="auto"/>
                <w:sz w:val="24"/>
                <w:szCs w:val="24"/>
                <w:highlight w:val="none"/>
                <w:u w:val="single"/>
                <w:lang w:val="en-US" w:eastAsia="zh-CN"/>
              </w:rPr>
              <w:t>立方米</w:t>
            </w:r>
            <w:r>
              <w:rPr>
                <w:rFonts w:hint="default" w:ascii="Times New Roman" w:hAnsi="Times New Roman" w:cs="Times New Roman" w:eastAsiaTheme="minorEastAsia"/>
                <w:color w:val="auto"/>
                <w:sz w:val="24"/>
                <w:szCs w:val="24"/>
                <w:highlight w:val="none"/>
                <w:u w:val="single"/>
              </w:rPr>
              <w:t xml:space="preserve"> </w:t>
            </w:r>
            <w:r>
              <w:rPr>
                <w:rFonts w:hint="default" w:ascii="Times New Roman" w:hAnsi="Times New Roman" w:cs="Times New Roman" w:eastAsiaTheme="minorEastAsia"/>
                <w:color w:val="auto"/>
                <w:sz w:val="24"/>
                <w:szCs w:val="24"/>
                <w:highlight w:val="none"/>
              </w:rPr>
              <w:t>）</w:t>
            </w:r>
          </w:p>
        </w:tc>
      </w:tr>
      <w:tr w14:paraId="1A741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88" w:type="dxa"/>
            <w:vMerge w:val="restart"/>
            <w:noWrap w:val="0"/>
            <w:vAlign w:val="center"/>
          </w:tcPr>
          <w:p w14:paraId="3BCF00EE">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开采矿种</w:t>
            </w:r>
          </w:p>
        </w:tc>
        <w:tc>
          <w:tcPr>
            <w:tcW w:w="1790" w:type="dxa"/>
            <w:noWrap w:val="0"/>
            <w:vAlign w:val="center"/>
          </w:tcPr>
          <w:p w14:paraId="295A8391">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开采主矿种</w:t>
            </w:r>
          </w:p>
        </w:tc>
        <w:tc>
          <w:tcPr>
            <w:tcW w:w="5313" w:type="dxa"/>
            <w:gridSpan w:val="4"/>
            <w:noWrap w:val="0"/>
            <w:vAlign w:val="center"/>
          </w:tcPr>
          <w:p w14:paraId="4BB1DB72">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lang w:val="en-US" w:eastAsia="zh-CN"/>
              </w:rPr>
              <w:t>建筑用凝灰岩</w:t>
            </w:r>
          </w:p>
        </w:tc>
      </w:tr>
      <w:tr w14:paraId="3E7D7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88" w:type="dxa"/>
            <w:vMerge w:val="continue"/>
            <w:noWrap w:val="0"/>
            <w:vAlign w:val="center"/>
          </w:tcPr>
          <w:p w14:paraId="643810D9">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790" w:type="dxa"/>
            <w:noWrap w:val="0"/>
            <w:vAlign w:val="center"/>
          </w:tcPr>
          <w:p w14:paraId="5005B91F">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共生矿种</w:t>
            </w:r>
          </w:p>
        </w:tc>
        <w:tc>
          <w:tcPr>
            <w:tcW w:w="5313" w:type="dxa"/>
            <w:gridSpan w:val="4"/>
            <w:noWrap w:val="0"/>
            <w:vAlign w:val="center"/>
          </w:tcPr>
          <w:p w14:paraId="6DF6977A">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r>
      <w:tr w14:paraId="7DD9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88" w:type="dxa"/>
            <w:vMerge w:val="continue"/>
            <w:noWrap w:val="0"/>
            <w:vAlign w:val="center"/>
          </w:tcPr>
          <w:p w14:paraId="1B0995BB">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790" w:type="dxa"/>
            <w:noWrap w:val="0"/>
            <w:vAlign w:val="center"/>
          </w:tcPr>
          <w:p w14:paraId="402F67C2">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伴生矿种</w:t>
            </w:r>
          </w:p>
        </w:tc>
        <w:tc>
          <w:tcPr>
            <w:tcW w:w="5313" w:type="dxa"/>
            <w:gridSpan w:val="4"/>
            <w:noWrap w:val="0"/>
            <w:vAlign w:val="center"/>
          </w:tcPr>
          <w:p w14:paraId="6243AE6B">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r>
      <w:tr w14:paraId="72121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88" w:type="dxa"/>
            <w:vMerge w:val="restart"/>
            <w:noWrap w:val="0"/>
            <w:vAlign w:val="center"/>
          </w:tcPr>
          <w:p w14:paraId="49904C12">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建设方案</w:t>
            </w:r>
          </w:p>
        </w:tc>
        <w:tc>
          <w:tcPr>
            <w:tcW w:w="1790" w:type="dxa"/>
            <w:noWrap w:val="0"/>
            <w:vAlign w:val="center"/>
          </w:tcPr>
          <w:p w14:paraId="4C49D345">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开采方式</w:t>
            </w:r>
          </w:p>
        </w:tc>
        <w:tc>
          <w:tcPr>
            <w:tcW w:w="5313" w:type="dxa"/>
            <w:gridSpan w:val="4"/>
            <w:noWrap w:val="0"/>
            <w:vAlign w:val="center"/>
          </w:tcPr>
          <w:p w14:paraId="575986A4">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lang w:eastAsia="zh-CN"/>
              </w:rPr>
              <w:t>☑</w:t>
            </w:r>
            <w:r>
              <w:rPr>
                <w:rFonts w:hint="default" w:ascii="Times New Roman" w:hAnsi="Times New Roman" w:cs="Times New Roman" w:eastAsiaTheme="minorEastAsia"/>
                <w:color w:val="auto"/>
                <w:sz w:val="24"/>
                <w:szCs w:val="24"/>
                <w:highlight w:val="none"/>
              </w:rPr>
              <w:t>露天    □地下    □</w:t>
            </w:r>
            <w:r>
              <w:rPr>
                <w:rFonts w:hint="default" w:ascii="Times New Roman" w:hAnsi="Times New Roman" w:cs="Times New Roman" w:eastAsiaTheme="minorEastAsia"/>
                <w:color w:val="auto"/>
                <w:spacing w:val="6"/>
                <w:sz w:val="24"/>
                <w:szCs w:val="24"/>
                <w:highlight w:val="none"/>
              </w:rPr>
              <w:t>露天+地</w:t>
            </w:r>
            <w:r>
              <w:rPr>
                <w:rFonts w:hint="default" w:ascii="Times New Roman" w:hAnsi="Times New Roman" w:cs="Times New Roman" w:eastAsiaTheme="minorEastAsia"/>
                <w:color w:val="auto"/>
                <w:spacing w:val="4"/>
                <w:sz w:val="24"/>
                <w:szCs w:val="24"/>
                <w:highlight w:val="none"/>
              </w:rPr>
              <w:t>下</w:t>
            </w:r>
          </w:p>
        </w:tc>
      </w:tr>
      <w:tr w14:paraId="2CA24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88" w:type="dxa"/>
            <w:vMerge w:val="continue"/>
            <w:noWrap w:val="0"/>
            <w:vAlign w:val="center"/>
          </w:tcPr>
          <w:p w14:paraId="74571259">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790" w:type="dxa"/>
            <w:noWrap w:val="0"/>
            <w:vAlign w:val="center"/>
          </w:tcPr>
          <w:p w14:paraId="1016C255">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拟建设生产</w:t>
            </w:r>
          </w:p>
          <w:p w14:paraId="5D759449">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规模（计量</w:t>
            </w:r>
          </w:p>
          <w:p w14:paraId="5706D5E5">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单位/年）</w:t>
            </w:r>
          </w:p>
        </w:tc>
        <w:tc>
          <w:tcPr>
            <w:tcW w:w="5313" w:type="dxa"/>
            <w:gridSpan w:val="4"/>
            <w:noWrap w:val="0"/>
            <w:vAlign w:val="center"/>
          </w:tcPr>
          <w:p w14:paraId="058031EA">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u w:val="single"/>
                <w:lang w:val="en-US" w:eastAsia="zh-CN"/>
              </w:rPr>
              <w:t>6.0万立方米</w:t>
            </w:r>
            <w:r>
              <w:rPr>
                <w:rFonts w:hint="default" w:ascii="Times New Roman" w:hAnsi="Times New Roman" w:cs="Times New Roman" w:eastAsiaTheme="minorEastAsia"/>
                <w:color w:val="auto"/>
                <w:sz w:val="24"/>
                <w:szCs w:val="24"/>
                <w:highlight w:val="none"/>
              </w:rPr>
              <w:t>/年</w:t>
            </w:r>
            <w:r>
              <w:rPr>
                <w:rFonts w:hint="default" w:ascii="Times New Roman" w:hAnsi="Times New Roman" w:cs="Times New Roman" w:eastAsiaTheme="minorEastAsia"/>
                <w:color w:val="auto"/>
                <w:sz w:val="22"/>
                <w:szCs w:val="24"/>
                <w:highlight w:val="none"/>
              </w:rPr>
              <w:t>（实际生产建设规模在矿山初步设计和安全设施设计中确定，计量单位按照《关于调整部分矿种矿山生产建设规模标准的通知》（国土资发〔2004〕208号）中规定）。</w:t>
            </w:r>
          </w:p>
        </w:tc>
      </w:tr>
      <w:tr w14:paraId="50B66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88" w:type="dxa"/>
            <w:vMerge w:val="continue"/>
            <w:noWrap w:val="0"/>
            <w:vAlign w:val="center"/>
          </w:tcPr>
          <w:p w14:paraId="1DE2AA4E">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p>
        </w:tc>
        <w:tc>
          <w:tcPr>
            <w:tcW w:w="1790" w:type="dxa"/>
            <w:noWrap w:val="0"/>
            <w:vAlign w:val="center"/>
          </w:tcPr>
          <w:p w14:paraId="10C6E8DD">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估算服务年限（年）</w:t>
            </w:r>
          </w:p>
        </w:tc>
        <w:tc>
          <w:tcPr>
            <w:tcW w:w="5313" w:type="dxa"/>
            <w:gridSpan w:val="4"/>
            <w:noWrap w:val="0"/>
            <w:vAlign w:val="center"/>
          </w:tcPr>
          <w:p w14:paraId="11DB4BE9">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5</w:t>
            </w:r>
          </w:p>
        </w:tc>
      </w:tr>
      <w:tr w14:paraId="5D45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9" w:hRule="atLeast"/>
        </w:trPr>
        <w:tc>
          <w:tcPr>
            <w:tcW w:w="1788" w:type="dxa"/>
            <w:noWrap w:val="0"/>
            <w:vAlign w:val="center"/>
          </w:tcPr>
          <w:p w14:paraId="4FD96302">
            <w:pPr>
              <w:keepNext w:val="0"/>
              <w:keepLines w:val="0"/>
              <w:pageBreakBefore w:val="0"/>
              <w:widowControl w:val="0"/>
              <w:kinsoku/>
              <w:wordWrap/>
              <w:overflowPunct/>
              <w:topLinePunct w:val="0"/>
              <w:autoSpaceDE/>
              <w:autoSpaceDN/>
              <w:bidi w:val="0"/>
              <w:adjustRightInd/>
              <w:snapToGrid w:val="0"/>
              <w:spacing w:line="360" w:lineRule="exact"/>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拟申请</w:t>
            </w:r>
            <w:r>
              <w:rPr>
                <w:rFonts w:hint="default" w:ascii="Times New Roman" w:hAnsi="Times New Roman" w:cs="Times New Roman" w:eastAsiaTheme="minorEastAsia"/>
                <w:color w:val="auto"/>
                <w:sz w:val="24"/>
                <w:szCs w:val="24"/>
                <w:highlight w:val="none"/>
                <w:lang w:val="en-US" w:eastAsia="zh-CN"/>
              </w:rPr>
              <w:t>开采区域</w:t>
            </w:r>
            <w:r>
              <w:rPr>
                <w:rFonts w:hint="default" w:ascii="Times New Roman" w:hAnsi="Times New Roman" w:cs="Times New Roman" w:eastAsiaTheme="minorEastAsia"/>
                <w:color w:val="auto"/>
                <w:sz w:val="24"/>
                <w:szCs w:val="24"/>
                <w:highlight w:val="none"/>
              </w:rPr>
              <w:t>（具体以</w:t>
            </w:r>
            <w:r>
              <w:rPr>
                <w:rFonts w:hint="default" w:ascii="Times New Roman" w:hAnsi="Times New Roman" w:cs="Times New Roman" w:eastAsiaTheme="minorEastAsia"/>
                <w:color w:val="auto"/>
                <w:sz w:val="24"/>
                <w:szCs w:val="24"/>
                <w:highlight w:val="none"/>
                <w:lang w:val="en-US" w:eastAsia="zh-CN"/>
              </w:rPr>
              <w:t>自然资源主管部门批准的开采区域为准</w:t>
            </w:r>
            <w:r>
              <w:rPr>
                <w:rFonts w:hint="default" w:ascii="Times New Roman" w:hAnsi="Times New Roman" w:cs="Times New Roman" w:eastAsiaTheme="minorEastAsia"/>
                <w:color w:val="auto"/>
                <w:sz w:val="24"/>
                <w:szCs w:val="24"/>
                <w:highlight w:val="none"/>
              </w:rPr>
              <w:t>）</w:t>
            </w:r>
          </w:p>
        </w:tc>
        <w:tc>
          <w:tcPr>
            <w:tcW w:w="7103" w:type="dxa"/>
            <w:gridSpan w:val="5"/>
            <w:noWrap w:val="0"/>
            <w:vAlign w:val="center"/>
          </w:tcPr>
          <w:p w14:paraId="7BA43B14">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0"/>
              <w:gridCol w:w="2003"/>
              <w:gridCol w:w="2004"/>
            </w:tblGrid>
            <w:tr w14:paraId="7F995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0" w:type="dxa"/>
                  <w:noWrap w:val="0"/>
                  <w:vAlign w:val="center"/>
                </w:tcPr>
                <w:p w14:paraId="5BA3B591">
                  <w:pPr>
                    <w:pStyle w:val="8"/>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rPr>
                    <w:t>点号</w:t>
                  </w:r>
                </w:p>
              </w:tc>
              <w:tc>
                <w:tcPr>
                  <w:tcW w:w="2003" w:type="dxa"/>
                  <w:noWrap w:val="0"/>
                  <w:vAlign w:val="center"/>
                </w:tcPr>
                <w:p w14:paraId="6DB1501E">
                  <w:pPr>
                    <w:pStyle w:val="8"/>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rPr>
                    <w:t>X坐标</w:t>
                  </w:r>
                </w:p>
              </w:tc>
              <w:tc>
                <w:tcPr>
                  <w:tcW w:w="2004" w:type="dxa"/>
                  <w:noWrap w:val="0"/>
                  <w:vAlign w:val="center"/>
                </w:tcPr>
                <w:p w14:paraId="7A43FAD6">
                  <w:pPr>
                    <w:pStyle w:val="8"/>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rPr>
                    <w:t>Y坐标</w:t>
                  </w:r>
                </w:p>
              </w:tc>
            </w:tr>
            <w:tr w14:paraId="3F04A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0" w:type="dxa"/>
                  <w:noWrap w:val="0"/>
                  <w:vAlign w:val="center"/>
                </w:tcPr>
                <w:p w14:paraId="3B7C62CC">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i w:val="0"/>
                      <w:iCs w:val="0"/>
                      <w:color w:val="auto"/>
                      <w:kern w:val="0"/>
                      <w:sz w:val="22"/>
                      <w:szCs w:val="22"/>
                      <w:u w:val="none"/>
                      <w:lang w:val="en-US" w:eastAsia="zh-CN" w:bidi="ar"/>
                    </w:rPr>
                    <w:t>1</w:t>
                  </w:r>
                </w:p>
              </w:tc>
              <w:tc>
                <w:tcPr>
                  <w:tcW w:w="2003" w:type="dxa"/>
                  <w:noWrap w:val="0"/>
                  <w:vAlign w:val="center"/>
                </w:tcPr>
                <w:p w14:paraId="09A4AF0F">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5834566.995</w:t>
                  </w:r>
                </w:p>
              </w:tc>
              <w:tc>
                <w:tcPr>
                  <w:tcW w:w="2004" w:type="dxa"/>
                  <w:noWrap w:val="0"/>
                  <w:vAlign w:val="center"/>
                </w:tcPr>
                <w:p w14:paraId="30F282BA">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42490275.491</w:t>
                  </w:r>
                </w:p>
              </w:tc>
            </w:tr>
            <w:tr w14:paraId="56610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0" w:type="dxa"/>
                  <w:noWrap w:val="0"/>
                  <w:vAlign w:val="center"/>
                </w:tcPr>
                <w:p w14:paraId="255D333C">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i w:val="0"/>
                      <w:iCs w:val="0"/>
                      <w:color w:val="auto"/>
                      <w:kern w:val="0"/>
                      <w:sz w:val="22"/>
                      <w:szCs w:val="22"/>
                      <w:u w:val="none"/>
                      <w:lang w:val="en-US" w:eastAsia="zh-CN" w:bidi="ar"/>
                    </w:rPr>
                    <w:t>2</w:t>
                  </w:r>
                </w:p>
              </w:tc>
              <w:tc>
                <w:tcPr>
                  <w:tcW w:w="2003" w:type="dxa"/>
                  <w:noWrap w:val="0"/>
                  <w:vAlign w:val="center"/>
                </w:tcPr>
                <w:p w14:paraId="6DCCA6C5">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5834738.697</w:t>
                  </w:r>
                </w:p>
              </w:tc>
              <w:tc>
                <w:tcPr>
                  <w:tcW w:w="2004" w:type="dxa"/>
                  <w:noWrap w:val="0"/>
                  <w:vAlign w:val="center"/>
                </w:tcPr>
                <w:p w14:paraId="6B0BF888">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42490197.455</w:t>
                  </w:r>
                </w:p>
              </w:tc>
            </w:tr>
            <w:tr w14:paraId="4C579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0" w:type="dxa"/>
                  <w:noWrap w:val="0"/>
                  <w:vAlign w:val="center"/>
                </w:tcPr>
                <w:p w14:paraId="42930E81">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i w:val="0"/>
                      <w:iCs w:val="0"/>
                      <w:color w:val="auto"/>
                      <w:kern w:val="0"/>
                      <w:sz w:val="22"/>
                      <w:szCs w:val="22"/>
                      <w:u w:val="none"/>
                      <w:lang w:val="en-US" w:eastAsia="zh-CN" w:bidi="ar"/>
                    </w:rPr>
                    <w:t>3</w:t>
                  </w:r>
                </w:p>
              </w:tc>
              <w:tc>
                <w:tcPr>
                  <w:tcW w:w="2003" w:type="dxa"/>
                  <w:noWrap w:val="0"/>
                  <w:vAlign w:val="center"/>
                </w:tcPr>
                <w:p w14:paraId="5D304A3B">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5834788.589</w:t>
                  </w:r>
                </w:p>
              </w:tc>
              <w:tc>
                <w:tcPr>
                  <w:tcW w:w="2004" w:type="dxa"/>
                  <w:noWrap w:val="0"/>
                  <w:vAlign w:val="center"/>
                </w:tcPr>
                <w:p w14:paraId="22559D06">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42490310.583</w:t>
                  </w:r>
                </w:p>
              </w:tc>
            </w:tr>
            <w:tr w14:paraId="7CCB0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0" w:type="dxa"/>
                  <w:noWrap w:val="0"/>
                  <w:vAlign w:val="center"/>
                </w:tcPr>
                <w:p w14:paraId="77A866A4">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i w:val="0"/>
                      <w:iCs w:val="0"/>
                      <w:color w:val="auto"/>
                      <w:kern w:val="0"/>
                      <w:sz w:val="22"/>
                      <w:szCs w:val="22"/>
                      <w:u w:val="none"/>
                      <w:lang w:val="en-US" w:eastAsia="zh-CN" w:bidi="ar"/>
                    </w:rPr>
                    <w:t>4</w:t>
                  </w:r>
                </w:p>
              </w:tc>
              <w:tc>
                <w:tcPr>
                  <w:tcW w:w="2003" w:type="dxa"/>
                  <w:noWrap w:val="0"/>
                  <w:vAlign w:val="center"/>
                </w:tcPr>
                <w:p w14:paraId="1802F8E5">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5834616.037</w:t>
                  </w:r>
                </w:p>
              </w:tc>
              <w:tc>
                <w:tcPr>
                  <w:tcW w:w="2004" w:type="dxa"/>
                  <w:noWrap w:val="0"/>
                  <w:vAlign w:val="center"/>
                </w:tcPr>
                <w:p w14:paraId="60AE3AD0">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42490397.235</w:t>
                  </w:r>
                </w:p>
              </w:tc>
            </w:tr>
            <w:tr w14:paraId="2CCDE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0" w:type="dxa"/>
                  <w:noWrap w:val="0"/>
                  <w:vAlign w:val="center"/>
                </w:tcPr>
                <w:p w14:paraId="64DA4810">
                  <w:pPr>
                    <w:pStyle w:val="8"/>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面积（km²）</w:t>
                  </w:r>
                </w:p>
              </w:tc>
              <w:tc>
                <w:tcPr>
                  <w:tcW w:w="4007" w:type="dxa"/>
                  <w:gridSpan w:val="2"/>
                  <w:noWrap w:val="0"/>
                  <w:vAlign w:val="center"/>
                </w:tcPr>
                <w:p w14:paraId="15FCD01B">
                  <w:pPr>
                    <w:pStyle w:val="8"/>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0.0243</w:t>
                  </w:r>
                </w:p>
              </w:tc>
            </w:tr>
            <w:tr w14:paraId="627D7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0" w:type="dxa"/>
                  <w:noWrap w:val="0"/>
                  <w:vAlign w:val="center"/>
                </w:tcPr>
                <w:p w14:paraId="0930F9FD">
                  <w:pPr>
                    <w:pStyle w:val="8"/>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开采标高</w:t>
                  </w:r>
                </w:p>
              </w:tc>
              <w:tc>
                <w:tcPr>
                  <w:tcW w:w="4007" w:type="dxa"/>
                  <w:gridSpan w:val="2"/>
                  <w:noWrap w:val="0"/>
                  <w:vAlign w:val="center"/>
                </w:tcPr>
                <w:p w14:paraId="1C545066">
                  <w:pPr>
                    <w:pStyle w:val="8"/>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332.5m—297m</w:t>
                  </w:r>
                </w:p>
              </w:tc>
            </w:tr>
            <w:tr w14:paraId="6A2D5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2020" w:type="dxa"/>
                  <w:noWrap w:val="0"/>
                  <w:vAlign w:val="center"/>
                </w:tcPr>
                <w:p w14:paraId="23CCCC85">
                  <w:pPr>
                    <w:pStyle w:val="8"/>
                    <w:keepNext w:val="0"/>
                    <w:keepLines w:val="0"/>
                    <w:pageBreakBefore w:val="0"/>
                    <w:widowControl w:val="0"/>
                    <w:kinsoku/>
                    <w:wordWrap/>
                    <w:overflowPunct/>
                    <w:topLinePunct w:val="0"/>
                    <w:autoSpaceDE/>
                    <w:autoSpaceDN/>
                    <w:bidi w:val="0"/>
                    <w:adjustRightInd/>
                    <w:snapToGrid w:val="0"/>
                    <w:spacing w:line="340" w:lineRule="exact"/>
                    <w:ind w:firstLine="0" w:firstLineChars="0"/>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井巷工程或露天剥离标高</w:t>
                  </w:r>
                </w:p>
              </w:tc>
              <w:tc>
                <w:tcPr>
                  <w:tcW w:w="4007" w:type="dxa"/>
                  <w:gridSpan w:val="2"/>
                  <w:noWrap w:val="0"/>
                  <w:vAlign w:val="center"/>
                </w:tcPr>
                <w:p w14:paraId="001241DC">
                  <w:pPr>
                    <w:pStyle w:val="8"/>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332.5m—297m</w:t>
                  </w:r>
                </w:p>
              </w:tc>
            </w:tr>
          </w:tbl>
          <w:p w14:paraId="3E529F37">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2000国家大地坐标系</w:t>
            </w:r>
          </w:p>
        </w:tc>
      </w:tr>
      <w:tr w14:paraId="44772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trPr>
        <w:tc>
          <w:tcPr>
            <w:tcW w:w="1788" w:type="dxa"/>
            <w:noWrap w:val="0"/>
            <w:vAlign w:val="center"/>
          </w:tcPr>
          <w:p w14:paraId="59A7B5CB">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备注</w:t>
            </w:r>
          </w:p>
        </w:tc>
        <w:tc>
          <w:tcPr>
            <w:tcW w:w="7103" w:type="dxa"/>
            <w:gridSpan w:val="5"/>
            <w:noWrap w:val="0"/>
            <w:vAlign w:val="center"/>
          </w:tcPr>
          <w:p w14:paraId="18975863">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Times New Roman" w:eastAsiaTheme="minorEastAsia"/>
                <w:color w:val="auto"/>
                <w:sz w:val="24"/>
                <w:szCs w:val="24"/>
                <w:highlight w:val="none"/>
                <w:lang w:eastAsia="zh-CN"/>
              </w:rPr>
            </w:pPr>
            <w:r>
              <w:rPr>
                <w:rFonts w:hint="default" w:ascii="Times New Roman" w:hAnsi="Times New Roman" w:cs="Times New Roman" w:eastAsiaTheme="minorEastAsia"/>
                <w:color w:val="auto"/>
                <w:sz w:val="24"/>
                <w:szCs w:val="24"/>
                <w:highlight w:val="none"/>
                <w:lang w:eastAsia="zh-CN"/>
              </w:rPr>
              <w:t>矿产资源储量评审备案按照相关规定执行。</w:t>
            </w:r>
          </w:p>
        </w:tc>
      </w:tr>
    </w:tbl>
    <w:p w14:paraId="5D2A7B8E">
      <w:pPr>
        <w:pageBreakBefore w:val="0"/>
        <w:tabs>
          <w:tab w:val="left" w:pos="750"/>
        </w:tabs>
        <w:kinsoku/>
        <w:wordWrap/>
        <w:overflowPunct/>
        <w:topLinePunct w:val="0"/>
        <w:bidi w:val="0"/>
        <w:spacing w:line="360" w:lineRule="auto"/>
        <w:jc w:val="center"/>
        <w:rPr>
          <w:rFonts w:hint="default" w:ascii="Times New Roman" w:hAnsi="Times New Roman" w:cs="Times New Roman" w:eastAsiaTheme="minorEastAsia"/>
          <w:bCs/>
          <w:color w:val="auto"/>
          <w:sz w:val="21"/>
          <w:szCs w:val="24"/>
        </w:rPr>
      </w:pPr>
    </w:p>
    <w:p w14:paraId="3D7347FC">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32"/>
          <w:szCs w:val="32"/>
          <w:highlight w:val="none"/>
        </w:rPr>
      </w:pPr>
    </w:p>
    <w:p w14:paraId="61D80ACD">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32"/>
          <w:szCs w:val="32"/>
          <w:highlight w:val="none"/>
        </w:rPr>
      </w:pPr>
    </w:p>
    <w:p w14:paraId="0F27CCBC">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32"/>
          <w:szCs w:val="32"/>
          <w:highlight w:val="none"/>
        </w:rPr>
      </w:pPr>
    </w:p>
    <w:p w14:paraId="0F93FD5A">
      <w:pPr>
        <w:pStyle w:val="15"/>
        <w:tabs>
          <w:tab w:val="right" w:leader="dot" w:pos="9127"/>
        </w:tabs>
        <w:jc w:val="center"/>
        <w:rPr>
          <w:rFonts w:hint="eastAsia" w:ascii="黑体" w:hAnsi="黑体" w:eastAsia="黑体" w:cs="黑体"/>
          <w:color w:val="auto"/>
          <w:sz w:val="28"/>
          <w:szCs w:val="24"/>
          <w:lang w:val="en-US" w:eastAsia="zh-CN"/>
        </w:rPr>
      </w:pPr>
      <w:r>
        <w:rPr>
          <w:rFonts w:hint="eastAsia" w:ascii="黑体" w:hAnsi="黑体" w:eastAsia="黑体" w:cs="黑体"/>
          <w:color w:val="auto"/>
          <w:sz w:val="28"/>
          <w:szCs w:val="24"/>
          <w:lang w:val="en-US" w:eastAsia="zh-CN"/>
        </w:rPr>
        <w:t>目录</w:t>
      </w:r>
    </w:p>
    <w:p w14:paraId="4A255165">
      <w:pPr>
        <w:pStyle w:val="15"/>
        <w:tabs>
          <w:tab w:val="right" w:leader="dot" w:pos="9127"/>
        </w:tabs>
      </w:pPr>
      <w:r>
        <w:rPr>
          <w:rFonts w:hint="default" w:ascii="Times New Roman" w:hAnsi="Times New Roman" w:cs="Times New Roman" w:eastAsiaTheme="minorEastAsia"/>
          <w:color w:val="auto"/>
          <w:highlight w:val="none"/>
        </w:rPr>
        <w:fldChar w:fldCharType="begin"/>
      </w:r>
      <w:r>
        <w:rPr>
          <w:rFonts w:hint="default" w:ascii="Times New Roman" w:hAnsi="Times New Roman" w:cs="Times New Roman" w:eastAsiaTheme="minorEastAsia"/>
          <w:color w:val="auto"/>
          <w:highlight w:val="none"/>
        </w:rPr>
        <w:instrText xml:space="preserve"> TOC \o "1-3" \h \z \u </w:instrText>
      </w:r>
      <w:r>
        <w:rPr>
          <w:rFonts w:hint="default" w:ascii="Times New Roman" w:hAnsi="Times New Roman" w:cs="Times New Roman" w:eastAsiaTheme="minorEastAsia"/>
          <w:color w:val="auto"/>
          <w:highlight w:val="none"/>
        </w:rPr>
        <w:fldChar w:fldCharType="separate"/>
      </w:r>
      <w:r>
        <w:rPr>
          <w:rFonts w:hint="default" w:ascii="Times New Roman" w:hAnsi="Times New Roman" w:cs="Times New Roman" w:eastAsiaTheme="minorEastAsia"/>
          <w:color w:val="auto"/>
          <w:highlight w:val="none"/>
        </w:rPr>
        <w:fldChar w:fldCharType="begin"/>
      </w:r>
      <w:r>
        <w:rPr>
          <w:rFonts w:hint="default" w:ascii="Times New Roman" w:hAnsi="Times New Roman" w:cs="Times New Roman" w:eastAsiaTheme="minorEastAsia"/>
          <w:highlight w:val="none"/>
        </w:rPr>
        <w:instrText xml:space="preserve"> HYPERLINK \l _Toc24074 </w:instrText>
      </w:r>
      <w:r>
        <w:rPr>
          <w:rFonts w:hint="default" w:ascii="Times New Roman" w:hAnsi="Times New Roman" w:cs="Times New Roman" w:eastAsiaTheme="minorEastAsia"/>
          <w:highlight w:val="none"/>
        </w:rPr>
        <w:fldChar w:fldCharType="separate"/>
      </w:r>
      <w:r>
        <w:rPr>
          <w:rFonts w:hint="eastAsia" w:ascii="黑体" w:hAnsi="黑体" w:eastAsia="黑体" w:cs="黑体"/>
          <w:szCs w:val="32"/>
          <w:highlight w:val="none"/>
          <w:lang w:val="en-US" w:eastAsia="zh-CN"/>
        </w:rPr>
        <w:t>前  言</w:t>
      </w:r>
      <w:r>
        <w:tab/>
      </w:r>
      <w:r>
        <w:fldChar w:fldCharType="begin"/>
      </w:r>
      <w:r>
        <w:instrText xml:space="preserve"> PAGEREF _Toc24074 \h </w:instrText>
      </w:r>
      <w:r>
        <w:fldChar w:fldCharType="separate"/>
      </w:r>
      <w:r>
        <w:t>1</w:t>
      </w:r>
      <w:r>
        <w:fldChar w:fldCharType="end"/>
      </w:r>
      <w:r>
        <w:rPr>
          <w:rFonts w:hint="default" w:ascii="Times New Roman" w:hAnsi="Times New Roman" w:cs="Times New Roman" w:eastAsiaTheme="minorEastAsia"/>
          <w:color w:val="auto"/>
          <w:highlight w:val="none"/>
        </w:rPr>
        <w:fldChar w:fldCharType="end"/>
      </w:r>
    </w:p>
    <w:p w14:paraId="14268ECB">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_Toc18302 </w:instrText>
      </w:r>
      <w:r>
        <w:rPr>
          <w:rFonts w:hint="default" w:ascii="Times New Roman" w:hAnsi="Times New Roman" w:cs="Times New Roman" w:eastAsiaTheme="minorEastAsia"/>
          <w:kern w:val="0"/>
          <w:szCs w:val="24"/>
          <w:highlight w:val="none"/>
        </w:rPr>
        <w:fldChar w:fldCharType="separate"/>
      </w:r>
      <w:r>
        <w:rPr>
          <w:rFonts w:hint="eastAsia" w:ascii="Times New Roman" w:hAnsi="Times New Roman" w:cs="Times New Roman" w:eastAsiaTheme="minorEastAsia"/>
          <w:szCs w:val="30"/>
          <w:highlight w:val="none"/>
          <w:lang w:val="en-US" w:eastAsia="zh-CN"/>
        </w:rPr>
        <w:t>一、</w:t>
      </w:r>
      <w:r>
        <w:rPr>
          <w:rFonts w:hint="eastAsia" w:ascii="Times New Roman" w:hAnsi="Times New Roman" w:cs="Times New Roman" w:eastAsiaTheme="minorEastAsia"/>
          <w:szCs w:val="30"/>
          <w:highlight w:val="none"/>
        </w:rPr>
        <w:t>编制</w:t>
      </w:r>
      <w:r>
        <w:rPr>
          <w:rFonts w:hint="eastAsia" w:ascii="Times New Roman" w:hAnsi="Times New Roman" w:cs="Times New Roman" w:eastAsiaTheme="minorEastAsia"/>
          <w:szCs w:val="30"/>
          <w:highlight w:val="none"/>
          <w:lang w:eastAsia="zh-CN"/>
        </w:rPr>
        <w:t>目的</w:t>
      </w:r>
      <w:r>
        <w:tab/>
      </w:r>
      <w:r>
        <w:fldChar w:fldCharType="begin"/>
      </w:r>
      <w:r>
        <w:instrText xml:space="preserve"> PAGEREF _Toc18302 \h </w:instrText>
      </w:r>
      <w:r>
        <w:fldChar w:fldCharType="separate"/>
      </w:r>
      <w:r>
        <w:t>1</w:t>
      </w:r>
      <w:r>
        <w:fldChar w:fldCharType="end"/>
      </w:r>
      <w:r>
        <w:rPr>
          <w:rFonts w:hint="default" w:ascii="Times New Roman" w:hAnsi="Times New Roman" w:cs="Times New Roman" w:eastAsiaTheme="minorEastAsia"/>
          <w:color w:val="auto"/>
          <w:kern w:val="0"/>
          <w:szCs w:val="24"/>
          <w:highlight w:val="none"/>
        </w:rPr>
        <w:fldChar w:fldCharType="end"/>
      </w:r>
    </w:p>
    <w:p w14:paraId="6AB9567F">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_Toc7639 </w:instrText>
      </w:r>
      <w:r>
        <w:rPr>
          <w:rFonts w:hint="default" w:ascii="Times New Roman" w:hAnsi="Times New Roman" w:cs="Times New Roman" w:eastAsiaTheme="minorEastAsia"/>
          <w:kern w:val="0"/>
          <w:szCs w:val="24"/>
          <w:highlight w:val="none"/>
        </w:rPr>
        <w:fldChar w:fldCharType="separate"/>
      </w:r>
      <w:r>
        <w:rPr>
          <w:rFonts w:hint="eastAsia" w:ascii="Times New Roman" w:hAnsi="Times New Roman" w:cs="Times New Roman" w:eastAsiaTheme="minorEastAsia"/>
          <w:szCs w:val="30"/>
          <w:highlight w:val="none"/>
          <w:lang w:val="en-US" w:eastAsia="zh-CN"/>
        </w:rPr>
        <w:t>二、</w:t>
      </w:r>
      <w:r>
        <w:rPr>
          <w:rFonts w:hint="default" w:ascii="Times New Roman" w:hAnsi="Times New Roman" w:cs="Times New Roman" w:eastAsiaTheme="minorEastAsia"/>
          <w:szCs w:val="30"/>
          <w:highlight w:val="none"/>
          <w:lang w:val="en-US" w:eastAsia="zh-CN"/>
        </w:rPr>
        <w:t>编制依据</w:t>
      </w:r>
      <w:r>
        <w:tab/>
      </w:r>
      <w:r>
        <w:fldChar w:fldCharType="begin"/>
      </w:r>
      <w:r>
        <w:instrText xml:space="preserve"> PAGEREF _Toc7639 \h </w:instrText>
      </w:r>
      <w:r>
        <w:fldChar w:fldCharType="separate"/>
      </w:r>
      <w:r>
        <w:t>1</w:t>
      </w:r>
      <w:r>
        <w:fldChar w:fldCharType="end"/>
      </w:r>
      <w:r>
        <w:rPr>
          <w:rFonts w:hint="default" w:ascii="Times New Roman" w:hAnsi="Times New Roman" w:cs="Times New Roman" w:eastAsiaTheme="minorEastAsia"/>
          <w:color w:val="auto"/>
          <w:kern w:val="0"/>
          <w:szCs w:val="24"/>
          <w:highlight w:val="none"/>
        </w:rPr>
        <w:fldChar w:fldCharType="end"/>
      </w:r>
    </w:p>
    <w:p w14:paraId="352458C6">
      <w:pPr>
        <w:pStyle w:val="15"/>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_Toc25694 </w:instrText>
      </w:r>
      <w:r>
        <w:rPr>
          <w:rFonts w:hint="default" w:ascii="Times New Roman" w:hAnsi="Times New Roman" w:cs="Times New Roman" w:eastAsiaTheme="minorEastAsia"/>
          <w:kern w:val="0"/>
          <w:szCs w:val="24"/>
          <w:highlight w:val="none"/>
        </w:rPr>
        <w:fldChar w:fldCharType="separate"/>
      </w:r>
      <w:r>
        <w:rPr>
          <w:rFonts w:hint="default" w:ascii="黑体" w:hAnsi="黑体" w:eastAsia="黑体" w:cs="黑体"/>
          <w:szCs w:val="32"/>
          <w:highlight w:val="none"/>
          <w:lang w:val="en-US" w:eastAsia="zh-CN"/>
        </w:rPr>
        <w:t>第一章</w:t>
      </w:r>
      <w:r>
        <w:rPr>
          <w:rFonts w:hint="eastAsia" w:ascii="黑体" w:hAnsi="黑体" w:eastAsia="黑体" w:cs="黑体"/>
          <w:szCs w:val="32"/>
          <w:highlight w:val="none"/>
          <w:lang w:val="en-US" w:eastAsia="zh-CN"/>
        </w:rPr>
        <w:t xml:space="preserve"> </w:t>
      </w:r>
      <w:r>
        <w:rPr>
          <w:rFonts w:hint="default" w:ascii="黑体" w:hAnsi="黑体" w:eastAsia="黑体" w:cs="黑体"/>
          <w:szCs w:val="32"/>
          <w:highlight w:val="none"/>
        </w:rPr>
        <w:t>矿山基本情况</w:t>
      </w:r>
      <w:r>
        <w:tab/>
      </w:r>
      <w:r>
        <w:fldChar w:fldCharType="begin"/>
      </w:r>
      <w:r>
        <w:instrText xml:space="preserve"> PAGEREF _Toc25694 \h </w:instrText>
      </w:r>
      <w:r>
        <w:fldChar w:fldCharType="separate"/>
      </w:r>
      <w:r>
        <w:t>4</w:t>
      </w:r>
      <w:r>
        <w:fldChar w:fldCharType="end"/>
      </w:r>
      <w:r>
        <w:rPr>
          <w:rFonts w:hint="default" w:ascii="Times New Roman" w:hAnsi="Times New Roman" w:cs="Times New Roman" w:eastAsiaTheme="minorEastAsia"/>
          <w:color w:val="auto"/>
          <w:kern w:val="0"/>
          <w:szCs w:val="24"/>
          <w:highlight w:val="none"/>
        </w:rPr>
        <w:fldChar w:fldCharType="end"/>
      </w:r>
    </w:p>
    <w:p w14:paraId="55639C0A">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_Toc28418 </w:instrText>
      </w:r>
      <w:r>
        <w:rPr>
          <w:rFonts w:hint="default" w:ascii="Times New Roman" w:hAnsi="Times New Roman" w:cs="Times New Roman" w:eastAsiaTheme="minorEastAsia"/>
          <w:kern w:val="0"/>
          <w:szCs w:val="24"/>
          <w:highlight w:val="none"/>
        </w:rPr>
        <w:fldChar w:fldCharType="separate"/>
      </w:r>
      <w:r>
        <w:rPr>
          <w:rFonts w:hint="default" w:ascii="Times New Roman" w:hAnsi="Times New Roman" w:cs="Times New Roman" w:eastAsiaTheme="minorEastAsia"/>
          <w:szCs w:val="30"/>
          <w:highlight w:val="none"/>
          <w:lang w:val="en-US" w:eastAsia="zh-CN"/>
        </w:rPr>
        <w:t>一、地理位置与区域概况</w:t>
      </w:r>
      <w:r>
        <w:tab/>
      </w:r>
      <w:r>
        <w:fldChar w:fldCharType="begin"/>
      </w:r>
      <w:r>
        <w:instrText xml:space="preserve"> PAGEREF _Toc28418 \h </w:instrText>
      </w:r>
      <w:r>
        <w:fldChar w:fldCharType="separate"/>
      </w:r>
      <w:r>
        <w:t>4</w:t>
      </w:r>
      <w:r>
        <w:fldChar w:fldCharType="end"/>
      </w:r>
      <w:r>
        <w:rPr>
          <w:rFonts w:hint="default" w:ascii="Times New Roman" w:hAnsi="Times New Roman" w:cs="Times New Roman" w:eastAsiaTheme="minorEastAsia"/>
          <w:color w:val="auto"/>
          <w:kern w:val="0"/>
          <w:szCs w:val="24"/>
          <w:highlight w:val="none"/>
        </w:rPr>
        <w:fldChar w:fldCharType="end"/>
      </w:r>
    </w:p>
    <w:p w14:paraId="73B8A662">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_Toc17304 </w:instrText>
      </w:r>
      <w:r>
        <w:rPr>
          <w:rFonts w:hint="default" w:ascii="Times New Roman" w:hAnsi="Times New Roman" w:cs="Times New Roman" w:eastAsiaTheme="minorEastAsia"/>
          <w:kern w:val="0"/>
          <w:szCs w:val="24"/>
          <w:highlight w:val="none"/>
        </w:rPr>
        <w:fldChar w:fldCharType="separate"/>
      </w:r>
      <w:r>
        <w:rPr>
          <w:rFonts w:hint="default" w:ascii="Times New Roman" w:hAnsi="Times New Roman" w:cs="Times New Roman" w:eastAsiaTheme="minorEastAsia"/>
          <w:szCs w:val="30"/>
          <w:highlight w:val="none"/>
          <w:lang w:val="en-US" w:eastAsia="zh-CN"/>
        </w:rPr>
        <w:t>二、矿业权人基本情况</w:t>
      </w:r>
      <w:r>
        <w:tab/>
      </w:r>
      <w:r>
        <w:fldChar w:fldCharType="begin"/>
      </w:r>
      <w:r>
        <w:instrText xml:space="preserve"> PAGEREF _Toc17304 \h </w:instrText>
      </w:r>
      <w:r>
        <w:fldChar w:fldCharType="separate"/>
      </w:r>
      <w:r>
        <w:t>7</w:t>
      </w:r>
      <w:r>
        <w:fldChar w:fldCharType="end"/>
      </w:r>
      <w:r>
        <w:rPr>
          <w:rFonts w:hint="default" w:ascii="Times New Roman" w:hAnsi="Times New Roman" w:cs="Times New Roman" w:eastAsiaTheme="minorEastAsia"/>
          <w:color w:val="auto"/>
          <w:kern w:val="0"/>
          <w:szCs w:val="24"/>
          <w:highlight w:val="none"/>
        </w:rPr>
        <w:fldChar w:fldCharType="end"/>
      </w:r>
    </w:p>
    <w:p w14:paraId="73D7F623">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_Toc31426 </w:instrText>
      </w:r>
      <w:r>
        <w:rPr>
          <w:rFonts w:hint="default" w:ascii="Times New Roman" w:hAnsi="Times New Roman" w:cs="Times New Roman" w:eastAsiaTheme="minorEastAsia"/>
          <w:kern w:val="0"/>
          <w:szCs w:val="24"/>
          <w:highlight w:val="none"/>
        </w:rPr>
        <w:fldChar w:fldCharType="separate"/>
      </w:r>
      <w:r>
        <w:rPr>
          <w:rFonts w:hint="default" w:ascii="Times New Roman" w:hAnsi="Times New Roman" w:cs="Times New Roman" w:eastAsiaTheme="minorEastAsia"/>
          <w:szCs w:val="30"/>
          <w:highlight w:val="none"/>
          <w:lang w:val="en-US" w:eastAsia="zh-CN"/>
        </w:rPr>
        <w:t>三、矿山勘查开采历史及现状</w:t>
      </w:r>
      <w:r>
        <w:tab/>
      </w:r>
      <w:r>
        <w:fldChar w:fldCharType="begin"/>
      </w:r>
      <w:r>
        <w:instrText xml:space="preserve"> PAGEREF _Toc31426 \h </w:instrText>
      </w:r>
      <w:r>
        <w:fldChar w:fldCharType="separate"/>
      </w:r>
      <w:r>
        <w:t>8</w:t>
      </w:r>
      <w:r>
        <w:fldChar w:fldCharType="end"/>
      </w:r>
      <w:r>
        <w:rPr>
          <w:rFonts w:hint="default" w:ascii="Times New Roman" w:hAnsi="Times New Roman" w:cs="Times New Roman" w:eastAsiaTheme="minorEastAsia"/>
          <w:color w:val="auto"/>
          <w:kern w:val="0"/>
          <w:szCs w:val="24"/>
          <w:highlight w:val="none"/>
        </w:rPr>
        <w:fldChar w:fldCharType="end"/>
      </w:r>
    </w:p>
    <w:p w14:paraId="7F13AB7F">
      <w:pPr>
        <w:pStyle w:val="15"/>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_Toc16181 </w:instrText>
      </w:r>
      <w:r>
        <w:rPr>
          <w:rFonts w:hint="default" w:ascii="Times New Roman" w:hAnsi="Times New Roman" w:cs="Times New Roman" w:eastAsiaTheme="minorEastAsia"/>
          <w:kern w:val="0"/>
          <w:szCs w:val="24"/>
          <w:highlight w:val="none"/>
        </w:rPr>
        <w:fldChar w:fldCharType="separate"/>
      </w:r>
      <w:r>
        <w:rPr>
          <w:rFonts w:hint="default" w:ascii="黑体" w:hAnsi="黑体" w:eastAsia="黑体" w:cs="黑体"/>
          <w:szCs w:val="32"/>
          <w:highlight w:val="none"/>
          <w:lang w:val="en-US" w:eastAsia="zh-CN"/>
        </w:rPr>
        <w:t>第二章 矿区地质与矿产资源情况</w:t>
      </w:r>
      <w:r>
        <w:tab/>
      </w:r>
      <w:r>
        <w:fldChar w:fldCharType="begin"/>
      </w:r>
      <w:r>
        <w:instrText xml:space="preserve"> PAGEREF _Toc16181 \h </w:instrText>
      </w:r>
      <w:r>
        <w:fldChar w:fldCharType="separate"/>
      </w:r>
      <w:r>
        <w:t>9</w:t>
      </w:r>
      <w:r>
        <w:fldChar w:fldCharType="end"/>
      </w:r>
      <w:r>
        <w:rPr>
          <w:rFonts w:hint="default" w:ascii="Times New Roman" w:hAnsi="Times New Roman" w:cs="Times New Roman" w:eastAsiaTheme="minorEastAsia"/>
          <w:color w:val="auto"/>
          <w:kern w:val="0"/>
          <w:szCs w:val="24"/>
          <w:highlight w:val="none"/>
        </w:rPr>
        <w:fldChar w:fldCharType="end"/>
      </w:r>
    </w:p>
    <w:p w14:paraId="353E4AAB">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_Toc23034 </w:instrText>
      </w:r>
      <w:r>
        <w:rPr>
          <w:rFonts w:hint="default" w:ascii="Times New Roman" w:hAnsi="Times New Roman" w:cs="Times New Roman" w:eastAsiaTheme="minorEastAsia"/>
          <w:kern w:val="0"/>
          <w:szCs w:val="24"/>
          <w:highlight w:val="none"/>
        </w:rPr>
        <w:fldChar w:fldCharType="separate"/>
      </w:r>
      <w:r>
        <w:rPr>
          <w:rFonts w:hint="default" w:ascii="Times New Roman" w:hAnsi="Times New Roman" w:cs="Times New Roman" w:eastAsiaTheme="minorEastAsia"/>
          <w:szCs w:val="30"/>
          <w:highlight w:val="none"/>
          <w:lang w:val="en-US" w:eastAsia="zh-CN"/>
        </w:rPr>
        <w:t>一、矿床地质与矿体特征</w:t>
      </w:r>
      <w:r>
        <w:tab/>
      </w:r>
      <w:r>
        <w:fldChar w:fldCharType="begin"/>
      </w:r>
      <w:r>
        <w:instrText xml:space="preserve"> PAGEREF _Toc23034 \h </w:instrText>
      </w:r>
      <w:r>
        <w:fldChar w:fldCharType="separate"/>
      </w:r>
      <w:r>
        <w:t>9</w:t>
      </w:r>
      <w:r>
        <w:fldChar w:fldCharType="end"/>
      </w:r>
      <w:r>
        <w:rPr>
          <w:rFonts w:hint="default" w:ascii="Times New Roman" w:hAnsi="Times New Roman" w:cs="Times New Roman" w:eastAsiaTheme="minorEastAsia"/>
          <w:color w:val="auto"/>
          <w:kern w:val="0"/>
          <w:szCs w:val="24"/>
          <w:highlight w:val="none"/>
        </w:rPr>
        <w:fldChar w:fldCharType="end"/>
      </w:r>
    </w:p>
    <w:p w14:paraId="1F7A77BB">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_Toc8066 </w:instrText>
      </w:r>
      <w:r>
        <w:rPr>
          <w:rFonts w:hint="default" w:ascii="Times New Roman" w:hAnsi="Times New Roman" w:cs="Times New Roman" w:eastAsiaTheme="minorEastAsia"/>
          <w:kern w:val="0"/>
          <w:szCs w:val="24"/>
          <w:highlight w:val="none"/>
        </w:rPr>
        <w:fldChar w:fldCharType="separate"/>
      </w:r>
      <w:r>
        <w:rPr>
          <w:rFonts w:hint="default" w:ascii="Times New Roman" w:hAnsi="Times New Roman" w:cs="Times New Roman" w:eastAsiaTheme="minorEastAsia"/>
          <w:szCs w:val="30"/>
          <w:highlight w:val="none"/>
          <w:lang w:val="en-US" w:eastAsia="zh-CN"/>
        </w:rPr>
        <w:t>二、矿床开采技术条件</w:t>
      </w:r>
      <w:r>
        <w:tab/>
      </w:r>
      <w:r>
        <w:fldChar w:fldCharType="begin"/>
      </w:r>
      <w:r>
        <w:instrText xml:space="preserve"> PAGEREF _Toc8066 \h </w:instrText>
      </w:r>
      <w:r>
        <w:fldChar w:fldCharType="separate"/>
      </w:r>
      <w:r>
        <w:t>11</w:t>
      </w:r>
      <w:r>
        <w:fldChar w:fldCharType="end"/>
      </w:r>
      <w:r>
        <w:rPr>
          <w:rFonts w:hint="default" w:ascii="Times New Roman" w:hAnsi="Times New Roman" w:cs="Times New Roman" w:eastAsiaTheme="minorEastAsia"/>
          <w:color w:val="auto"/>
          <w:kern w:val="0"/>
          <w:szCs w:val="24"/>
          <w:highlight w:val="none"/>
        </w:rPr>
        <w:fldChar w:fldCharType="end"/>
      </w:r>
    </w:p>
    <w:p w14:paraId="2ED43DE0">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_Toc25302 </w:instrText>
      </w:r>
      <w:r>
        <w:rPr>
          <w:rFonts w:hint="default" w:ascii="Times New Roman" w:hAnsi="Times New Roman" w:cs="Times New Roman" w:eastAsiaTheme="minorEastAsia"/>
          <w:kern w:val="0"/>
          <w:szCs w:val="24"/>
          <w:highlight w:val="none"/>
        </w:rPr>
        <w:fldChar w:fldCharType="separate"/>
      </w:r>
      <w:r>
        <w:rPr>
          <w:rFonts w:hint="default" w:ascii="Times New Roman" w:hAnsi="Times New Roman" w:cs="Times New Roman" w:eastAsiaTheme="minorEastAsia"/>
          <w:szCs w:val="30"/>
          <w:highlight w:val="none"/>
          <w:lang w:val="en-US" w:eastAsia="zh-CN"/>
        </w:rPr>
        <w:t>三、矿产资源储量情况</w:t>
      </w:r>
      <w:r>
        <w:tab/>
      </w:r>
      <w:r>
        <w:fldChar w:fldCharType="begin"/>
      </w:r>
      <w:r>
        <w:instrText xml:space="preserve"> PAGEREF _Toc25302 \h </w:instrText>
      </w:r>
      <w:r>
        <w:fldChar w:fldCharType="separate"/>
      </w:r>
      <w:r>
        <w:t>14</w:t>
      </w:r>
      <w:r>
        <w:fldChar w:fldCharType="end"/>
      </w:r>
      <w:r>
        <w:rPr>
          <w:rFonts w:hint="default" w:ascii="Times New Roman" w:hAnsi="Times New Roman" w:cs="Times New Roman" w:eastAsiaTheme="minorEastAsia"/>
          <w:color w:val="auto"/>
          <w:kern w:val="0"/>
          <w:szCs w:val="24"/>
          <w:highlight w:val="none"/>
        </w:rPr>
        <w:fldChar w:fldCharType="end"/>
      </w:r>
    </w:p>
    <w:p w14:paraId="6AF6F05C">
      <w:pPr>
        <w:pStyle w:val="15"/>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_Toc7364 </w:instrText>
      </w:r>
      <w:r>
        <w:rPr>
          <w:rFonts w:hint="default" w:ascii="Times New Roman" w:hAnsi="Times New Roman" w:cs="Times New Roman" w:eastAsiaTheme="minorEastAsia"/>
          <w:kern w:val="0"/>
          <w:szCs w:val="24"/>
          <w:highlight w:val="none"/>
        </w:rPr>
        <w:fldChar w:fldCharType="separate"/>
      </w:r>
      <w:r>
        <w:rPr>
          <w:rFonts w:hint="default" w:ascii="黑体" w:hAnsi="黑体" w:eastAsia="黑体" w:cs="黑体"/>
          <w:szCs w:val="32"/>
          <w:highlight w:val="none"/>
          <w:lang w:val="en-US" w:eastAsia="zh-CN"/>
        </w:rPr>
        <w:t>第三章 开采区域</w:t>
      </w:r>
      <w:r>
        <w:tab/>
      </w:r>
      <w:r>
        <w:fldChar w:fldCharType="begin"/>
      </w:r>
      <w:r>
        <w:instrText xml:space="preserve"> PAGEREF _Toc7364 \h </w:instrText>
      </w:r>
      <w:r>
        <w:fldChar w:fldCharType="separate"/>
      </w:r>
      <w:r>
        <w:t>15</w:t>
      </w:r>
      <w:r>
        <w:fldChar w:fldCharType="end"/>
      </w:r>
      <w:r>
        <w:rPr>
          <w:rFonts w:hint="default" w:ascii="Times New Roman" w:hAnsi="Times New Roman" w:cs="Times New Roman" w:eastAsiaTheme="minorEastAsia"/>
          <w:color w:val="auto"/>
          <w:kern w:val="0"/>
          <w:szCs w:val="24"/>
          <w:highlight w:val="none"/>
        </w:rPr>
        <w:fldChar w:fldCharType="end"/>
      </w:r>
    </w:p>
    <w:p w14:paraId="0CF9FB77">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_Toc25641 </w:instrText>
      </w:r>
      <w:r>
        <w:rPr>
          <w:rFonts w:hint="default" w:ascii="Times New Roman" w:hAnsi="Times New Roman" w:cs="Times New Roman" w:eastAsiaTheme="minorEastAsia"/>
          <w:kern w:val="0"/>
          <w:szCs w:val="24"/>
          <w:highlight w:val="none"/>
        </w:rPr>
        <w:fldChar w:fldCharType="separate"/>
      </w:r>
      <w:r>
        <w:rPr>
          <w:rFonts w:hint="default" w:ascii="Times New Roman" w:hAnsi="Times New Roman" w:cs="Times New Roman" w:eastAsiaTheme="minorEastAsia"/>
          <w:szCs w:val="30"/>
          <w:highlight w:val="none"/>
          <w:lang w:val="en-US" w:eastAsia="zh-CN"/>
        </w:rPr>
        <w:t>一、符合矿产资源规划情况</w:t>
      </w:r>
      <w:r>
        <w:tab/>
      </w:r>
      <w:r>
        <w:fldChar w:fldCharType="begin"/>
      </w:r>
      <w:r>
        <w:instrText xml:space="preserve"> PAGEREF _Toc25641 \h </w:instrText>
      </w:r>
      <w:r>
        <w:fldChar w:fldCharType="separate"/>
      </w:r>
      <w:r>
        <w:t>15</w:t>
      </w:r>
      <w:r>
        <w:fldChar w:fldCharType="end"/>
      </w:r>
      <w:r>
        <w:rPr>
          <w:rFonts w:hint="default" w:ascii="Times New Roman" w:hAnsi="Times New Roman" w:cs="Times New Roman" w:eastAsiaTheme="minorEastAsia"/>
          <w:color w:val="auto"/>
          <w:kern w:val="0"/>
          <w:szCs w:val="24"/>
          <w:highlight w:val="none"/>
        </w:rPr>
        <w:fldChar w:fldCharType="end"/>
      </w:r>
    </w:p>
    <w:p w14:paraId="4DF38B25">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_Toc27553 </w:instrText>
      </w:r>
      <w:r>
        <w:rPr>
          <w:rFonts w:hint="default" w:ascii="Times New Roman" w:hAnsi="Times New Roman" w:cs="Times New Roman" w:eastAsiaTheme="minorEastAsia"/>
          <w:kern w:val="0"/>
          <w:szCs w:val="24"/>
          <w:highlight w:val="none"/>
        </w:rPr>
        <w:fldChar w:fldCharType="separate"/>
      </w:r>
      <w:r>
        <w:rPr>
          <w:rFonts w:hint="default" w:ascii="Times New Roman" w:hAnsi="Times New Roman" w:cs="Times New Roman" w:eastAsiaTheme="minorEastAsia"/>
          <w:szCs w:val="30"/>
          <w:highlight w:val="none"/>
          <w:lang w:val="en-US" w:eastAsia="zh-CN"/>
        </w:rPr>
        <w:t>二、可供开采矿产资源的范围</w:t>
      </w:r>
      <w:r>
        <w:tab/>
      </w:r>
      <w:r>
        <w:fldChar w:fldCharType="begin"/>
      </w:r>
      <w:r>
        <w:instrText xml:space="preserve"> PAGEREF _Toc27553 \h </w:instrText>
      </w:r>
      <w:r>
        <w:fldChar w:fldCharType="separate"/>
      </w:r>
      <w:r>
        <w:t>15</w:t>
      </w:r>
      <w:r>
        <w:fldChar w:fldCharType="end"/>
      </w:r>
      <w:r>
        <w:rPr>
          <w:rFonts w:hint="default" w:ascii="Times New Roman" w:hAnsi="Times New Roman" w:cs="Times New Roman" w:eastAsiaTheme="minorEastAsia"/>
          <w:color w:val="auto"/>
          <w:kern w:val="0"/>
          <w:szCs w:val="24"/>
          <w:highlight w:val="none"/>
        </w:rPr>
        <w:fldChar w:fldCharType="end"/>
      </w:r>
    </w:p>
    <w:p w14:paraId="373E7095">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_Toc17587 </w:instrText>
      </w:r>
      <w:r>
        <w:rPr>
          <w:rFonts w:hint="default" w:ascii="Times New Roman" w:hAnsi="Times New Roman" w:cs="Times New Roman" w:eastAsiaTheme="minorEastAsia"/>
          <w:kern w:val="0"/>
          <w:szCs w:val="24"/>
          <w:highlight w:val="none"/>
        </w:rPr>
        <w:fldChar w:fldCharType="separate"/>
      </w:r>
      <w:r>
        <w:rPr>
          <w:rFonts w:hint="default" w:ascii="Times New Roman" w:hAnsi="Times New Roman" w:cs="Times New Roman" w:eastAsiaTheme="minorEastAsia"/>
          <w:szCs w:val="30"/>
          <w:highlight w:val="none"/>
          <w:lang w:val="en-US" w:eastAsia="zh-CN"/>
        </w:rPr>
        <w:t>三、采矿用地情况</w:t>
      </w:r>
      <w:r>
        <w:tab/>
      </w:r>
      <w:r>
        <w:fldChar w:fldCharType="begin"/>
      </w:r>
      <w:r>
        <w:instrText xml:space="preserve"> PAGEREF _Toc17587 \h </w:instrText>
      </w:r>
      <w:r>
        <w:fldChar w:fldCharType="separate"/>
      </w:r>
      <w:r>
        <w:t>16</w:t>
      </w:r>
      <w:r>
        <w:fldChar w:fldCharType="end"/>
      </w:r>
      <w:r>
        <w:rPr>
          <w:rFonts w:hint="default" w:ascii="Times New Roman" w:hAnsi="Times New Roman" w:cs="Times New Roman" w:eastAsiaTheme="minorEastAsia"/>
          <w:color w:val="auto"/>
          <w:kern w:val="0"/>
          <w:szCs w:val="24"/>
          <w:highlight w:val="none"/>
        </w:rPr>
        <w:fldChar w:fldCharType="end"/>
      </w:r>
    </w:p>
    <w:p w14:paraId="779E9783">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_Toc4542 </w:instrText>
      </w:r>
      <w:r>
        <w:rPr>
          <w:rFonts w:hint="default" w:ascii="Times New Roman" w:hAnsi="Times New Roman" w:cs="Times New Roman" w:eastAsiaTheme="minorEastAsia"/>
          <w:kern w:val="0"/>
          <w:szCs w:val="24"/>
          <w:highlight w:val="none"/>
        </w:rPr>
        <w:fldChar w:fldCharType="separate"/>
      </w:r>
      <w:r>
        <w:rPr>
          <w:rFonts w:hint="default" w:ascii="Times New Roman" w:hAnsi="Times New Roman" w:cs="Times New Roman" w:eastAsiaTheme="minorEastAsia"/>
          <w:szCs w:val="30"/>
          <w:highlight w:val="none"/>
          <w:lang w:val="en-US" w:eastAsia="zh-CN"/>
        </w:rPr>
        <w:t>四、井巷工程设施分布范围或者露天剥离范围</w:t>
      </w:r>
      <w:r>
        <w:tab/>
      </w:r>
      <w:r>
        <w:fldChar w:fldCharType="begin"/>
      </w:r>
      <w:r>
        <w:instrText xml:space="preserve"> PAGEREF _Toc4542 \h </w:instrText>
      </w:r>
      <w:r>
        <w:fldChar w:fldCharType="separate"/>
      </w:r>
      <w:r>
        <w:t>17</w:t>
      </w:r>
      <w:r>
        <w:fldChar w:fldCharType="end"/>
      </w:r>
      <w:r>
        <w:rPr>
          <w:rFonts w:hint="default" w:ascii="Times New Roman" w:hAnsi="Times New Roman" w:cs="Times New Roman" w:eastAsiaTheme="minorEastAsia"/>
          <w:color w:val="auto"/>
          <w:kern w:val="0"/>
          <w:szCs w:val="24"/>
          <w:highlight w:val="none"/>
        </w:rPr>
        <w:fldChar w:fldCharType="end"/>
      </w:r>
    </w:p>
    <w:p w14:paraId="009A959B">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_Toc28102 </w:instrText>
      </w:r>
      <w:r>
        <w:rPr>
          <w:rFonts w:hint="default" w:ascii="Times New Roman" w:hAnsi="Times New Roman" w:cs="Times New Roman" w:eastAsiaTheme="minorEastAsia"/>
          <w:kern w:val="0"/>
          <w:szCs w:val="24"/>
          <w:highlight w:val="none"/>
        </w:rPr>
        <w:fldChar w:fldCharType="separate"/>
      </w:r>
      <w:r>
        <w:rPr>
          <w:rFonts w:hint="default" w:ascii="Times New Roman" w:hAnsi="Times New Roman" w:cs="Times New Roman" w:eastAsiaTheme="minorEastAsia"/>
          <w:szCs w:val="30"/>
          <w:highlight w:val="none"/>
          <w:lang w:val="en-US" w:eastAsia="zh-CN"/>
        </w:rPr>
        <w:t>五、与相关禁限区的重叠情况</w:t>
      </w:r>
      <w:r>
        <w:tab/>
      </w:r>
      <w:r>
        <w:fldChar w:fldCharType="begin"/>
      </w:r>
      <w:r>
        <w:instrText xml:space="preserve"> PAGEREF _Toc28102 \h </w:instrText>
      </w:r>
      <w:r>
        <w:fldChar w:fldCharType="separate"/>
      </w:r>
      <w:r>
        <w:t>18</w:t>
      </w:r>
      <w:r>
        <w:fldChar w:fldCharType="end"/>
      </w:r>
      <w:r>
        <w:rPr>
          <w:rFonts w:hint="default" w:ascii="Times New Roman" w:hAnsi="Times New Roman" w:cs="Times New Roman" w:eastAsiaTheme="minorEastAsia"/>
          <w:color w:val="auto"/>
          <w:kern w:val="0"/>
          <w:szCs w:val="24"/>
          <w:highlight w:val="none"/>
        </w:rPr>
        <w:fldChar w:fldCharType="end"/>
      </w:r>
    </w:p>
    <w:p w14:paraId="5FB1A06B">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_Toc27747 </w:instrText>
      </w:r>
      <w:r>
        <w:rPr>
          <w:rFonts w:hint="default" w:ascii="Times New Roman" w:hAnsi="Times New Roman" w:cs="Times New Roman" w:eastAsiaTheme="minorEastAsia"/>
          <w:kern w:val="0"/>
          <w:szCs w:val="24"/>
          <w:highlight w:val="none"/>
        </w:rPr>
        <w:fldChar w:fldCharType="separate"/>
      </w:r>
      <w:r>
        <w:rPr>
          <w:rFonts w:hint="eastAsia" w:ascii="Times New Roman" w:hAnsi="Times New Roman" w:cs="Times New Roman" w:eastAsiaTheme="minorEastAsia"/>
          <w:szCs w:val="30"/>
          <w:highlight w:val="none"/>
          <w:lang w:val="en-US" w:eastAsia="zh-CN"/>
        </w:rPr>
        <w:t>六、</w:t>
      </w:r>
      <w:r>
        <w:rPr>
          <w:rFonts w:hint="default" w:ascii="Times New Roman" w:hAnsi="Times New Roman" w:cs="Times New Roman" w:eastAsiaTheme="minorEastAsia"/>
          <w:szCs w:val="30"/>
          <w:highlight w:val="none"/>
          <w:lang w:val="en-US" w:eastAsia="zh-CN"/>
        </w:rPr>
        <w:t>申请开采区域</w:t>
      </w:r>
      <w:r>
        <w:tab/>
      </w:r>
      <w:r>
        <w:fldChar w:fldCharType="begin"/>
      </w:r>
      <w:r>
        <w:instrText xml:space="preserve"> PAGEREF _Toc27747 \h </w:instrText>
      </w:r>
      <w:r>
        <w:fldChar w:fldCharType="separate"/>
      </w:r>
      <w:r>
        <w:t>19</w:t>
      </w:r>
      <w:r>
        <w:fldChar w:fldCharType="end"/>
      </w:r>
      <w:r>
        <w:rPr>
          <w:rFonts w:hint="default" w:ascii="Times New Roman" w:hAnsi="Times New Roman" w:cs="Times New Roman" w:eastAsiaTheme="minorEastAsia"/>
          <w:color w:val="auto"/>
          <w:kern w:val="0"/>
          <w:szCs w:val="24"/>
          <w:highlight w:val="none"/>
        </w:rPr>
        <w:fldChar w:fldCharType="end"/>
      </w:r>
    </w:p>
    <w:p w14:paraId="5C998F7E">
      <w:pPr>
        <w:pStyle w:val="15"/>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_Toc25566 </w:instrText>
      </w:r>
      <w:r>
        <w:rPr>
          <w:rFonts w:hint="default" w:ascii="Times New Roman" w:hAnsi="Times New Roman" w:cs="Times New Roman" w:eastAsiaTheme="minorEastAsia"/>
          <w:kern w:val="0"/>
          <w:szCs w:val="24"/>
          <w:highlight w:val="none"/>
        </w:rPr>
        <w:fldChar w:fldCharType="separate"/>
      </w:r>
      <w:r>
        <w:rPr>
          <w:rFonts w:hint="eastAsia" w:ascii="黑体" w:hAnsi="黑体" w:eastAsia="黑体" w:cs="黑体"/>
          <w:szCs w:val="32"/>
          <w:highlight w:val="none"/>
          <w:lang w:val="en-US" w:eastAsia="zh-CN"/>
        </w:rPr>
        <w:t xml:space="preserve">第四章 </w:t>
      </w:r>
      <w:r>
        <w:rPr>
          <w:rFonts w:hint="default" w:ascii="黑体" w:hAnsi="黑体" w:eastAsia="黑体" w:cs="黑体"/>
          <w:szCs w:val="32"/>
          <w:highlight w:val="none"/>
          <w:lang w:val="en-US" w:eastAsia="zh-CN"/>
        </w:rPr>
        <w:t>矿产资源开采与综合利用</w:t>
      </w:r>
      <w:r>
        <w:tab/>
      </w:r>
      <w:r>
        <w:fldChar w:fldCharType="begin"/>
      </w:r>
      <w:r>
        <w:instrText xml:space="preserve"> PAGEREF _Toc25566 \h </w:instrText>
      </w:r>
      <w:r>
        <w:fldChar w:fldCharType="separate"/>
      </w:r>
      <w:r>
        <w:t>19</w:t>
      </w:r>
      <w:r>
        <w:fldChar w:fldCharType="end"/>
      </w:r>
      <w:r>
        <w:rPr>
          <w:rFonts w:hint="default" w:ascii="Times New Roman" w:hAnsi="Times New Roman" w:cs="Times New Roman" w:eastAsiaTheme="minorEastAsia"/>
          <w:color w:val="auto"/>
          <w:kern w:val="0"/>
          <w:szCs w:val="24"/>
          <w:highlight w:val="none"/>
        </w:rPr>
        <w:fldChar w:fldCharType="end"/>
      </w:r>
    </w:p>
    <w:p w14:paraId="0AFF1137">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_Toc24866 </w:instrText>
      </w:r>
      <w:r>
        <w:rPr>
          <w:rFonts w:hint="default" w:ascii="Times New Roman" w:hAnsi="Times New Roman" w:cs="Times New Roman" w:eastAsiaTheme="minorEastAsia"/>
          <w:kern w:val="0"/>
          <w:szCs w:val="24"/>
          <w:highlight w:val="none"/>
        </w:rPr>
        <w:fldChar w:fldCharType="separate"/>
      </w:r>
      <w:r>
        <w:rPr>
          <w:rFonts w:hint="default" w:ascii="Times New Roman" w:hAnsi="Times New Roman" w:cs="Times New Roman" w:eastAsiaTheme="minorEastAsia"/>
          <w:szCs w:val="30"/>
          <w:highlight w:val="none"/>
          <w:lang w:val="en-US" w:eastAsia="zh-CN"/>
        </w:rPr>
        <w:t>一、开采矿种</w:t>
      </w:r>
      <w:r>
        <w:tab/>
      </w:r>
      <w:r>
        <w:fldChar w:fldCharType="begin"/>
      </w:r>
      <w:r>
        <w:instrText xml:space="preserve"> PAGEREF _Toc24866 \h </w:instrText>
      </w:r>
      <w:r>
        <w:fldChar w:fldCharType="separate"/>
      </w:r>
      <w:r>
        <w:t>19</w:t>
      </w:r>
      <w:r>
        <w:fldChar w:fldCharType="end"/>
      </w:r>
      <w:r>
        <w:rPr>
          <w:rFonts w:hint="default" w:ascii="Times New Roman" w:hAnsi="Times New Roman" w:cs="Times New Roman" w:eastAsiaTheme="minorEastAsia"/>
          <w:color w:val="auto"/>
          <w:kern w:val="0"/>
          <w:szCs w:val="24"/>
          <w:highlight w:val="none"/>
        </w:rPr>
        <w:fldChar w:fldCharType="end"/>
      </w:r>
    </w:p>
    <w:p w14:paraId="30F717DC">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_Toc17704 </w:instrText>
      </w:r>
      <w:r>
        <w:rPr>
          <w:rFonts w:hint="default" w:ascii="Times New Roman" w:hAnsi="Times New Roman" w:cs="Times New Roman" w:eastAsiaTheme="minorEastAsia"/>
          <w:kern w:val="0"/>
          <w:szCs w:val="24"/>
          <w:highlight w:val="none"/>
        </w:rPr>
        <w:fldChar w:fldCharType="separate"/>
      </w:r>
      <w:r>
        <w:rPr>
          <w:rFonts w:hint="default" w:ascii="Times New Roman" w:hAnsi="Times New Roman" w:cs="Times New Roman" w:eastAsiaTheme="minorEastAsia"/>
          <w:szCs w:val="30"/>
          <w:highlight w:val="none"/>
          <w:lang w:val="en-US" w:eastAsia="zh-CN"/>
        </w:rPr>
        <w:t>二、开采方式</w:t>
      </w:r>
      <w:r>
        <w:tab/>
      </w:r>
      <w:r>
        <w:fldChar w:fldCharType="begin"/>
      </w:r>
      <w:r>
        <w:instrText xml:space="preserve"> PAGEREF _Toc17704 \h </w:instrText>
      </w:r>
      <w:r>
        <w:fldChar w:fldCharType="separate"/>
      </w:r>
      <w:r>
        <w:t>20</w:t>
      </w:r>
      <w:r>
        <w:fldChar w:fldCharType="end"/>
      </w:r>
      <w:r>
        <w:rPr>
          <w:rFonts w:hint="default" w:ascii="Times New Roman" w:hAnsi="Times New Roman" w:cs="Times New Roman" w:eastAsiaTheme="minorEastAsia"/>
          <w:color w:val="auto"/>
          <w:kern w:val="0"/>
          <w:szCs w:val="24"/>
          <w:highlight w:val="none"/>
        </w:rPr>
        <w:fldChar w:fldCharType="end"/>
      </w:r>
    </w:p>
    <w:p w14:paraId="37060764">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_Toc12500 </w:instrText>
      </w:r>
      <w:r>
        <w:rPr>
          <w:rFonts w:hint="default" w:ascii="Times New Roman" w:hAnsi="Times New Roman" w:cs="Times New Roman" w:eastAsiaTheme="minorEastAsia"/>
          <w:kern w:val="0"/>
          <w:szCs w:val="24"/>
          <w:highlight w:val="none"/>
        </w:rPr>
        <w:fldChar w:fldCharType="separate"/>
      </w:r>
      <w:r>
        <w:rPr>
          <w:rFonts w:hint="default" w:ascii="Times New Roman" w:hAnsi="Times New Roman" w:cs="Times New Roman" w:eastAsiaTheme="minorEastAsia"/>
          <w:szCs w:val="30"/>
          <w:highlight w:val="none"/>
          <w:lang w:val="en-US" w:eastAsia="zh-CN"/>
        </w:rPr>
        <w:t>三、机械设备选型</w:t>
      </w:r>
      <w:r>
        <w:tab/>
      </w:r>
      <w:r>
        <w:fldChar w:fldCharType="begin"/>
      </w:r>
      <w:r>
        <w:instrText xml:space="preserve"> PAGEREF _Toc12500 \h </w:instrText>
      </w:r>
      <w:r>
        <w:fldChar w:fldCharType="separate"/>
      </w:r>
      <w:r>
        <w:t>23</w:t>
      </w:r>
      <w:r>
        <w:fldChar w:fldCharType="end"/>
      </w:r>
      <w:r>
        <w:rPr>
          <w:rFonts w:hint="default" w:ascii="Times New Roman" w:hAnsi="Times New Roman" w:cs="Times New Roman" w:eastAsiaTheme="minorEastAsia"/>
          <w:color w:val="auto"/>
          <w:kern w:val="0"/>
          <w:szCs w:val="24"/>
          <w:highlight w:val="none"/>
        </w:rPr>
        <w:fldChar w:fldCharType="end"/>
      </w:r>
    </w:p>
    <w:p w14:paraId="07E8EF67">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_Toc25866 </w:instrText>
      </w:r>
      <w:r>
        <w:rPr>
          <w:rFonts w:hint="default" w:ascii="Times New Roman" w:hAnsi="Times New Roman" w:cs="Times New Roman" w:eastAsiaTheme="minorEastAsia"/>
          <w:kern w:val="0"/>
          <w:szCs w:val="24"/>
          <w:highlight w:val="none"/>
        </w:rPr>
        <w:fldChar w:fldCharType="separate"/>
      </w:r>
      <w:r>
        <w:rPr>
          <w:rFonts w:hint="eastAsia" w:ascii="Times New Roman" w:hAnsi="Times New Roman" w:cs="Times New Roman" w:eastAsiaTheme="minorEastAsia"/>
          <w:szCs w:val="30"/>
          <w:highlight w:val="none"/>
          <w:lang w:val="en-US" w:eastAsia="zh-CN"/>
        </w:rPr>
        <w:t>四</w:t>
      </w:r>
      <w:r>
        <w:rPr>
          <w:rFonts w:hint="default" w:ascii="Times New Roman" w:hAnsi="Times New Roman" w:cs="Times New Roman" w:eastAsiaTheme="minorEastAsia"/>
          <w:szCs w:val="30"/>
          <w:highlight w:val="none"/>
          <w:lang w:val="en-US" w:eastAsia="zh-CN"/>
        </w:rPr>
        <w:t>、拟建生产规模与产品市场分析</w:t>
      </w:r>
      <w:r>
        <w:tab/>
      </w:r>
      <w:r>
        <w:fldChar w:fldCharType="begin"/>
      </w:r>
      <w:r>
        <w:instrText xml:space="preserve"> PAGEREF _Toc25866 \h </w:instrText>
      </w:r>
      <w:r>
        <w:fldChar w:fldCharType="separate"/>
      </w:r>
      <w:r>
        <w:t>24</w:t>
      </w:r>
      <w:r>
        <w:fldChar w:fldCharType="end"/>
      </w:r>
      <w:r>
        <w:rPr>
          <w:rFonts w:hint="default" w:ascii="Times New Roman" w:hAnsi="Times New Roman" w:cs="Times New Roman" w:eastAsiaTheme="minorEastAsia"/>
          <w:color w:val="auto"/>
          <w:kern w:val="0"/>
          <w:szCs w:val="24"/>
          <w:highlight w:val="none"/>
        </w:rPr>
        <w:fldChar w:fldCharType="end"/>
      </w:r>
    </w:p>
    <w:p w14:paraId="281EBCF9">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_Toc26475 </w:instrText>
      </w:r>
      <w:r>
        <w:rPr>
          <w:rFonts w:hint="default" w:ascii="Times New Roman" w:hAnsi="Times New Roman" w:cs="Times New Roman" w:eastAsiaTheme="minorEastAsia"/>
          <w:kern w:val="0"/>
          <w:szCs w:val="24"/>
          <w:highlight w:val="none"/>
        </w:rPr>
        <w:fldChar w:fldCharType="separate"/>
      </w:r>
      <w:r>
        <w:rPr>
          <w:rFonts w:hint="eastAsia" w:ascii="Times New Roman" w:hAnsi="Times New Roman" w:cs="Times New Roman" w:eastAsiaTheme="minorEastAsia"/>
          <w:szCs w:val="30"/>
          <w:highlight w:val="none"/>
          <w:lang w:val="en-US" w:eastAsia="zh-CN"/>
        </w:rPr>
        <w:t>五、总图布置与运输方案</w:t>
      </w:r>
      <w:r>
        <w:tab/>
      </w:r>
      <w:r>
        <w:fldChar w:fldCharType="begin"/>
      </w:r>
      <w:r>
        <w:instrText xml:space="preserve"> PAGEREF _Toc26475 \h </w:instrText>
      </w:r>
      <w:r>
        <w:fldChar w:fldCharType="separate"/>
      </w:r>
      <w:r>
        <w:t>27</w:t>
      </w:r>
      <w:r>
        <w:fldChar w:fldCharType="end"/>
      </w:r>
      <w:r>
        <w:rPr>
          <w:rFonts w:hint="default" w:ascii="Times New Roman" w:hAnsi="Times New Roman" w:cs="Times New Roman" w:eastAsiaTheme="minorEastAsia"/>
          <w:color w:val="auto"/>
          <w:kern w:val="0"/>
          <w:szCs w:val="24"/>
          <w:highlight w:val="none"/>
        </w:rPr>
        <w:fldChar w:fldCharType="end"/>
      </w:r>
    </w:p>
    <w:p w14:paraId="1049E358">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_Toc13612 </w:instrText>
      </w:r>
      <w:r>
        <w:rPr>
          <w:rFonts w:hint="default" w:ascii="Times New Roman" w:hAnsi="Times New Roman" w:cs="Times New Roman" w:eastAsiaTheme="minorEastAsia"/>
          <w:kern w:val="0"/>
          <w:szCs w:val="24"/>
          <w:highlight w:val="none"/>
        </w:rPr>
        <w:fldChar w:fldCharType="separate"/>
      </w:r>
      <w:r>
        <w:rPr>
          <w:rFonts w:hint="eastAsia" w:ascii="Times New Roman" w:hAnsi="Times New Roman" w:cs="Times New Roman" w:eastAsiaTheme="minorEastAsia"/>
          <w:szCs w:val="30"/>
          <w:highlight w:val="none"/>
          <w:lang w:val="en-US" w:eastAsia="zh-CN"/>
        </w:rPr>
        <w:t>六、供电系统方案</w:t>
      </w:r>
      <w:r>
        <w:tab/>
      </w:r>
      <w:r>
        <w:fldChar w:fldCharType="begin"/>
      </w:r>
      <w:r>
        <w:instrText xml:space="preserve"> PAGEREF _Toc13612 \h </w:instrText>
      </w:r>
      <w:r>
        <w:fldChar w:fldCharType="separate"/>
      </w:r>
      <w:r>
        <w:t>28</w:t>
      </w:r>
      <w:r>
        <w:fldChar w:fldCharType="end"/>
      </w:r>
      <w:r>
        <w:rPr>
          <w:rFonts w:hint="default" w:ascii="Times New Roman" w:hAnsi="Times New Roman" w:cs="Times New Roman" w:eastAsiaTheme="minorEastAsia"/>
          <w:color w:val="auto"/>
          <w:kern w:val="0"/>
          <w:szCs w:val="24"/>
          <w:highlight w:val="none"/>
        </w:rPr>
        <w:fldChar w:fldCharType="end"/>
      </w:r>
    </w:p>
    <w:p w14:paraId="0C6873CC">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_Toc30572 </w:instrText>
      </w:r>
      <w:r>
        <w:rPr>
          <w:rFonts w:hint="default" w:ascii="Times New Roman" w:hAnsi="Times New Roman" w:cs="Times New Roman" w:eastAsiaTheme="minorEastAsia"/>
          <w:kern w:val="0"/>
          <w:szCs w:val="24"/>
          <w:highlight w:val="none"/>
        </w:rPr>
        <w:fldChar w:fldCharType="separate"/>
      </w:r>
      <w:r>
        <w:rPr>
          <w:rFonts w:hint="eastAsia" w:ascii="Times New Roman" w:hAnsi="Times New Roman" w:cs="Times New Roman" w:eastAsiaTheme="minorEastAsia"/>
          <w:szCs w:val="30"/>
          <w:highlight w:val="none"/>
          <w:lang w:val="en-US" w:eastAsia="zh-CN"/>
        </w:rPr>
        <w:t>七、矿坑排水与水处理方案</w:t>
      </w:r>
      <w:r>
        <w:tab/>
      </w:r>
      <w:r>
        <w:fldChar w:fldCharType="begin"/>
      </w:r>
      <w:r>
        <w:instrText xml:space="preserve"> PAGEREF _Toc30572 \h </w:instrText>
      </w:r>
      <w:r>
        <w:fldChar w:fldCharType="separate"/>
      </w:r>
      <w:r>
        <w:t>29</w:t>
      </w:r>
      <w:r>
        <w:fldChar w:fldCharType="end"/>
      </w:r>
      <w:r>
        <w:rPr>
          <w:rFonts w:hint="default" w:ascii="Times New Roman" w:hAnsi="Times New Roman" w:cs="Times New Roman" w:eastAsiaTheme="minorEastAsia"/>
          <w:color w:val="auto"/>
          <w:kern w:val="0"/>
          <w:szCs w:val="24"/>
          <w:highlight w:val="none"/>
        </w:rPr>
        <w:fldChar w:fldCharType="end"/>
      </w:r>
    </w:p>
    <w:p w14:paraId="26B6A816">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_Toc28566 </w:instrText>
      </w:r>
      <w:r>
        <w:rPr>
          <w:rFonts w:hint="default" w:ascii="Times New Roman" w:hAnsi="Times New Roman" w:cs="Times New Roman" w:eastAsiaTheme="minorEastAsia"/>
          <w:kern w:val="0"/>
          <w:szCs w:val="24"/>
          <w:highlight w:val="none"/>
        </w:rPr>
        <w:fldChar w:fldCharType="separate"/>
      </w:r>
      <w:r>
        <w:rPr>
          <w:rFonts w:hint="eastAsia" w:ascii="Times New Roman" w:hAnsi="Times New Roman" w:cs="Times New Roman" w:eastAsiaTheme="minorEastAsia"/>
          <w:szCs w:val="30"/>
          <w:highlight w:val="none"/>
          <w:lang w:val="en-US" w:eastAsia="zh-CN"/>
        </w:rPr>
        <w:t>八、排土场设置与处置方案</w:t>
      </w:r>
      <w:r>
        <w:tab/>
      </w:r>
      <w:r>
        <w:fldChar w:fldCharType="begin"/>
      </w:r>
      <w:r>
        <w:instrText xml:space="preserve"> PAGEREF _Toc28566 \h </w:instrText>
      </w:r>
      <w:r>
        <w:fldChar w:fldCharType="separate"/>
      </w:r>
      <w:r>
        <w:t>32</w:t>
      </w:r>
      <w:r>
        <w:fldChar w:fldCharType="end"/>
      </w:r>
      <w:r>
        <w:rPr>
          <w:rFonts w:hint="default" w:ascii="Times New Roman" w:hAnsi="Times New Roman" w:cs="Times New Roman" w:eastAsiaTheme="minorEastAsia"/>
          <w:color w:val="auto"/>
          <w:kern w:val="0"/>
          <w:szCs w:val="24"/>
          <w:highlight w:val="none"/>
        </w:rPr>
        <w:fldChar w:fldCharType="end"/>
      </w:r>
    </w:p>
    <w:p w14:paraId="31832B44">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_Toc17928 </w:instrText>
      </w:r>
      <w:r>
        <w:rPr>
          <w:rFonts w:hint="default" w:ascii="Times New Roman" w:hAnsi="Times New Roman" w:cs="Times New Roman" w:eastAsiaTheme="minorEastAsia"/>
          <w:kern w:val="0"/>
          <w:szCs w:val="24"/>
          <w:highlight w:val="none"/>
        </w:rPr>
        <w:fldChar w:fldCharType="separate"/>
      </w:r>
      <w:r>
        <w:rPr>
          <w:rFonts w:hint="eastAsia" w:ascii="Times New Roman" w:hAnsi="Times New Roman" w:cs="Times New Roman" w:eastAsiaTheme="minorEastAsia"/>
          <w:szCs w:val="30"/>
          <w:highlight w:val="none"/>
          <w:lang w:val="en-US" w:eastAsia="zh-CN"/>
        </w:rPr>
        <w:t>九、安全生产保障措施</w:t>
      </w:r>
      <w:r>
        <w:tab/>
      </w:r>
      <w:r>
        <w:fldChar w:fldCharType="begin"/>
      </w:r>
      <w:r>
        <w:instrText xml:space="preserve"> PAGEREF _Toc17928 \h </w:instrText>
      </w:r>
      <w:r>
        <w:fldChar w:fldCharType="separate"/>
      </w:r>
      <w:r>
        <w:t>32</w:t>
      </w:r>
      <w:r>
        <w:fldChar w:fldCharType="end"/>
      </w:r>
      <w:r>
        <w:rPr>
          <w:rFonts w:hint="default" w:ascii="Times New Roman" w:hAnsi="Times New Roman" w:cs="Times New Roman" w:eastAsiaTheme="minorEastAsia"/>
          <w:color w:val="auto"/>
          <w:kern w:val="0"/>
          <w:szCs w:val="24"/>
          <w:highlight w:val="none"/>
        </w:rPr>
        <w:fldChar w:fldCharType="end"/>
      </w:r>
    </w:p>
    <w:p w14:paraId="420C3045">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_Toc21207 </w:instrText>
      </w:r>
      <w:r>
        <w:rPr>
          <w:rFonts w:hint="default" w:ascii="Times New Roman" w:hAnsi="Times New Roman" w:cs="Times New Roman" w:eastAsiaTheme="minorEastAsia"/>
          <w:kern w:val="0"/>
          <w:szCs w:val="24"/>
          <w:highlight w:val="none"/>
        </w:rPr>
        <w:fldChar w:fldCharType="separate"/>
      </w:r>
      <w:r>
        <w:rPr>
          <w:rFonts w:hint="eastAsia" w:ascii="Times New Roman" w:hAnsi="Times New Roman" w:cs="Times New Roman" w:eastAsiaTheme="minorEastAsia"/>
          <w:szCs w:val="30"/>
          <w:highlight w:val="none"/>
          <w:lang w:val="en-US" w:eastAsia="zh-CN"/>
        </w:rPr>
        <w:t>十、生态环境保护治理措施</w:t>
      </w:r>
      <w:r>
        <w:tab/>
      </w:r>
      <w:r>
        <w:fldChar w:fldCharType="begin"/>
      </w:r>
      <w:r>
        <w:instrText xml:space="preserve"> PAGEREF _Toc21207 \h </w:instrText>
      </w:r>
      <w:r>
        <w:fldChar w:fldCharType="separate"/>
      </w:r>
      <w:r>
        <w:t>36</w:t>
      </w:r>
      <w:r>
        <w:fldChar w:fldCharType="end"/>
      </w:r>
      <w:r>
        <w:rPr>
          <w:rFonts w:hint="default" w:ascii="Times New Roman" w:hAnsi="Times New Roman" w:cs="Times New Roman" w:eastAsiaTheme="minorEastAsia"/>
          <w:color w:val="auto"/>
          <w:kern w:val="0"/>
          <w:szCs w:val="24"/>
          <w:highlight w:val="none"/>
        </w:rPr>
        <w:fldChar w:fldCharType="end"/>
      </w:r>
    </w:p>
    <w:p w14:paraId="1FACC609">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_Toc21803 </w:instrText>
      </w:r>
      <w:r>
        <w:rPr>
          <w:rFonts w:hint="default" w:ascii="Times New Roman" w:hAnsi="Times New Roman" w:cs="Times New Roman" w:eastAsiaTheme="minorEastAsia"/>
          <w:kern w:val="0"/>
          <w:szCs w:val="24"/>
          <w:highlight w:val="none"/>
        </w:rPr>
        <w:fldChar w:fldCharType="separate"/>
      </w:r>
      <w:r>
        <w:rPr>
          <w:rFonts w:hint="eastAsia" w:ascii="Times New Roman" w:hAnsi="Times New Roman" w:cs="Times New Roman" w:eastAsiaTheme="minorEastAsia"/>
          <w:szCs w:val="30"/>
          <w:highlight w:val="none"/>
          <w:lang w:val="en-US" w:eastAsia="zh-CN"/>
        </w:rPr>
        <w:t>十一</w:t>
      </w:r>
      <w:r>
        <w:rPr>
          <w:rFonts w:hint="default" w:ascii="Times New Roman" w:hAnsi="Times New Roman" w:cs="Times New Roman" w:eastAsiaTheme="minorEastAsia"/>
          <w:szCs w:val="30"/>
          <w:highlight w:val="none"/>
          <w:lang w:val="en-US" w:eastAsia="zh-CN"/>
        </w:rPr>
        <w:t>、资源综合利用</w:t>
      </w:r>
      <w:r>
        <w:tab/>
      </w:r>
      <w:r>
        <w:fldChar w:fldCharType="begin"/>
      </w:r>
      <w:r>
        <w:instrText xml:space="preserve"> PAGEREF _Toc21803 \h </w:instrText>
      </w:r>
      <w:r>
        <w:fldChar w:fldCharType="separate"/>
      </w:r>
      <w:r>
        <w:t>41</w:t>
      </w:r>
      <w:r>
        <w:fldChar w:fldCharType="end"/>
      </w:r>
      <w:r>
        <w:rPr>
          <w:rFonts w:hint="default" w:ascii="Times New Roman" w:hAnsi="Times New Roman" w:cs="Times New Roman" w:eastAsiaTheme="minorEastAsia"/>
          <w:color w:val="auto"/>
          <w:kern w:val="0"/>
          <w:szCs w:val="24"/>
          <w:highlight w:val="none"/>
        </w:rPr>
        <w:fldChar w:fldCharType="end"/>
      </w:r>
    </w:p>
    <w:p w14:paraId="260D599B">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_Toc2134 </w:instrText>
      </w:r>
      <w:r>
        <w:rPr>
          <w:rFonts w:hint="default" w:ascii="Times New Roman" w:hAnsi="Times New Roman" w:cs="Times New Roman" w:eastAsiaTheme="minorEastAsia"/>
          <w:kern w:val="0"/>
          <w:szCs w:val="24"/>
          <w:highlight w:val="none"/>
        </w:rPr>
        <w:fldChar w:fldCharType="separate"/>
      </w:r>
      <w:r>
        <w:rPr>
          <w:rFonts w:hint="eastAsia" w:ascii="Times New Roman" w:hAnsi="Times New Roman" w:cs="Times New Roman" w:eastAsiaTheme="minorEastAsia"/>
          <w:szCs w:val="30"/>
          <w:highlight w:val="none"/>
          <w:lang w:val="en-US" w:eastAsia="zh-CN"/>
        </w:rPr>
        <w:t>十二、项目用地专项设计</w:t>
      </w:r>
      <w:r>
        <w:tab/>
      </w:r>
      <w:r>
        <w:fldChar w:fldCharType="begin"/>
      </w:r>
      <w:r>
        <w:instrText xml:space="preserve"> PAGEREF _Toc2134 \h </w:instrText>
      </w:r>
      <w:r>
        <w:fldChar w:fldCharType="separate"/>
      </w:r>
      <w:r>
        <w:t>43</w:t>
      </w:r>
      <w:r>
        <w:fldChar w:fldCharType="end"/>
      </w:r>
      <w:r>
        <w:rPr>
          <w:rFonts w:hint="default" w:ascii="Times New Roman" w:hAnsi="Times New Roman" w:cs="Times New Roman" w:eastAsiaTheme="minorEastAsia"/>
          <w:color w:val="auto"/>
          <w:kern w:val="0"/>
          <w:szCs w:val="24"/>
          <w:highlight w:val="none"/>
        </w:rPr>
        <w:fldChar w:fldCharType="end"/>
      </w:r>
    </w:p>
    <w:p w14:paraId="292C4B0E">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_Toc25355 </w:instrText>
      </w:r>
      <w:r>
        <w:rPr>
          <w:rFonts w:hint="default" w:ascii="Times New Roman" w:hAnsi="Times New Roman" w:cs="Times New Roman" w:eastAsiaTheme="minorEastAsia"/>
          <w:kern w:val="0"/>
          <w:szCs w:val="24"/>
          <w:highlight w:val="none"/>
        </w:rPr>
        <w:fldChar w:fldCharType="separate"/>
      </w:r>
      <w:r>
        <w:rPr>
          <w:rFonts w:hint="eastAsia" w:ascii="Times New Roman" w:hAnsi="Times New Roman" w:cs="Times New Roman" w:eastAsiaTheme="minorEastAsia"/>
          <w:szCs w:val="30"/>
          <w:highlight w:val="none"/>
          <w:lang w:val="en-US" w:eastAsia="zh-CN"/>
        </w:rPr>
        <w:t>十三、绿色矿山专项设计</w:t>
      </w:r>
      <w:r>
        <w:tab/>
      </w:r>
      <w:r>
        <w:fldChar w:fldCharType="begin"/>
      </w:r>
      <w:r>
        <w:instrText xml:space="preserve"> PAGEREF _Toc25355 \h </w:instrText>
      </w:r>
      <w:r>
        <w:fldChar w:fldCharType="separate"/>
      </w:r>
      <w:r>
        <w:t>45</w:t>
      </w:r>
      <w:r>
        <w:fldChar w:fldCharType="end"/>
      </w:r>
      <w:r>
        <w:rPr>
          <w:rFonts w:hint="default" w:ascii="Times New Roman" w:hAnsi="Times New Roman" w:cs="Times New Roman" w:eastAsiaTheme="minorEastAsia"/>
          <w:color w:val="auto"/>
          <w:kern w:val="0"/>
          <w:szCs w:val="24"/>
          <w:highlight w:val="none"/>
        </w:rPr>
        <w:fldChar w:fldCharType="end"/>
      </w:r>
    </w:p>
    <w:p w14:paraId="6D95F0D0">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_Toc20028 </w:instrText>
      </w:r>
      <w:r>
        <w:rPr>
          <w:rFonts w:hint="default" w:ascii="Times New Roman" w:hAnsi="Times New Roman" w:cs="Times New Roman" w:eastAsiaTheme="minorEastAsia"/>
          <w:kern w:val="0"/>
          <w:szCs w:val="24"/>
          <w:highlight w:val="none"/>
        </w:rPr>
        <w:fldChar w:fldCharType="separate"/>
      </w:r>
      <w:r>
        <w:rPr>
          <w:rFonts w:hint="eastAsia" w:ascii="Times New Roman" w:hAnsi="Times New Roman" w:cs="Times New Roman" w:eastAsiaTheme="minorEastAsia"/>
          <w:szCs w:val="30"/>
          <w:highlight w:val="none"/>
          <w:lang w:val="en-US" w:eastAsia="zh-CN"/>
        </w:rPr>
        <w:t>十四、矿山智能化配套设计</w:t>
      </w:r>
      <w:r>
        <w:tab/>
      </w:r>
      <w:r>
        <w:fldChar w:fldCharType="begin"/>
      </w:r>
      <w:r>
        <w:instrText xml:space="preserve"> PAGEREF _Toc20028 \h </w:instrText>
      </w:r>
      <w:r>
        <w:fldChar w:fldCharType="separate"/>
      </w:r>
      <w:r>
        <w:t>46</w:t>
      </w:r>
      <w:r>
        <w:fldChar w:fldCharType="end"/>
      </w:r>
      <w:r>
        <w:rPr>
          <w:rFonts w:hint="default" w:ascii="Times New Roman" w:hAnsi="Times New Roman" w:cs="Times New Roman" w:eastAsiaTheme="minorEastAsia"/>
          <w:color w:val="auto"/>
          <w:kern w:val="0"/>
          <w:szCs w:val="24"/>
          <w:highlight w:val="none"/>
        </w:rPr>
        <w:fldChar w:fldCharType="end"/>
      </w:r>
    </w:p>
    <w:p w14:paraId="34E2C8AE">
      <w:pPr>
        <w:pStyle w:val="15"/>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_Toc21225 </w:instrText>
      </w:r>
      <w:r>
        <w:rPr>
          <w:rFonts w:hint="default" w:ascii="Times New Roman" w:hAnsi="Times New Roman" w:cs="Times New Roman" w:eastAsiaTheme="minorEastAsia"/>
          <w:kern w:val="0"/>
          <w:szCs w:val="24"/>
          <w:highlight w:val="none"/>
        </w:rPr>
        <w:fldChar w:fldCharType="separate"/>
      </w:r>
      <w:r>
        <w:rPr>
          <w:rFonts w:hint="default" w:ascii="黑体" w:hAnsi="黑体" w:eastAsia="黑体" w:cs="黑体"/>
          <w:szCs w:val="32"/>
          <w:highlight w:val="none"/>
          <w:lang w:val="en-US" w:eastAsia="zh-CN"/>
        </w:rPr>
        <w:t>第五章 结论</w:t>
      </w:r>
      <w:r>
        <w:tab/>
      </w:r>
      <w:r>
        <w:fldChar w:fldCharType="begin"/>
      </w:r>
      <w:r>
        <w:instrText xml:space="preserve"> PAGEREF _Toc21225 \h </w:instrText>
      </w:r>
      <w:r>
        <w:fldChar w:fldCharType="separate"/>
      </w:r>
      <w:r>
        <w:t>47</w:t>
      </w:r>
      <w:r>
        <w:fldChar w:fldCharType="end"/>
      </w:r>
      <w:r>
        <w:rPr>
          <w:rFonts w:hint="default" w:ascii="Times New Roman" w:hAnsi="Times New Roman" w:cs="Times New Roman" w:eastAsiaTheme="minorEastAsia"/>
          <w:color w:val="auto"/>
          <w:kern w:val="0"/>
          <w:szCs w:val="24"/>
          <w:highlight w:val="none"/>
        </w:rPr>
        <w:fldChar w:fldCharType="end"/>
      </w:r>
    </w:p>
    <w:p w14:paraId="31A13022">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_Toc2454 </w:instrText>
      </w:r>
      <w:r>
        <w:rPr>
          <w:rFonts w:hint="default" w:ascii="Times New Roman" w:hAnsi="Times New Roman" w:cs="Times New Roman" w:eastAsiaTheme="minorEastAsia"/>
          <w:kern w:val="0"/>
          <w:szCs w:val="24"/>
          <w:highlight w:val="none"/>
        </w:rPr>
        <w:fldChar w:fldCharType="separate"/>
      </w:r>
      <w:r>
        <w:rPr>
          <w:rFonts w:hint="eastAsia" w:ascii="Times New Roman" w:hAnsi="Times New Roman" w:cs="Times New Roman" w:eastAsiaTheme="minorEastAsia"/>
          <w:szCs w:val="30"/>
          <w:highlight w:val="none"/>
          <w:lang w:val="en-US" w:eastAsia="zh-CN"/>
        </w:rPr>
        <w:t>一</w:t>
      </w:r>
      <w:r>
        <w:rPr>
          <w:rFonts w:hint="default" w:ascii="Times New Roman" w:hAnsi="Times New Roman" w:cs="Times New Roman" w:eastAsiaTheme="minorEastAsia"/>
          <w:szCs w:val="30"/>
          <w:highlight w:val="none"/>
          <w:lang w:val="en-US" w:eastAsia="zh-CN"/>
        </w:rPr>
        <w:t>、估算设计利用资源量和设计可采储量</w:t>
      </w:r>
      <w:r>
        <w:tab/>
      </w:r>
      <w:r>
        <w:fldChar w:fldCharType="begin"/>
      </w:r>
      <w:r>
        <w:instrText xml:space="preserve"> PAGEREF _Toc2454 \h </w:instrText>
      </w:r>
      <w:r>
        <w:fldChar w:fldCharType="separate"/>
      </w:r>
      <w:r>
        <w:t>47</w:t>
      </w:r>
      <w:r>
        <w:fldChar w:fldCharType="end"/>
      </w:r>
      <w:r>
        <w:rPr>
          <w:rFonts w:hint="default" w:ascii="Times New Roman" w:hAnsi="Times New Roman" w:cs="Times New Roman" w:eastAsiaTheme="minorEastAsia"/>
          <w:color w:val="auto"/>
          <w:kern w:val="0"/>
          <w:szCs w:val="24"/>
          <w:highlight w:val="none"/>
        </w:rPr>
        <w:fldChar w:fldCharType="end"/>
      </w:r>
    </w:p>
    <w:p w14:paraId="1E4F07E0">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_Toc4389 </w:instrText>
      </w:r>
      <w:r>
        <w:rPr>
          <w:rFonts w:hint="default" w:ascii="Times New Roman" w:hAnsi="Times New Roman" w:cs="Times New Roman" w:eastAsiaTheme="minorEastAsia"/>
          <w:kern w:val="0"/>
          <w:szCs w:val="24"/>
          <w:highlight w:val="none"/>
        </w:rPr>
        <w:fldChar w:fldCharType="separate"/>
      </w:r>
      <w:r>
        <w:rPr>
          <w:rFonts w:hint="eastAsia" w:ascii="Times New Roman" w:hAnsi="Times New Roman" w:cs="Times New Roman" w:eastAsiaTheme="minorEastAsia"/>
          <w:szCs w:val="30"/>
          <w:highlight w:val="none"/>
          <w:lang w:val="en-US" w:eastAsia="zh-CN"/>
        </w:rPr>
        <w:t>二</w:t>
      </w:r>
      <w:r>
        <w:rPr>
          <w:rFonts w:hint="default" w:ascii="Times New Roman" w:hAnsi="Times New Roman" w:cs="Times New Roman" w:eastAsiaTheme="minorEastAsia"/>
          <w:szCs w:val="30"/>
          <w:highlight w:val="none"/>
          <w:lang w:val="en-US" w:eastAsia="zh-CN"/>
        </w:rPr>
        <w:t>、申请开采区域</w:t>
      </w:r>
      <w:r>
        <w:tab/>
      </w:r>
      <w:r>
        <w:fldChar w:fldCharType="begin"/>
      </w:r>
      <w:r>
        <w:instrText xml:space="preserve"> PAGEREF _Toc4389 \h </w:instrText>
      </w:r>
      <w:r>
        <w:fldChar w:fldCharType="separate"/>
      </w:r>
      <w:r>
        <w:t>47</w:t>
      </w:r>
      <w:r>
        <w:fldChar w:fldCharType="end"/>
      </w:r>
      <w:r>
        <w:rPr>
          <w:rFonts w:hint="default" w:ascii="Times New Roman" w:hAnsi="Times New Roman" w:cs="Times New Roman" w:eastAsiaTheme="minorEastAsia"/>
          <w:color w:val="auto"/>
          <w:kern w:val="0"/>
          <w:szCs w:val="24"/>
          <w:highlight w:val="none"/>
        </w:rPr>
        <w:fldChar w:fldCharType="end"/>
      </w:r>
    </w:p>
    <w:p w14:paraId="23D9F551">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_Toc19104 </w:instrText>
      </w:r>
      <w:r>
        <w:rPr>
          <w:rFonts w:hint="default" w:ascii="Times New Roman" w:hAnsi="Times New Roman" w:cs="Times New Roman" w:eastAsiaTheme="minorEastAsia"/>
          <w:kern w:val="0"/>
          <w:szCs w:val="24"/>
          <w:highlight w:val="none"/>
        </w:rPr>
        <w:fldChar w:fldCharType="separate"/>
      </w:r>
      <w:r>
        <w:rPr>
          <w:rFonts w:hint="eastAsia" w:ascii="Times New Roman" w:hAnsi="Times New Roman" w:cs="Times New Roman" w:eastAsiaTheme="minorEastAsia"/>
          <w:szCs w:val="30"/>
          <w:highlight w:val="none"/>
          <w:lang w:val="en-US" w:eastAsia="zh-CN"/>
        </w:rPr>
        <w:t>三</w:t>
      </w:r>
      <w:r>
        <w:rPr>
          <w:rFonts w:hint="default" w:ascii="Times New Roman" w:hAnsi="Times New Roman" w:cs="Times New Roman" w:eastAsiaTheme="minorEastAsia"/>
          <w:szCs w:val="30"/>
          <w:highlight w:val="none"/>
          <w:lang w:val="en-US" w:eastAsia="zh-CN"/>
        </w:rPr>
        <w:t>、开采矿种</w:t>
      </w:r>
      <w:r>
        <w:tab/>
      </w:r>
      <w:r>
        <w:fldChar w:fldCharType="begin"/>
      </w:r>
      <w:r>
        <w:instrText xml:space="preserve"> PAGEREF _Toc19104 \h </w:instrText>
      </w:r>
      <w:r>
        <w:fldChar w:fldCharType="separate"/>
      </w:r>
      <w:r>
        <w:t>48</w:t>
      </w:r>
      <w:r>
        <w:fldChar w:fldCharType="end"/>
      </w:r>
      <w:r>
        <w:rPr>
          <w:rFonts w:hint="default" w:ascii="Times New Roman" w:hAnsi="Times New Roman" w:cs="Times New Roman" w:eastAsiaTheme="minorEastAsia"/>
          <w:color w:val="auto"/>
          <w:kern w:val="0"/>
          <w:szCs w:val="24"/>
          <w:highlight w:val="none"/>
        </w:rPr>
        <w:fldChar w:fldCharType="end"/>
      </w:r>
    </w:p>
    <w:p w14:paraId="62ACF44A">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_Toc29927 </w:instrText>
      </w:r>
      <w:r>
        <w:rPr>
          <w:rFonts w:hint="default" w:ascii="Times New Roman" w:hAnsi="Times New Roman" w:cs="Times New Roman" w:eastAsiaTheme="minorEastAsia"/>
          <w:kern w:val="0"/>
          <w:szCs w:val="24"/>
          <w:highlight w:val="none"/>
        </w:rPr>
        <w:fldChar w:fldCharType="separate"/>
      </w:r>
      <w:r>
        <w:rPr>
          <w:rFonts w:hint="eastAsia" w:ascii="Times New Roman" w:hAnsi="Times New Roman" w:cs="Times New Roman" w:eastAsiaTheme="minorEastAsia"/>
          <w:szCs w:val="30"/>
          <w:highlight w:val="none"/>
          <w:lang w:val="en-US" w:eastAsia="zh-CN"/>
        </w:rPr>
        <w:t>四、</w:t>
      </w:r>
      <w:r>
        <w:rPr>
          <w:rFonts w:hint="default" w:ascii="Times New Roman" w:hAnsi="Times New Roman" w:cs="Times New Roman" w:eastAsiaTheme="minorEastAsia"/>
          <w:szCs w:val="30"/>
          <w:highlight w:val="none"/>
          <w:lang w:val="en-US" w:eastAsia="zh-CN"/>
        </w:rPr>
        <w:t>开采方式、开采顺序、采矿方法</w:t>
      </w:r>
      <w:r>
        <w:tab/>
      </w:r>
      <w:r>
        <w:fldChar w:fldCharType="begin"/>
      </w:r>
      <w:r>
        <w:instrText xml:space="preserve"> PAGEREF _Toc29927 \h </w:instrText>
      </w:r>
      <w:r>
        <w:fldChar w:fldCharType="separate"/>
      </w:r>
      <w:r>
        <w:t>48</w:t>
      </w:r>
      <w:r>
        <w:fldChar w:fldCharType="end"/>
      </w:r>
      <w:r>
        <w:rPr>
          <w:rFonts w:hint="default" w:ascii="Times New Roman" w:hAnsi="Times New Roman" w:cs="Times New Roman" w:eastAsiaTheme="minorEastAsia"/>
          <w:color w:val="auto"/>
          <w:kern w:val="0"/>
          <w:szCs w:val="24"/>
          <w:highlight w:val="none"/>
        </w:rPr>
        <w:fldChar w:fldCharType="end"/>
      </w:r>
    </w:p>
    <w:p w14:paraId="409409F1">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_Toc23644 </w:instrText>
      </w:r>
      <w:r>
        <w:rPr>
          <w:rFonts w:hint="default" w:ascii="Times New Roman" w:hAnsi="Times New Roman" w:cs="Times New Roman" w:eastAsiaTheme="minorEastAsia"/>
          <w:kern w:val="0"/>
          <w:szCs w:val="24"/>
          <w:highlight w:val="none"/>
        </w:rPr>
        <w:fldChar w:fldCharType="separate"/>
      </w:r>
      <w:r>
        <w:rPr>
          <w:rFonts w:hint="eastAsia" w:ascii="Times New Roman" w:hAnsi="Times New Roman" w:cs="Times New Roman" w:eastAsiaTheme="minorEastAsia"/>
          <w:szCs w:val="30"/>
          <w:highlight w:val="none"/>
          <w:lang w:val="en-US" w:eastAsia="zh-CN"/>
        </w:rPr>
        <w:t>五</w:t>
      </w:r>
      <w:r>
        <w:rPr>
          <w:rFonts w:hint="default" w:ascii="Times New Roman" w:hAnsi="Times New Roman" w:cs="Times New Roman" w:eastAsiaTheme="minorEastAsia"/>
          <w:szCs w:val="30"/>
          <w:highlight w:val="none"/>
          <w:lang w:val="en-US" w:eastAsia="zh-CN"/>
        </w:rPr>
        <w:t>、拟建生产规模、矿山服务年限</w:t>
      </w:r>
      <w:r>
        <w:tab/>
      </w:r>
      <w:r>
        <w:fldChar w:fldCharType="begin"/>
      </w:r>
      <w:r>
        <w:instrText xml:space="preserve"> PAGEREF _Toc23644 \h </w:instrText>
      </w:r>
      <w:r>
        <w:fldChar w:fldCharType="separate"/>
      </w:r>
      <w:r>
        <w:t>48</w:t>
      </w:r>
      <w:r>
        <w:fldChar w:fldCharType="end"/>
      </w:r>
      <w:r>
        <w:rPr>
          <w:rFonts w:hint="default" w:ascii="Times New Roman" w:hAnsi="Times New Roman" w:cs="Times New Roman" w:eastAsiaTheme="minorEastAsia"/>
          <w:color w:val="auto"/>
          <w:kern w:val="0"/>
          <w:szCs w:val="24"/>
          <w:highlight w:val="none"/>
        </w:rPr>
        <w:fldChar w:fldCharType="end"/>
      </w:r>
    </w:p>
    <w:p w14:paraId="02E04450">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_Toc29650 </w:instrText>
      </w:r>
      <w:r>
        <w:rPr>
          <w:rFonts w:hint="default" w:ascii="Times New Roman" w:hAnsi="Times New Roman" w:cs="Times New Roman" w:eastAsiaTheme="minorEastAsia"/>
          <w:kern w:val="0"/>
          <w:szCs w:val="24"/>
          <w:highlight w:val="none"/>
        </w:rPr>
        <w:fldChar w:fldCharType="separate"/>
      </w:r>
      <w:r>
        <w:rPr>
          <w:rFonts w:hint="eastAsia" w:ascii="Times New Roman" w:hAnsi="Times New Roman" w:cs="Times New Roman" w:eastAsiaTheme="minorEastAsia"/>
          <w:szCs w:val="30"/>
          <w:highlight w:val="none"/>
          <w:lang w:val="en-US" w:eastAsia="zh-CN"/>
        </w:rPr>
        <w:t>六</w:t>
      </w:r>
      <w:r>
        <w:rPr>
          <w:rFonts w:hint="default" w:ascii="Times New Roman" w:hAnsi="Times New Roman" w:cs="Times New Roman" w:eastAsiaTheme="minorEastAsia"/>
          <w:szCs w:val="30"/>
          <w:highlight w:val="none"/>
          <w:lang w:val="en-US" w:eastAsia="zh-CN"/>
        </w:rPr>
        <w:t>、资源综合利用</w:t>
      </w:r>
      <w:r>
        <w:tab/>
      </w:r>
      <w:r>
        <w:fldChar w:fldCharType="begin"/>
      </w:r>
      <w:r>
        <w:instrText xml:space="preserve"> PAGEREF _Toc29650 \h </w:instrText>
      </w:r>
      <w:r>
        <w:fldChar w:fldCharType="separate"/>
      </w:r>
      <w:r>
        <w:t>48</w:t>
      </w:r>
      <w:r>
        <w:fldChar w:fldCharType="end"/>
      </w:r>
      <w:r>
        <w:rPr>
          <w:rFonts w:hint="default" w:ascii="Times New Roman" w:hAnsi="Times New Roman" w:cs="Times New Roman" w:eastAsiaTheme="minorEastAsia"/>
          <w:color w:val="auto"/>
          <w:kern w:val="0"/>
          <w:szCs w:val="24"/>
          <w:highlight w:val="none"/>
        </w:rPr>
        <w:fldChar w:fldCharType="end"/>
      </w:r>
    </w:p>
    <w:p w14:paraId="65231F69">
      <w:pPr>
        <w:pStyle w:val="16"/>
        <w:tabs>
          <w:tab w:val="right" w:leader="dot" w:pos="9127"/>
        </w:tabs>
      </w:pPr>
      <w:r>
        <w:rPr>
          <w:rFonts w:hint="default" w:ascii="Times New Roman" w:hAnsi="Times New Roman" w:cs="Times New Roman" w:eastAsiaTheme="minorEastAsia"/>
          <w:color w:val="auto"/>
          <w:kern w:val="0"/>
          <w:szCs w:val="24"/>
          <w:highlight w:val="none"/>
        </w:rPr>
        <w:fldChar w:fldCharType="begin"/>
      </w:r>
      <w:r>
        <w:rPr>
          <w:rFonts w:hint="default" w:ascii="Times New Roman" w:hAnsi="Times New Roman" w:cs="Times New Roman" w:eastAsiaTheme="minorEastAsia"/>
          <w:kern w:val="0"/>
          <w:szCs w:val="24"/>
          <w:highlight w:val="none"/>
        </w:rPr>
        <w:instrText xml:space="preserve"> HYPERLINK \l _Toc477 </w:instrText>
      </w:r>
      <w:r>
        <w:rPr>
          <w:rFonts w:hint="default" w:ascii="Times New Roman" w:hAnsi="Times New Roman" w:cs="Times New Roman" w:eastAsiaTheme="minorEastAsia"/>
          <w:kern w:val="0"/>
          <w:szCs w:val="24"/>
          <w:highlight w:val="none"/>
        </w:rPr>
        <w:fldChar w:fldCharType="separate"/>
      </w:r>
      <w:r>
        <w:rPr>
          <w:rFonts w:hint="eastAsia" w:ascii="Times New Roman" w:hAnsi="Times New Roman" w:cs="Times New Roman" w:eastAsiaTheme="minorEastAsia"/>
          <w:szCs w:val="30"/>
          <w:highlight w:val="none"/>
          <w:lang w:val="en-US" w:eastAsia="zh-CN"/>
        </w:rPr>
        <w:t>七</w:t>
      </w:r>
      <w:r>
        <w:rPr>
          <w:rFonts w:hint="default" w:ascii="Times New Roman" w:hAnsi="Times New Roman" w:cs="Times New Roman" w:eastAsiaTheme="minorEastAsia"/>
          <w:szCs w:val="30"/>
          <w:highlight w:val="none"/>
          <w:lang w:val="en-US" w:eastAsia="zh-CN"/>
        </w:rPr>
        <w:t>、建议</w:t>
      </w:r>
      <w:r>
        <w:tab/>
      </w:r>
      <w:r>
        <w:fldChar w:fldCharType="begin"/>
      </w:r>
      <w:r>
        <w:instrText xml:space="preserve"> PAGEREF _Toc477 \h </w:instrText>
      </w:r>
      <w:r>
        <w:fldChar w:fldCharType="separate"/>
      </w:r>
      <w:r>
        <w:t>48</w:t>
      </w:r>
      <w:r>
        <w:fldChar w:fldCharType="end"/>
      </w:r>
      <w:r>
        <w:rPr>
          <w:rFonts w:hint="default" w:ascii="Times New Roman" w:hAnsi="Times New Roman" w:cs="Times New Roman" w:eastAsiaTheme="minorEastAsia"/>
          <w:color w:val="auto"/>
          <w:kern w:val="0"/>
          <w:szCs w:val="24"/>
          <w:highlight w:val="none"/>
        </w:rPr>
        <w:fldChar w:fldCharType="end"/>
      </w:r>
    </w:p>
    <w:p w14:paraId="4D55F20E">
      <w:pPr>
        <w:pageBreakBefore w:val="0"/>
        <w:kinsoku/>
        <w:wordWrap/>
        <w:overflowPunct/>
        <w:topLinePunct w:val="0"/>
        <w:bidi w:val="0"/>
        <w:spacing w:beforeLines="50" w:afterLines="50" w:line="360" w:lineRule="auto"/>
        <w:jc w:val="center"/>
        <w:rPr>
          <w:rFonts w:hint="eastAsia" w:ascii="Times New Roman" w:hAnsi="Times New Roman" w:eastAsia="宋体" w:cs="Times New Roman"/>
          <w:color w:val="auto"/>
          <w:kern w:val="2"/>
          <w:sz w:val="28"/>
          <w:szCs w:val="24"/>
          <w:lang w:val="en-US" w:eastAsia="zh-CN" w:bidi="ar-SA"/>
        </w:rPr>
      </w:pPr>
      <w:r>
        <w:rPr>
          <w:rFonts w:hint="default" w:ascii="Times New Roman" w:hAnsi="Times New Roman" w:cs="Times New Roman" w:eastAsiaTheme="minorEastAsia"/>
          <w:color w:val="auto"/>
          <w:kern w:val="0"/>
          <w:szCs w:val="24"/>
          <w:highlight w:val="none"/>
        </w:rPr>
        <w:fldChar w:fldCharType="end"/>
      </w:r>
    </w:p>
    <w:p w14:paraId="0A81302F">
      <w:pPr>
        <w:pStyle w:val="8"/>
        <w:pageBreakBefore w:val="0"/>
        <w:kinsoku w:val="0"/>
        <w:wordWrap/>
        <w:overflowPunct w:val="0"/>
        <w:bidi w:val="0"/>
        <w:spacing w:beforeLines="0" w:afterLines="0" w:line="426" w:lineRule="auto"/>
        <w:ind w:right="115" w:firstLine="638"/>
        <w:jc w:val="center"/>
        <w:rPr>
          <w:rFonts w:hint="eastAsia" w:ascii="黑体" w:hAnsi="黑体" w:eastAsia="黑体" w:cs="黑体"/>
          <w:color w:val="auto"/>
          <w:sz w:val="28"/>
          <w:szCs w:val="24"/>
          <w:lang w:val="en-US" w:eastAsia="zh-CN"/>
        </w:rPr>
      </w:pPr>
      <w:bookmarkStart w:id="0" w:name="_Toc3844"/>
      <w:bookmarkStart w:id="1" w:name="_Toc80109261"/>
      <w:r>
        <w:rPr>
          <w:rFonts w:hint="eastAsia" w:ascii="黑体" w:hAnsi="黑体" w:eastAsia="黑体" w:cs="黑体"/>
          <w:color w:val="auto"/>
          <w:sz w:val="28"/>
          <w:szCs w:val="24"/>
          <w:lang w:val="en-US" w:eastAsia="zh-CN"/>
        </w:rPr>
        <w:t>附图</w:t>
      </w:r>
    </w:p>
    <w:p w14:paraId="3E318865">
      <w:pPr>
        <w:pStyle w:val="16"/>
        <w:pageBreakBefore w:val="0"/>
        <w:tabs>
          <w:tab w:val="right" w:leader="dot" w:pos="8306"/>
        </w:tabs>
        <w:kinsoku/>
        <w:wordWrap/>
        <w:overflowPunct/>
        <w:topLinePunct w:val="0"/>
        <w:bidi w:val="0"/>
        <w:spacing w:line="360" w:lineRule="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kern w:val="0"/>
          <w:sz w:val="24"/>
          <w:szCs w:val="24"/>
          <w:highlight w:val="none"/>
        </w:rPr>
        <w:fldChar w:fldCharType="begin"/>
      </w:r>
      <w:r>
        <w:rPr>
          <w:rFonts w:hint="default" w:ascii="Times New Roman" w:hAnsi="Times New Roman" w:cs="Times New Roman" w:eastAsiaTheme="minorEastAsia"/>
          <w:color w:val="auto"/>
          <w:kern w:val="0"/>
          <w:sz w:val="24"/>
          <w:szCs w:val="24"/>
          <w:highlight w:val="none"/>
        </w:rPr>
        <w:instrText xml:space="preserve"> HYPERLINK \l _Toc6788 </w:instrText>
      </w:r>
      <w:r>
        <w:rPr>
          <w:rFonts w:hint="default" w:ascii="Times New Roman" w:hAnsi="Times New Roman" w:cs="Times New Roman" w:eastAsiaTheme="minorEastAsia"/>
          <w:color w:val="auto"/>
          <w:kern w:val="0"/>
          <w:sz w:val="24"/>
          <w:szCs w:val="24"/>
          <w:highlight w:val="none"/>
        </w:rPr>
        <w:fldChar w:fldCharType="separate"/>
      </w:r>
      <w:r>
        <w:rPr>
          <w:rFonts w:hint="default" w:ascii="Times New Roman" w:hAnsi="Times New Roman" w:cs="Times New Roman" w:eastAsiaTheme="minorEastAsia"/>
          <w:color w:val="auto"/>
          <w:sz w:val="24"/>
          <w:szCs w:val="24"/>
          <w:highlight w:val="none"/>
          <w:lang w:eastAsia="zh-CN"/>
        </w:rPr>
        <w:t>1、大兴安岭地区呼玛县JH项目鸥浦乡配套采石场建筑用凝灰岩矿开采区域叠合图</w:t>
      </w:r>
      <w:r>
        <w:rPr>
          <w:rFonts w:hint="default" w:ascii="Times New Roman" w:hAnsi="Times New Roman" w:cs="Times New Roman" w:eastAsiaTheme="minorEastAsia"/>
          <w:color w:val="auto"/>
          <w:sz w:val="24"/>
          <w:szCs w:val="24"/>
          <w:highlight w:val="none"/>
          <w:lang w:val="en-US" w:eastAsia="zh-CN"/>
        </w:rPr>
        <w:t xml:space="preserve">                                                </w:t>
      </w:r>
      <w:r>
        <w:rPr>
          <w:rFonts w:hint="default" w:ascii="Times New Roman" w:hAnsi="Times New Roman" w:cs="Times New Roman" w:eastAsiaTheme="minorEastAsia"/>
          <w:color w:val="auto"/>
          <w:spacing w:val="-10"/>
          <w:sz w:val="24"/>
          <w:szCs w:val="24"/>
          <w:highlight w:val="none"/>
        </w:rPr>
        <w:t>比例尺</w:t>
      </w:r>
      <w:r>
        <w:rPr>
          <w:rFonts w:hint="default" w:ascii="Times New Roman" w:hAnsi="Times New Roman" w:cs="Times New Roman" w:eastAsiaTheme="minorEastAsia"/>
          <w:color w:val="auto"/>
          <w:spacing w:val="-4"/>
          <w:sz w:val="24"/>
          <w:szCs w:val="24"/>
          <w:highlight w:val="none"/>
        </w:rPr>
        <w:t>1:</w:t>
      </w:r>
      <w:r>
        <w:rPr>
          <w:rFonts w:hint="default" w:ascii="Times New Roman" w:hAnsi="Times New Roman" w:cs="Times New Roman" w:eastAsiaTheme="minorEastAsia"/>
          <w:color w:val="auto"/>
          <w:spacing w:val="-4"/>
          <w:sz w:val="24"/>
          <w:szCs w:val="24"/>
          <w:highlight w:val="none"/>
          <w:lang w:val="en-US" w:eastAsia="zh-CN"/>
        </w:rPr>
        <w:t>1000</w:t>
      </w:r>
      <w:r>
        <w:rPr>
          <w:rFonts w:hint="default" w:ascii="Times New Roman" w:hAnsi="Times New Roman" w:cs="Times New Roman" w:eastAsiaTheme="minorEastAsia"/>
          <w:color w:val="auto"/>
          <w:kern w:val="0"/>
          <w:sz w:val="24"/>
          <w:szCs w:val="24"/>
          <w:highlight w:val="none"/>
        </w:rPr>
        <w:fldChar w:fldCharType="end"/>
      </w:r>
    </w:p>
    <w:p w14:paraId="55FB1217">
      <w:pPr>
        <w:pStyle w:val="16"/>
        <w:pageBreakBefore w:val="0"/>
        <w:tabs>
          <w:tab w:val="right" w:leader="dot" w:pos="8306"/>
        </w:tabs>
        <w:kinsoku/>
        <w:wordWrap/>
        <w:overflowPunct/>
        <w:topLinePunct w:val="0"/>
        <w:bidi w:val="0"/>
        <w:spacing w:line="360" w:lineRule="auto"/>
        <w:rPr>
          <w:rFonts w:hint="default" w:ascii="Times New Roman" w:hAnsi="Times New Roman" w:cs="Times New Roman" w:eastAsiaTheme="minorEastAsia"/>
          <w:color w:val="auto"/>
          <w:spacing w:val="0"/>
          <w:sz w:val="24"/>
          <w:szCs w:val="24"/>
        </w:rPr>
      </w:pPr>
      <w:r>
        <w:rPr>
          <w:rFonts w:hint="default" w:ascii="Times New Roman" w:hAnsi="Times New Roman" w:cs="Times New Roman" w:eastAsiaTheme="minorEastAsia"/>
          <w:color w:val="auto"/>
          <w:spacing w:val="0"/>
          <w:kern w:val="0"/>
          <w:sz w:val="24"/>
          <w:szCs w:val="24"/>
          <w:highlight w:val="none"/>
        </w:rPr>
        <w:fldChar w:fldCharType="begin"/>
      </w:r>
      <w:r>
        <w:rPr>
          <w:rFonts w:hint="default" w:ascii="Times New Roman" w:hAnsi="Times New Roman" w:cs="Times New Roman" w:eastAsiaTheme="minorEastAsia"/>
          <w:color w:val="auto"/>
          <w:spacing w:val="0"/>
          <w:kern w:val="0"/>
          <w:sz w:val="24"/>
          <w:szCs w:val="24"/>
          <w:highlight w:val="none"/>
        </w:rPr>
        <w:instrText xml:space="preserve"> HYPERLINK \l _Toc26645 </w:instrText>
      </w:r>
      <w:r>
        <w:rPr>
          <w:rFonts w:hint="default" w:ascii="Times New Roman" w:hAnsi="Times New Roman" w:cs="Times New Roman" w:eastAsiaTheme="minorEastAsia"/>
          <w:color w:val="auto"/>
          <w:spacing w:val="0"/>
          <w:kern w:val="0"/>
          <w:sz w:val="24"/>
          <w:szCs w:val="24"/>
          <w:highlight w:val="none"/>
        </w:rPr>
        <w:fldChar w:fldCharType="separate"/>
      </w:r>
      <w:r>
        <w:rPr>
          <w:rFonts w:hint="default" w:ascii="Times New Roman" w:hAnsi="Times New Roman" w:cs="Times New Roman" w:eastAsiaTheme="minorEastAsia"/>
          <w:color w:val="auto"/>
          <w:spacing w:val="0"/>
          <w:sz w:val="24"/>
          <w:szCs w:val="24"/>
          <w:highlight w:val="none"/>
        </w:rPr>
        <w:t>2、</w:t>
      </w:r>
      <w:r>
        <w:rPr>
          <w:rFonts w:hint="default" w:ascii="Times New Roman" w:hAnsi="Times New Roman" w:cs="Times New Roman" w:eastAsiaTheme="minorEastAsia"/>
          <w:bCs/>
          <w:color w:val="auto"/>
          <w:spacing w:val="0"/>
          <w:sz w:val="24"/>
          <w:szCs w:val="24"/>
          <w:highlight w:val="none"/>
          <w:lang w:eastAsia="zh-CN"/>
        </w:rPr>
        <w:t>大兴安岭地区呼玛县JH项目鸥浦乡配套采石场建筑用凝灰岩矿</w:t>
      </w:r>
      <w:r>
        <w:rPr>
          <w:rFonts w:hint="default" w:ascii="Times New Roman" w:hAnsi="Times New Roman" w:cs="Times New Roman" w:eastAsiaTheme="minorEastAsia"/>
          <w:color w:val="auto"/>
          <w:spacing w:val="0"/>
          <w:sz w:val="24"/>
          <w:szCs w:val="24"/>
          <w:highlight w:val="none"/>
        </w:rPr>
        <w:t>开采终了境界总平面图</w:t>
      </w:r>
      <w:r>
        <w:rPr>
          <w:rFonts w:hint="eastAsia" w:ascii="Times New Roman" w:hAnsi="Times New Roman" w:cs="Times New Roman" w:eastAsiaTheme="minorEastAsia"/>
          <w:color w:val="auto"/>
          <w:spacing w:val="0"/>
          <w:sz w:val="24"/>
          <w:szCs w:val="24"/>
          <w:highlight w:val="none"/>
          <w:lang w:val="en-US" w:eastAsia="zh-CN"/>
        </w:rPr>
        <w:t xml:space="preserve"> </w:t>
      </w:r>
      <w:r>
        <w:rPr>
          <w:rFonts w:hint="default" w:ascii="Times New Roman" w:hAnsi="Times New Roman" w:cs="Times New Roman" w:eastAsiaTheme="minorEastAsia"/>
          <w:color w:val="auto"/>
          <w:spacing w:val="0"/>
          <w:sz w:val="24"/>
          <w:szCs w:val="24"/>
          <w:highlight w:val="none"/>
        </w:rPr>
        <w:t>比例尺1:</w:t>
      </w:r>
      <w:r>
        <w:rPr>
          <w:rFonts w:hint="default" w:ascii="Times New Roman" w:hAnsi="Times New Roman" w:cs="Times New Roman" w:eastAsiaTheme="minorEastAsia"/>
          <w:color w:val="auto"/>
          <w:spacing w:val="0"/>
          <w:sz w:val="24"/>
          <w:szCs w:val="24"/>
          <w:highlight w:val="none"/>
          <w:lang w:val="en-US" w:eastAsia="zh-CN"/>
        </w:rPr>
        <w:t>1000</w:t>
      </w:r>
      <w:r>
        <w:rPr>
          <w:rFonts w:hint="default" w:ascii="Times New Roman" w:hAnsi="Times New Roman" w:cs="Times New Roman" w:eastAsiaTheme="minorEastAsia"/>
          <w:color w:val="auto"/>
          <w:spacing w:val="0"/>
          <w:kern w:val="0"/>
          <w:sz w:val="24"/>
          <w:szCs w:val="24"/>
          <w:highlight w:val="none"/>
        </w:rPr>
        <w:fldChar w:fldCharType="end"/>
      </w:r>
    </w:p>
    <w:p w14:paraId="3FD61805">
      <w:pPr>
        <w:pStyle w:val="16"/>
        <w:pageBreakBefore w:val="0"/>
        <w:tabs>
          <w:tab w:val="right" w:leader="dot" w:pos="8306"/>
        </w:tabs>
        <w:kinsoku/>
        <w:wordWrap/>
        <w:overflowPunct/>
        <w:topLinePunct w:val="0"/>
        <w:bidi w:val="0"/>
        <w:spacing w:line="360" w:lineRule="auto"/>
        <w:rPr>
          <w:rFonts w:hint="default" w:ascii="Times New Roman" w:hAnsi="Times New Roman" w:cs="Times New Roman" w:eastAsiaTheme="minorEastAsia"/>
          <w:color w:val="auto"/>
          <w:spacing w:val="0"/>
          <w:kern w:val="0"/>
          <w:sz w:val="24"/>
          <w:szCs w:val="24"/>
          <w:highlight w:val="none"/>
        </w:rPr>
      </w:pPr>
      <w:r>
        <w:rPr>
          <w:rFonts w:hint="default" w:ascii="Times New Roman" w:hAnsi="Times New Roman" w:cs="Times New Roman" w:eastAsiaTheme="minorEastAsia"/>
          <w:color w:val="auto"/>
          <w:spacing w:val="0"/>
          <w:kern w:val="0"/>
          <w:sz w:val="24"/>
          <w:szCs w:val="24"/>
          <w:highlight w:val="none"/>
        </w:rPr>
        <w:fldChar w:fldCharType="begin"/>
      </w:r>
      <w:r>
        <w:rPr>
          <w:rFonts w:hint="default" w:ascii="Times New Roman" w:hAnsi="Times New Roman" w:cs="Times New Roman" w:eastAsiaTheme="minorEastAsia"/>
          <w:color w:val="auto"/>
          <w:spacing w:val="0"/>
          <w:kern w:val="0"/>
          <w:sz w:val="24"/>
          <w:szCs w:val="24"/>
          <w:highlight w:val="none"/>
        </w:rPr>
        <w:instrText xml:space="preserve"> HYPERLINK \l _Toc26310 </w:instrText>
      </w:r>
      <w:r>
        <w:rPr>
          <w:rFonts w:hint="default" w:ascii="Times New Roman" w:hAnsi="Times New Roman" w:cs="Times New Roman" w:eastAsiaTheme="minorEastAsia"/>
          <w:color w:val="auto"/>
          <w:spacing w:val="0"/>
          <w:kern w:val="0"/>
          <w:sz w:val="24"/>
          <w:szCs w:val="24"/>
          <w:highlight w:val="none"/>
        </w:rPr>
        <w:fldChar w:fldCharType="separate"/>
      </w:r>
      <w:r>
        <w:rPr>
          <w:rFonts w:hint="default" w:ascii="Times New Roman" w:hAnsi="Times New Roman" w:cs="Times New Roman" w:eastAsiaTheme="minorEastAsia"/>
          <w:color w:val="auto"/>
          <w:spacing w:val="0"/>
          <w:kern w:val="0"/>
          <w:sz w:val="24"/>
          <w:szCs w:val="24"/>
          <w:highlight w:val="none"/>
        </w:rPr>
        <w:t>3、</w:t>
      </w:r>
      <w:r>
        <w:rPr>
          <w:rFonts w:hint="default" w:ascii="Times New Roman" w:hAnsi="Times New Roman" w:cs="Times New Roman" w:eastAsiaTheme="minorEastAsia"/>
          <w:color w:val="auto"/>
          <w:spacing w:val="0"/>
          <w:kern w:val="0"/>
          <w:sz w:val="24"/>
          <w:szCs w:val="24"/>
          <w:highlight w:val="none"/>
          <w:lang w:eastAsia="zh-CN"/>
        </w:rPr>
        <w:t>大兴安岭地区呼玛县JH项目鸥浦乡配套采石场建筑用凝灰岩矿</w:t>
      </w:r>
      <w:r>
        <w:rPr>
          <w:rFonts w:hint="default" w:ascii="Times New Roman" w:hAnsi="Times New Roman" w:cs="Times New Roman" w:eastAsiaTheme="minorEastAsia"/>
          <w:color w:val="auto"/>
          <w:sz w:val="24"/>
          <w:szCs w:val="24"/>
        </w:rPr>
        <w:t>勘</w:t>
      </w:r>
      <w:r>
        <w:rPr>
          <w:rFonts w:hint="default" w:ascii="Times New Roman" w:hAnsi="Times New Roman" w:cs="Times New Roman" w:eastAsiaTheme="minorEastAsia"/>
          <w:color w:val="auto"/>
          <w:spacing w:val="-82"/>
          <w:sz w:val="24"/>
          <w:szCs w:val="24"/>
        </w:rPr>
        <w:t xml:space="preserve"> </w:t>
      </w:r>
      <w:r>
        <w:rPr>
          <w:rFonts w:hint="default" w:ascii="Times New Roman" w:hAnsi="Times New Roman" w:cs="Times New Roman" w:eastAsiaTheme="minorEastAsia"/>
          <w:color w:val="auto"/>
          <w:sz w:val="24"/>
          <w:szCs w:val="24"/>
        </w:rPr>
        <w:t>查</w:t>
      </w:r>
      <w:r>
        <w:rPr>
          <w:rFonts w:hint="default" w:ascii="Times New Roman" w:hAnsi="Times New Roman" w:cs="Times New Roman" w:eastAsiaTheme="minorEastAsia"/>
          <w:color w:val="auto"/>
          <w:spacing w:val="-82"/>
          <w:sz w:val="24"/>
          <w:szCs w:val="24"/>
        </w:rPr>
        <w:t xml:space="preserve"> </w:t>
      </w:r>
      <w:r>
        <w:rPr>
          <w:rFonts w:hint="default" w:ascii="Times New Roman" w:hAnsi="Times New Roman" w:cs="Times New Roman" w:eastAsiaTheme="minorEastAsia"/>
          <w:color w:val="auto"/>
          <w:sz w:val="24"/>
          <w:szCs w:val="24"/>
        </w:rPr>
        <w:t>线</w:t>
      </w:r>
      <w:r>
        <w:rPr>
          <w:rFonts w:hint="default" w:ascii="Times New Roman" w:hAnsi="Times New Roman" w:cs="Times New Roman" w:eastAsiaTheme="minorEastAsia"/>
          <w:color w:val="auto"/>
          <w:spacing w:val="-80"/>
          <w:sz w:val="24"/>
          <w:szCs w:val="24"/>
        </w:rPr>
        <w:t xml:space="preserve"> </w:t>
      </w:r>
      <w:r>
        <w:rPr>
          <w:rFonts w:hint="default" w:ascii="Times New Roman" w:hAnsi="Times New Roman" w:cs="Times New Roman" w:eastAsiaTheme="minorEastAsia"/>
          <w:color w:val="auto"/>
          <w:sz w:val="24"/>
          <w:szCs w:val="24"/>
        </w:rPr>
        <w:t>剖</w:t>
      </w:r>
      <w:r>
        <w:rPr>
          <w:rFonts w:hint="default" w:ascii="Times New Roman" w:hAnsi="Times New Roman" w:cs="Times New Roman" w:eastAsiaTheme="minorEastAsia"/>
          <w:color w:val="auto"/>
          <w:spacing w:val="-82"/>
          <w:sz w:val="24"/>
          <w:szCs w:val="24"/>
        </w:rPr>
        <w:t xml:space="preserve"> </w:t>
      </w:r>
      <w:r>
        <w:rPr>
          <w:rFonts w:hint="default" w:ascii="Times New Roman" w:hAnsi="Times New Roman" w:cs="Times New Roman" w:eastAsiaTheme="minorEastAsia"/>
          <w:color w:val="auto"/>
          <w:sz w:val="24"/>
          <w:szCs w:val="24"/>
        </w:rPr>
        <w:t>面</w:t>
      </w:r>
      <w:r>
        <w:rPr>
          <w:rFonts w:hint="default" w:ascii="Times New Roman" w:hAnsi="Times New Roman" w:cs="Times New Roman" w:eastAsiaTheme="minorEastAsia"/>
          <w:color w:val="auto"/>
          <w:spacing w:val="-82"/>
          <w:sz w:val="24"/>
          <w:szCs w:val="24"/>
        </w:rPr>
        <w:t xml:space="preserve"> </w:t>
      </w:r>
      <w:r>
        <w:rPr>
          <w:rFonts w:hint="default" w:ascii="Times New Roman" w:hAnsi="Times New Roman" w:cs="Times New Roman" w:eastAsiaTheme="minorEastAsia"/>
          <w:color w:val="auto"/>
          <w:sz w:val="24"/>
          <w:szCs w:val="24"/>
        </w:rPr>
        <w:t>图</w:t>
      </w:r>
      <w:r>
        <w:rPr>
          <w:rFonts w:hint="default" w:ascii="Times New Roman" w:hAnsi="Times New Roman" w:cs="Times New Roman" w:eastAsiaTheme="minorEastAsia"/>
          <w:color w:val="auto"/>
          <w:sz w:val="24"/>
          <w:szCs w:val="24"/>
          <w:lang w:val="en-US" w:eastAsia="zh-CN"/>
        </w:rPr>
        <w:t xml:space="preserve">                                                  </w:t>
      </w:r>
      <w:r>
        <w:rPr>
          <w:rFonts w:hint="default" w:ascii="Times New Roman" w:hAnsi="Times New Roman" w:cs="Times New Roman" w:eastAsiaTheme="minorEastAsia"/>
          <w:color w:val="auto"/>
          <w:spacing w:val="0"/>
          <w:kern w:val="0"/>
          <w:sz w:val="24"/>
          <w:szCs w:val="24"/>
          <w:highlight w:val="none"/>
        </w:rPr>
        <w:t>比例尺1:1000</w:t>
      </w:r>
      <w:r>
        <w:rPr>
          <w:rFonts w:hint="default" w:ascii="Times New Roman" w:hAnsi="Times New Roman" w:cs="Times New Roman" w:eastAsiaTheme="minorEastAsia"/>
          <w:color w:val="auto"/>
          <w:spacing w:val="0"/>
          <w:kern w:val="0"/>
          <w:sz w:val="24"/>
          <w:szCs w:val="24"/>
          <w:highlight w:val="none"/>
        </w:rPr>
        <w:fldChar w:fldCharType="end"/>
      </w:r>
    </w:p>
    <w:p w14:paraId="18105417">
      <w:pPr>
        <w:pStyle w:val="16"/>
        <w:pageBreakBefore w:val="0"/>
        <w:tabs>
          <w:tab w:val="right" w:leader="dot" w:pos="8306"/>
        </w:tabs>
        <w:kinsoku/>
        <w:wordWrap/>
        <w:overflowPunct/>
        <w:topLinePunct w:val="0"/>
        <w:bidi w:val="0"/>
        <w:spacing w:line="360" w:lineRule="auto"/>
        <w:rPr>
          <w:rFonts w:hint="default" w:ascii="Times New Roman" w:hAnsi="Times New Roman" w:cs="Times New Roman" w:eastAsiaTheme="minorEastAsia"/>
          <w:color w:val="auto"/>
          <w:spacing w:val="0"/>
          <w:kern w:val="0"/>
          <w:sz w:val="24"/>
          <w:szCs w:val="24"/>
          <w:highlight w:val="none"/>
        </w:rPr>
      </w:pPr>
      <w:r>
        <w:rPr>
          <w:rFonts w:hint="default" w:ascii="Times New Roman" w:hAnsi="Times New Roman" w:cs="Times New Roman" w:eastAsiaTheme="minorEastAsia"/>
          <w:color w:val="auto"/>
          <w:spacing w:val="0"/>
          <w:kern w:val="0"/>
          <w:sz w:val="24"/>
          <w:szCs w:val="24"/>
          <w:highlight w:val="none"/>
        </w:rPr>
        <w:fldChar w:fldCharType="begin"/>
      </w:r>
      <w:r>
        <w:rPr>
          <w:rFonts w:hint="default" w:ascii="Times New Roman" w:hAnsi="Times New Roman" w:cs="Times New Roman" w:eastAsiaTheme="minorEastAsia"/>
          <w:color w:val="auto"/>
          <w:spacing w:val="0"/>
          <w:kern w:val="0"/>
          <w:sz w:val="24"/>
          <w:szCs w:val="24"/>
          <w:highlight w:val="none"/>
        </w:rPr>
        <w:instrText xml:space="preserve"> HYPERLINK \l _Toc26310 </w:instrText>
      </w:r>
      <w:r>
        <w:rPr>
          <w:rFonts w:hint="default" w:ascii="Times New Roman" w:hAnsi="Times New Roman" w:cs="Times New Roman" w:eastAsiaTheme="minorEastAsia"/>
          <w:color w:val="auto"/>
          <w:spacing w:val="0"/>
          <w:kern w:val="0"/>
          <w:sz w:val="24"/>
          <w:szCs w:val="24"/>
          <w:highlight w:val="none"/>
        </w:rPr>
        <w:fldChar w:fldCharType="separate"/>
      </w:r>
      <w:r>
        <w:rPr>
          <w:rFonts w:hint="default" w:ascii="Times New Roman" w:hAnsi="Times New Roman" w:cs="Times New Roman" w:eastAsiaTheme="minorEastAsia"/>
          <w:color w:val="auto"/>
          <w:spacing w:val="0"/>
          <w:kern w:val="0"/>
          <w:sz w:val="24"/>
          <w:szCs w:val="24"/>
          <w:highlight w:val="none"/>
          <w:lang w:val="en-US" w:eastAsia="zh-CN"/>
        </w:rPr>
        <w:t>4</w:t>
      </w:r>
      <w:r>
        <w:rPr>
          <w:rFonts w:hint="default" w:ascii="Times New Roman" w:hAnsi="Times New Roman" w:cs="Times New Roman" w:eastAsiaTheme="minorEastAsia"/>
          <w:color w:val="auto"/>
          <w:spacing w:val="0"/>
          <w:kern w:val="0"/>
          <w:sz w:val="24"/>
          <w:szCs w:val="24"/>
          <w:highlight w:val="none"/>
        </w:rPr>
        <w:t>、</w:t>
      </w:r>
      <w:r>
        <w:rPr>
          <w:rFonts w:hint="default" w:ascii="Times New Roman" w:hAnsi="Times New Roman" w:cs="Times New Roman" w:eastAsiaTheme="minorEastAsia"/>
          <w:color w:val="auto"/>
          <w:spacing w:val="0"/>
          <w:kern w:val="0"/>
          <w:sz w:val="24"/>
          <w:szCs w:val="24"/>
          <w:highlight w:val="none"/>
          <w:lang w:eastAsia="zh-CN"/>
        </w:rPr>
        <w:t>大兴安岭地区呼玛县JH项目鸥浦乡配套采石场建筑用凝灰岩矿</w:t>
      </w:r>
      <w:r>
        <w:rPr>
          <w:rFonts w:hint="default" w:ascii="Times New Roman" w:hAnsi="Times New Roman" w:cs="Times New Roman" w:eastAsiaTheme="minorEastAsia"/>
          <w:color w:val="auto"/>
          <w:spacing w:val="0"/>
          <w:kern w:val="0"/>
          <w:sz w:val="24"/>
          <w:szCs w:val="24"/>
          <w:highlight w:val="none"/>
          <w:lang w:val="en-US" w:eastAsia="zh-CN"/>
        </w:rPr>
        <w:t>开采</w:t>
      </w:r>
      <w:r>
        <w:rPr>
          <w:rFonts w:hint="default" w:ascii="Times New Roman" w:hAnsi="Times New Roman" w:cs="Times New Roman" w:eastAsiaTheme="minorEastAsia"/>
          <w:color w:val="auto"/>
          <w:spacing w:val="0"/>
          <w:kern w:val="0"/>
          <w:sz w:val="24"/>
          <w:szCs w:val="24"/>
          <w:highlight w:val="none"/>
        </w:rPr>
        <w:t xml:space="preserve">终了剖面图 </w:t>
      </w:r>
      <w:r>
        <w:rPr>
          <w:rFonts w:hint="default" w:ascii="Times New Roman" w:hAnsi="Times New Roman" w:cs="Times New Roman" w:eastAsiaTheme="minorEastAsia"/>
          <w:color w:val="auto"/>
          <w:spacing w:val="0"/>
          <w:kern w:val="0"/>
          <w:sz w:val="24"/>
          <w:szCs w:val="24"/>
          <w:highlight w:val="none"/>
          <w:lang w:val="en-US" w:eastAsia="zh-CN"/>
        </w:rPr>
        <w:t xml:space="preserve">                                               </w:t>
      </w:r>
      <w:r>
        <w:rPr>
          <w:rFonts w:hint="default" w:ascii="Times New Roman" w:hAnsi="Times New Roman" w:cs="Times New Roman" w:eastAsiaTheme="minorEastAsia"/>
          <w:color w:val="auto"/>
          <w:spacing w:val="0"/>
          <w:kern w:val="0"/>
          <w:sz w:val="24"/>
          <w:szCs w:val="24"/>
          <w:highlight w:val="none"/>
        </w:rPr>
        <w:t>比例尺1:1000</w:t>
      </w:r>
      <w:r>
        <w:rPr>
          <w:rFonts w:hint="default" w:ascii="Times New Roman" w:hAnsi="Times New Roman" w:cs="Times New Roman" w:eastAsiaTheme="minorEastAsia"/>
          <w:color w:val="auto"/>
          <w:spacing w:val="0"/>
          <w:kern w:val="0"/>
          <w:sz w:val="24"/>
          <w:szCs w:val="24"/>
          <w:highlight w:val="none"/>
        </w:rPr>
        <w:fldChar w:fldCharType="end"/>
      </w:r>
      <w:bookmarkEnd w:id="0"/>
      <w:bookmarkEnd w:id="1"/>
    </w:p>
    <w:p w14:paraId="0E811AD5">
      <w:pPr>
        <w:pStyle w:val="8"/>
        <w:pageBreakBefore w:val="0"/>
        <w:kinsoku w:val="0"/>
        <w:wordWrap/>
        <w:overflowPunct w:val="0"/>
        <w:bidi w:val="0"/>
        <w:spacing w:beforeLines="0" w:afterLines="0" w:line="426" w:lineRule="auto"/>
        <w:ind w:right="115" w:firstLine="638"/>
        <w:jc w:val="center"/>
        <w:rPr>
          <w:rFonts w:hint="eastAsia" w:ascii="黑体" w:hAnsi="黑体" w:eastAsia="黑体" w:cs="黑体"/>
          <w:color w:val="auto"/>
          <w:sz w:val="28"/>
          <w:szCs w:val="24"/>
          <w:lang w:val="en-US" w:eastAsia="zh-CN"/>
        </w:rPr>
      </w:pPr>
      <w:r>
        <w:rPr>
          <w:rFonts w:hint="eastAsia" w:ascii="黑体" w:hAnsi="黑体" w:eastAsia="黑体" w:cs="黑体"/>
          <w:color w:val="auto"/>
          <w:sz w:val="28"/>
          <w:szCs w:val="24"/>
          <w:lang w:val="en-US" w:eastAsia="zh-CN"/>
        </w:rPr>
        <w:t>附件</w:t>
      </w:r>
    </w:p>
    <w:p w14:paraId="0E16C747">
      <w:pPr>
        <w:pStyle w:val="16"/>
        <w:pageBreakBefore w:val="0"/>
        <w:tabs>
          <w:tab w:val="right" w:leader="dot" w:pos="8306"/>
        </w:tabs>
        <w:kinsoku/>
        <w:wordWrap/>
        <w:overflowPunct/>
        <w:topLinePunct w:val="0"/>
        <w:bidi w:val="0"/>
        <w:spacing w:line="360" w:lineRule="auto"/>
        <w:rPr>
          <w:rFonts w:hint="eastAsia" w:ascii="Times New Roman" w:hAnsi="Times New Roman" w:cs="Times New Roman" w:eastAsiaTheme="minorEastAsia"/>
          <w:color w:val="auto"/>
          <w:spacing w:val="0"/>
          <w:kern w:val="0"/>
          <w:sz w:val="24"/>
          <w:szCs w:val="24"/>
          <w:highlight w:val="none"/>
        </w:rPr>
      </w:pPr>
      <w:bookmarkStart w:id="2" w:name="_Toc80109222"/>
      <w:bookmarkStart w:id="3" w:name="_Toc20026_WPSOffice_Level1"/>
      <w:bookmarkStart w:id="4" w:name="_Toc7440_WPSOffice_Level1"/>
      <w:bookmarkStart w:id="5" w:name="_Toc20928_WPSOffice_Level1"/>
      <w:bookmarkStart w:id="6" w:name="_Toc18595_WPSOffice_Level1"/>
      <w:r>
        <w:rPr>
          <w:rFonts w:hint="eastAsia" w:ascii="Times New Roman" w:hAnsi="Times New Roman" w:cs="Times New Roman" w:eastAsiaTheme="minorEastAsia"/>
          <w:color w:val="auto"/>
          <w:spacing w:val="0"/>
          <w:kern w:val="0"/>
          <w:sz w:val="24"/>
          <w:szCs w:val="24"/>
          <w:highlight w:val="none"/>
          <w:lang w:val="en-US" w:eastAsia="zh-CN"/>
        </w:rPr>
        <w:t>1、</w:t>
      </w:r>
      <w:r>
        <w:rPr>
          <w:rFonts w:hint="eastAsia" w:ascii="Times New Roman" w:hAnsi="Times New Roman" w:cs="Times New Roman" w:eastAsiaTheme="minorEastAsia"/>
          <w:color w:val="auto"/>
          <w:spacing w:val="0"/>
          <w:kern w:val="0"/>
          <w:sz w:val="24"/>
          <w:szCs w:val="24"/>
          <w:highlight w:val="none"/>
        </w:rPr>
        <w:t>矿产资源储量评审意见书（复印件）</w:t>
      </w:r>
    </w:p>
    <w:p w14:paraId="2335C08C">
      <w:pPr>
        <w:pStyle w:val="16"/>
        <w:pageBreakBefore w:val="0"/>
        <w:tabs>
          <w:tab w:val="right" w:leader="dot" w:pos="8306"/>
        </w:tabs>
        <w:kinsoku/>
        <w:wordWrap/>
        <w:overflowPunct/>
        <w:topLinePunct w:val="0"/>
        <w:bidi w:val="0"/>
        <w:spacing w:line="360" w:lineRule="auto"/>
        <w:rPr>
          <w:rFonts w:hint="eastAsia" w:ascii="Times New Roman" w:hAnsi="Times New Roman" w:cs="Times New Roman" w:eastAsiaTheme="minorEastAsia"/>
          <w:color w:val="auto"/>
          <w:spacing w:val="0"/>
          <w:kern w:val="0"/>
          <w:sz w:val="24"/>
          <w:szCs w:val="24"/>
          <w:highlight w:val="none"/>
        </w:rPr>
      </w:pPr>
      <w:r>
        <w:rPr>
          <w:rFonts w:hint="eastAsia" w:ascii="Times New Roman" w:hAnsi="Times New Roman" w:cs="Times New Roman" w:eastAsiaTheme="minorEastAsia"/>
          <w:color w:val="auto"/>
          <w:spacing w:val="0"/>
          <w:kern w:val="0"/>
          <w:sz w:val="24"/>
          <w:szCs w:val="24"/>
          <w:highlight w:val="none"/>
          <w:lang w:val="en-US" w:eastAsia="zh-CN"/>
        </w:rPr>
        <w:t>2、</w:t>
      </w:r>
      <w:r>
        <w:rPr>
          <w:rFonts w:hint="eastAsia" w:ascii="Times New Roman" w:hAnsi="Times New Roman" w:cs="Times New Roman" w:eastAsiaTheme="minorEastAsia"/>
          <w:color w:val="auto"/>
          <w:spacing w:val="0"/>
          <w:kern w:val="0"/>
          <w:sz w:val="24"/>
          <w:szCs w:val="24"/>
          <w:highlight w:val="none"/>
        </w:rPr>
        <w:t>委托书</w:t>
      </w:r>
    </w:p>
    <w:p w14:paraId="1E6A237B">
      <w:pPr>
        <w:pStyle w:val="16"/>
        <w:pageBreakBefore w:val="0"/>
        <w:tabs>
          <w:tab w:val="right" w:leader="dot" w:pos="8306"/>
        </w:tabs>
        <w:kinsoku/>
        <w:wordWrap/>
        <w:overflowPunct/>
        <w:topLinePunct w:val="0"/>
        <w:bidi w:val="0"/>
        <w:spacing w:line="360" w:lineRule="auto"/>
        <w:rPr>
          <w:rFonts w:hint="default" w:ascii="Times New Roman" w:hAnsi="Times New Roman" w:cs="Times New Roman" w:eastAsiaTheme="minorEastAsia"/>
          <w:color w:val="auto"/>
          <w:spacing w:val="0"/>
          <w:kern w:val="0"/>
          <w:sz w:val="24"/>
          <w:szCs w:val="24"/>
          <w:highlight w:val="none"/>
          <w:lang w:val="en-US" w:eastAsia="zh-CN"/>
        </w:rPr>
      </w:pPr>
      <w:r>
        <w:rPr>
          <w:rFonts w:hint="eastAsia" w:ascii="Times New Roman" w:hAnsi="Times New Roman" w:cs="Times New Roman" w:eastAsiaTheme="minorEastAsia"/>
          <w:color w:val="auto"/>
          <w:spacing w:val="0"/>
          <w:kern w:val="0"/>
          <w:sz w:val="24"/>
          <w:szCs w:val="24"/>
          <w:highlight w:val="none"/>
          <w:lang w:val="en-US" w:eastAsia="zh-CN"/>
        </w:rPr>
        <w:t>3、承诺书</w:t>
      </w:r>
    </w:p>
    <w:p w14:paraId="345C2215">
      <w:pPr>
        <w:pStyle w:val="16"/>
        <w:pageBreakBefore w:val="0"/>
        <w:tabs>
          <w:tab w:val="right" w:leader="dot" w:pos="8306"/>
        </w:tabs>
        <w:kinsoku/>
        <w:wordWrap/>
        <w:overflowPunct/>
        <w:topLinePunct w:val="0"/>
        <w:bidi w:val="0"/>
        <w:spacing w:line="360" w:lineRule="auto"/>
        <w:rPr>
          <w:rFonts w:hint="eastAsia" w:ascii="Times New Roman" w:hAnsi="Times New Roman" w:cs="Times New Roman" w:eastAsiaTheme="minorEastAsia"/>
          <w:color w:val="auto"/>
          <w:spacing w:val="0"/>
          <w:kern w:val="0"/>
          <w:sz w:val="24"/>
          <w:szCs w:val="24"/>
          <w:highlight w:val="none"/>
        </w:rPr>
      </w:pPr>
      <w:r>
        <w:rPr>
          <w:rFonts w:hint="eastAsia" w:ascii="Times New Roman" w:hAnsi="Times New Roman" w:cs="Times New Roman" w:eastAsiaTheme="minorEastAsia"/>
          <w:color w:val="auto"/>
          <w:spacing w:val="0"/>
          <w:kern w:val="0"/>
          <w:sz w:val="24"/>
          <w:szCs w:val="24"/>
          <w:highlight w:val="none"/>
          <w:lang w:val="en-US" w:eastAsia="zh-CN"/>
        </w:rPr>
        <w:t>4、</w:t>
      </w:r>
      <w:r>
        <w:rPr>
          <w:rFonts w:hint="eastAsia" w:ascii="Times New Roman" w:hAnsi="Times New Roman" w:cs="Times New Roman" w:eastAsiaTheme="minorEastAsia"/>
          <w:color w:val="auto"/>
          <w:spacing w:val="0"/>
          <w:kern w:val="0"/>
          <w:sz w:val="24"/>
          <w:szCs w:val="24"/>
          <w:highlight w:val="none"/>
        </w:rPr>
        <w:t>《关于大兴安岭地区呼玛县 JH 项目鸥浦乡配套采石场建筑用凝灰岩矿纳入新一轮矿产资源规划的函》</w:t>
      </w:r>
    </w:p>
    <w:p w14:paraId="6E16AE7D">
      <w:pPr>
        <w:pStyle w:val="16"/>
        <w:pageBreakBefore w:val="0"/>
        <w:tabs>
          <w:tab w:val="right" w:leader="dot" w:pos="8306"/>
        </w:tabs>
        <w:kinsoku/>
        <w:wordWrap/>
        <w:overflowPunct/>
        <w:topLinePunct w:val="0"/>
        <w:bidi w:val="0"/>
        <w:spacing w:line="360" w:lineRule="auto"/>
        <w:rPr>
          <w:rFonts w:hint="eastAsia"/>
        </w:rPr>
      </w:pPr>
      <w:r>
        <w:rPr>
          <w:rFonts w:hint="eastAsia" w:ascii="Times New Roman" w:hAnsi="Times New Roman" w:cs="Times New Roman" w:eastAsiaTheme="minorEastAsia"/>
          <w:color w:val="auto"/>
          <w:spacing w:val="0"/>
          <w:kern w:val="0"/>
          <w:sz w:val="24"/>
          <w:szCs w:val="24"/>
          <w:highlight w:val="none"/>
          <w:lang w:val="en-US" w:eastAsia="zh-CN"/>
        </w:rPr>
        <w:t>5、采矿权出让合同</w:t>
      </w:r>
    </w:p>
    <w:p w14:paraId="61075664">
      <w:pPr>
        <w:rPr>
          <w:rFonts w:hint="eastAsia"/>
        </w:rPr>
        <w:sectPr>
          <w:footerReference r:id="rId9" w:type="default"/>
          <w:pgSz w:w="11907" w:h="16840"/>
          <w:pgMar w:top="1440" w:right="1240" w:bottom="1140" w:left="1540" w:header="0" w:footer="949" w:gutter="0"/>
          <w:lnNumType w:countBy="0" w:distance="360"/>
          <w:cols w:equalWidth="0" w:num="1">
            <w:col w:w="9127"/>
          </w:cols>
        </w:sectPr>
      </w:pPr>
    </w:p>
    <w:p w14:paraId="2B01CC3B">
      <w:pPr>
        <w:pStyle w:val="2"/>
        <w:pageBreakBefore w:val="0"/>
        <w:kinsoku/>
        <w:wordWrap/>
        <w:overflowPunct/>
        <w:topLinePunct w:val="0"/>
        <w:bidi w:val="0"/>
        <w:spacing w:beforeLines="50" w:afterLines="50" w:line="360" w:lineRule="auto"/>
        <w:jc w:val="center"/>
        <w:rPr>
          <w:rFonts w:hint="eastAsia" w:ascii="黑体" w:hAnsi="黑体" w:eastAsia="黑体" w:cs="黑体"/>
          <w:b w:val="0"/>
          <w:color w:val="auto"/>
          <w:sz w:val="32"/>
          <w:szCs w:val="32"/>
          <w:highlight w:val="none"/>
          <w:lang w:val="en-US" w:eastAsia="zh-CN"/>
        </w:rPr>
      </w:pPr>
      <w:bookmarkStart w:id="7" w:name="_Toc24074"/>
      <w:r>
        <w:rPr>
          <w:rFonts w:hint="eastAsia" w:ascii="黑体" w:hAnsi="黑体" w:eastAsia="黑体" w:cs="黑体"/>
          <w:b w:val="0"/>
          <w:color w:val="auto"/>
          <w:sz w:val="32"/>
          <w:szCs w:val="32"/>
          <w:highlight w:val="none"/>
          <w:lang w:val="en-US" w:eastAsia="zh-CN"/>
        </w:rPr>
        <w:t>前  言</w:t>
      </w:r>
      <w:bookmarkEnd w:id="7"/>
    </w:p>
    <w:p w14:paraId="67A49818">
      <w:pPr>
        <w:pStyle w:val="3"/>
        <w:pageBreakBefore w:val="0"/>
        <w:kinsoku/>
        <w:wordWrap/>
        <w:overflowPunct/>
        <w:topLinePunct w:val="0"/>
        <w:bidi w:val="0"/>
        <w:spacing w:before="0" w:after="0" w:line="360" w:lineRule="auto"/>
        <w:ind w:firstLine="602" w:firstLineChars="200"/>
        <w:rPr>
          <w:rFonts w:hint="eastAsia" w:ascii="Times New Roman" w:hAnsi="Times New Roman" w:cs="Times New Roman" w:eastAsiaTheme="minorEastAsia"/>
          <w:color w:val="auto"/>
          <w:sz w:val="30"/>
          <w:szCs w:val="30"/>
          <w:highlight w:val="none"/>
        </w:rPr>
      </w:pPr>
      <w:bookmarkStart w:id="8" w:name="_Toc12412"/>
      <w:bookmarkStart w:id="9" w:name="_Toc32338"/>
      <w:bookmarkStart w:id="10" w:name="_Toc167307732"/>
      <w:bookmarkStart w:id="11" w:name="_Toc13380"/>
      <w:bookmarkStart w:id="12" w:name="_Toc18302"/>
      <w:r>
        <w:rPr>
          <w:rFonts w:hint="eastAsia" w:ascii="Times New Roman" w:hAnsi="Times New Roman" w:cs="Times New Roman" w:eastAsiaTheme="minorEastAsia"/>
          <w:color w:val="auto"/>
          <w:sz w:val="30"/>
          <w:szCs w:val="30"/>
          <w:highlight w:val="none"/>
          <w:lang w:val="en-US" w:eastAsia="zh-CN"/>
        </w:rPr>
        <w:t>一、</w:t>
      </w:r>
      <w:r>
        <w:rPr>
          <w:rFonts w:hint="eastAsia" w:ascii="Times New Roman" w:hAnsi="Times New Roman" w:cs="Times New Roman" w:eastAsiaTheme="minorEastAsia"/>
          <w:color w:val="auto"/>
          <w:sz w:val="30"/>
          <w:szCs w:val="30"/>
          <w:highlight w:val="none"/>
        </w:rPr>
        <w:t>编制</w:t>
      </w:r>
      <w:r>
        <w:rPr>
          <w:rFonts w:hint="eastAsia" w:ascii="Times New Roman" w:hAnsi="Times New Roman" w:cs="Times New Roman" w:eastAsiaTheme="minorEastAsia"/>
          <w:color w:val="auto"/>
          <w:sz w:val="30"/>
          <w:szCs w:val="30"/>
          <w:highlight w:val="none"/>
          <w:lang w:eastAsia="zh-CN"/>
        </w:rPr>
        <w:t>目的</w:t>
      </w:r>
      <w:bookmarkEnd w:id="8"/>
      <w:bookmarkEnd w:id="9"/>
      <w:bookmarkEnd w:id="10"/>
      <w:bookmarkEnd w:id="11"/>
      <w:bookmarkEnd w:id="12"/>
    </w:p>
    <w:p w14:paraId="1CF98976">
      <w:pPr>
        <w:pStyle w:val="8"/>
        <w:pageBreakBefore w:val="0"/>
        <w:kinsoku w:val="0"/>
        <w:wordWrap/>
        <w:overflowPunct w:val="0"/>
        <w:bidi w:val="0"/>
        <w:spacing w:beforeLines="0" w:afterLines="0" w:line="426" w:lineRule="auto"/>
        <w:ind w:right="115" w:firstLine="638"/>
        <w:jc w:val="both"/>
        <w:rPr>
          <w:rFonts w:hint="default"/>
          <w:color w:val="auto"/>
          <w:sz w:val="28"/>
          <w:szCs w:val="24"/>
        </w:rPr>
      </w:pPr>
      <w:r>
        <w:rPr>
          <w:rFonts w:hint="eastAsia"/>
          <w:color w:val="auto"/>
          <w:sz w:val="28"/>
          <w:szCs w:val="24"/>
        </w:rPr>
        <w:t>根据《矿产资源开采方案临时服务指南》</w:t>
      </w:r>
      <w:r>
        <w:rPr>
          <w:rFonts w:hint="eastAsia"/>
          <w:color w:val="auto"/>
          <w:sz w:val="28"/>
          <w:szCs w:val="24"/>
          <w:lang w:val="en-US" w:eastAsia="zh-CN"/>
        </w:rPr>
        <w:t>基本要求</w:t>
      </w:r>
      <w:r>
        <w:rPr>
          <w:rFonts w:hint="eastAsia"/>
          <w:color w:val="auto"/>
          <w:sz w:val="28"/>
          <w:szCs w:val="24"/>
        </w:rPr>
        <w:t>，矿业权人</w:t>
      </w:r>
      <w:r>
        <w:rPr>
          <w:rFonts w:hint="eastAsia"/>
          <w:color w:val="auto"/>
          <w:sz w:val="28"/>
          <w:szCs w:val="24"/>
          <w:lang w:val="en-US" w:eastAsia="zh-CN"/>
        </w:rPr>
        <w:t>进行</w:t>
      </w:r>
      <w:r>
        <w:rPr>
          <w:rFonts w:hint="eastAsia"/>
          <w:color w:val="auto"/>
          <w:sz w:val="28"/>
          <w:szCs w:val="24"/>
        </w:rPr>
        <w:t>矿产资源开采作业前，应当按照矿业权出让合同以及相关标准、技术规范编制矿产资源开采方案。本矿山开采矿种为建筑用凝灰岩，主要为呼玛县基础设施及道路建设配套提供石料原料。为规范大兴安岭地区呼玛县JH项目鸥浦乡配套采石场矿产资源开发活动，科学合理、节约集约利用建筑用凝灰岩资源，为矿山生产运营及自然资源主管部门行政审批提供技术支撑，大兴安岭呼玛对俄经济贸易园区开发有限责任公司特委托黑龙江省水工环地质勘查技术服务有限责任公司编制《大兴安岭地区呼玛县 JH 项目鸥浦乡配套采石场建筑用凝灰岩矿开采方案》。</w:t>
      </w:r>
    </w:p>
    <w:p w14:paraId="399685FE">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13" w:name="_Toc7639"/>
      <w:r>
        <w:rPr>
          <w:rFonts w:hint="eastAsia" w:ascii="Times New Roman" w:hAnsi="Times New Roman" w:cs="Times New Roman" w:eastAsiaTheme="minorEastAsia"/>
          <w:color w:val="auto"/>
          <w:sz w:val="30"/>
          <w:szCs w:val="30"/>
          <w:highlight w:val="none"/>
          <w:lang w:val="en-US" w:eastAsia="zh-CN"/>
        </w:rPr>
        <w:t>二、</w:t>
      </w:r>
      <w:r>
        <w:rPr>
          <w:rFonts w:hint="default" w:ascii="Times New Roman" w:hAnsi="Times New Roman" w:cs="Times New Roman" w:eastAsiaTheme="minorEastAsia"/>
          <w:color w:val="auto"/>
          <w:sz w:val="30"/>
          <w:szCs w:val="30"/>
          <w:highlight w:val="none"/>
          <w:lang w:val="en-US" w:eastAsia="zh-CN"/>
        </w:rPr>
        <w:t>编制依据</w:t>
      </w:r>
      <w:bookmarkEnd w:id="13"/>
    </w:p>
    <w:p w14:paraId="18A07B5D">
      <w:pPr>
        <w:pStyle w:val="8"/>
        <w:pageBreakBefore w:val="0"/>
        <w:kinsoku w:val="0"/>
        <w:wordWrap/>
        <w:overflowPunct w:val="0"/>
        <w:bidi w:val="0"/>
        <w:spacing w:beforeLines="0" w:afterLines="0" w:line="426" w:lineRule="auto"/>
        <w:ind w:right="115" w:firstLine="638"/>
        <w:jc w:val="both"/>
        <w:rPr>
          <w:rFonts w:hint="eastAsia"/>
          <w:color w:val="auto"/>
          <w:sz w:val="28"/>
          <w:szCs w:val="24"/>
        </w:rPr>
      </w:pPr>
      <w:r>
        <w:rPr>
          <w:rFonts w:hint="eastAsia"/>
          <w:color w:val="auto"/>
          <w:sz w:val="28"/>
          <w:szCs w:val="24"/>
        </w:rPr>
        <w:t>本</w:t>
      </w:r>
      <w:r>
        <w:rPr>
          <w:rFonts w:hint="eastAsia"/>
          <w:color w:val="auto"/>
          <w:spacing w:val="-90"/>
          <w:sz w:val="28"/>
          <w:szCs w:val="24"/>
        </w:rPr>
        <w:t xml:space="preserve"> </w:t>
      </w:r>
      <w:r>
        <w:rPr>
          <w:rFonts w:hint="eastAsia"/>
          <w:color w:val="auto"/>
          <w:sz w:val="28"/>
          <w:szCs w:val="24"/>
        </w:rPr>
        <w:t>资</w:t>
      </w:r>
      <w:r>
        <w:rPr>
          <w:rFonts w:hint="eastAsia"/>
          <w:color w:val="auto"/>
          <w:spacing w:val="-88"/>
          <w:sz w:val="28"/>
          <w:szCs w:val="24"/>
        </w:rPr>
        <w:t xml:space="preserve"> </w:t>
      </w:r>
      <w:r>
        <w:rPr>
          <w:rFonts w:hint="eastAsia"/>
          <w:color w:val="auto"/>
          <w:sz w:val="28"/>
          <w:szCs w:val="24"/>
        </w:rPr>
        <w:t>源</w:t>
      </w:r>
      <w:r>
        <w:rPr>
          <w:rFonts w:hint="eastAsia"/>
          <w:color w:val="auto"/>
          <w:spacing w:val="-90"/>
          <w:sz w:val="28"/>
          <w:szCs w:val="24"/>
        </w:rPr>
        <w:t xml:space="preserve"> </w:t>
      </w:r>
      <w:r>
        <w:rPr>
          <w:rFonts w:hint="eastAsia"/>
          <w:color w:val="auto"/>
          <w:sz w:val="28"/>
          <w:szCs w:val="24"/>
        </w:rPr>
        <w:t>开</w:t>
      </w:r>
      <w:r>
        <w:rPr>
          <w:rFonts w:hint="eastAsia"/>
          <w:color w:val="auto"/>
          <w:spacing w:val="-90"/>
          <w:sz w:val="28"/>
          <w:szCs w:val="24"/>
        </w:rPr>
        <w:t xml:space="preserve"> </w:t>
      </w:r>
      <w:r>
        <w:rPr>
          <w:rFonts w:hint="eastAsia"/>
          <w:color w:val="auto"/>
          <w:sz w:val="28"/>
          <w:szCs w:val="24"/>
        </w:rPr>
        <w:t>采</w:t>
      </w:r>
      <w:r>
        <w:rPr>
          <w:rFonts w:hint="eastAsia"/>
          <w:color w:val="auto"/>
          <w:spacing w:val="-90"/>
          <w:sz w:val="28"/>
          <w:szCs w:val="24"/>
        </w:rPr>
        <w:t xml:space="preserve"> </w:t>
      </w:r>
      <w:r>
        <w:rPr>
          <w:rFonts w:hint="eastAsia"/>
          <w:color w:val="auto"/>
          <w:sz w:val="28"/>
          <w:szCs w:val="24"/>
        </w:rPr>
        <w:t>方</w:t>
      </w:r>
      <w:r>
        <w:rPr>
          <w:rFonts w:hint="eastAsia"/>
          <w:color w:val="auto"/>
          <w:spacing w:val="-90"/>
          <w:sz w:val="28"/>
          <w:szCs w:val="24"/>
        </w:rPr>
        <w:t xml:space="preserve"> </w:t>
      </w:r>
      <w:r>
        <w:rPr>
          <w:rFonts w:hint="eastAsia"/>
          <w:color w:val="auto"/>
          <w:sz w:val="28"/>
          <w:szCs w:val="24"/>
        </w:rPr>
        <w:t>案</w:t>
      </w:r>
      <w:r>
        <w:rPr>
          <w:rFonts w:hint="eastAsia"/>
          <w:color w:val="auto"/>
          <w:spacing w:val="-88"/>
          <w:sz w:val="28"/>
          <w:szCs w:val="24"/>
        </w:rPr>
        <w:t xml:space="preserve"> </w:t>
      </w:r>
      <w:r>
        <w:rPr>
          <w:rFonts w:hint="eastAsia"/>
          <w:color w:val="auto"/>
          <w:sz w:val="28"/>
          <w:szCs w:val="24"/>
        </w:rPr>
        <w:t>参</w:t>
      </w:r>
      <w:r>
        <w:rPr>
          <w:rFonts w:hint="eastAsia"/>
          <w:color w:val="auto"/>
          <w:spacing w:val="-90"/>
          <w:sz w:val="28"/>
          <w:szCs w:val="24"/>
        </w:rPr>
        <w:t xml:space="preserve"> </w:t>
      </w:r>
      <w:r>
        <w:rPr>
          <w:rFonts w:hint="eastAsia"/>
          <w:color w:val="auto"/>
          <w:sz w:val="28"/>
          <w:szCs w:val="24"/>
        </w:rPr>
        <w:t>照</w:t>
      </w:r>
      <w:r>
        <w:rPr>
          <w:rFonts w:hint="eastAsia"/>
          <w:color w:val="auto"/>
          <w:spacing w:val="-90"/>
          <w:sz w:val="28"/>
          <w:szCs w:val="24"/>
        </w:rPr>
        <w:t xml:space="preserve"> </w:t>
      </w:r>
      <w:r>
        <w:rPr>
          <w:rFonts w:hint="eastAsia"/>
          <w:color w:val="auto"/>
          <w:sz w:val="28"/>
          <w:szCs w:val="24"/>
        </w:rPr>
        <w:t>国</w:t>
      </w:r>
      <w:r>
        <w:rPr>
          <w:rFonts w:hint="eastAsia"/>
          <w:color w:val="auto"/>
          <w:spacing w:val="-88"/>
          <w:sz w:val="28"/>
          <w:szCs w:val="24"/>
        </w:rPr>
        <w:t xml:space="preserve"> </w:t>
      </w:r>
      <w:r>
        <w:rPr>
          <w:rFonts w:hint="eastAsia"/>
          <w:color w:val="auto"/>
          <w:sz w:val="28"/>
          <w:szCs w:val="24"/>
        </w:rPr>
        <w:t>家</w:t>
      </w:r>
      <w:r>
        <w:rPr>
          <w:rFonts w:hint="eastAsia"/>
          <w:color w:val="auto"/>
          <w:spacing w:val="-90"/>
          <w:sz w:val="28"/>
          <w:szCs w:val="24"/>
        </w:rPr>
        <w:t xml:space="preserve"> </w:t>
      </w:r>
      <w:r>
        <w:rPr>
          <w:rFonts w:hint="eastAsia"/>
          <w:color w:val="auto"/>
          <w:sz w:val="28"/>
          <w:szCs w:val="24"/>
        </w:rPr>
        <w:t>有</w:t>
      </w:r>
      <w:r>
        <w:rPr>
          <w:rFonts w:hint="eastAsia"/>
          <w:color w:val="auto"/>
          <w:spacing w:val="-90"/>
          <w:sz w:val="28"/>
          <w:szCs w:val="24"/>
        </w:rPr>
        <w:t xml:space="preserve"> </w:t>
      </w:r>
      <w:r>
        <w:rPr>
          <w:rFonts w:hint="eastAsia"/>
          <w:color w:val="auto"/>
          <w:sz w:val="28"/>
          <w:szCs w:val="24"/>
        </w:rPr>
        <w:t>关</w:t>
      </w:r>
      <w:r>
        <w:rPr>
          <w:rFonts w:hint="eastAsia"/>
          <w:color w:val="auto"/>
          <w:spacing w:val="-88"/>
          <w:sz w:val="28"/>
          <w:szCs w:val="24"/>
        </w:rPr>
        <w:t xml:space="preserve"> </w:t>
      </w:r>
      <w:r>
        <w:rPr>
          <w:rFonts w:hint="eastAsia"/>
          <w:color w:val="auto"/>
          <w:sz w:val="28"/>
          <w:szCs w:val="24"/>
        </w:rPr>
        <w:t>中</w:t>
      </w:r>
      <w:r>
        <w:rPr>
          <w:rFonts w:hint="eastAsia"/>
          <w:color w:val="auto"/>
          <w:spacing w:val="-90"/>
          <w:sz w:val="28"/>
          <w:szCs w:val="24"/>
        </w:rPr>
        <w:t xml:space="preserve"> </w:t>
      </w:r>
      <w:r>
        <w:rPr>
          <w:rFonts w:hint="eastAsia"/>
          <w:color w:val="auto"/>
          <w:sz w:val="28"/>
          <w:szCs w:val="24"/>
        </w:rPr>
        <w:t>小</w:t>
      </w:r>
      <w:r>
        <w:rPr>
          <w:rFonts w:hint="eastAsia"/>
          <w:color w:val="auto"/>
          <w:spacing w:val="-90"/>
          <w:sz w:val="28"/>
          <w:szCs w:val="24"/>
        </w:rPr>
        <w:t xml:space="preserve"> </w:t>
      </w:r>
      <w:r>
        <w:rPr>
          <w:rFonts w:hint="eastAsia"/>
          <w:color w:val="auto"/>
          <w:sz w:val="28"/>
          <w:szCs w:val="24"/>
        </w:rPr>
        <w:t>型</w:t>
      </w:r>
      <w:r>
        <w:rPr>
          <w:rFonts w:hint="eastAsia"/>
          <w:color w:val="auto"/>
          <w:spacing w:val="-88"/>
          <w:sz w:val="28"/>
          <w:szCs w:val="24"/>
        </w:rPr>
        <w:t xml:space="preserve"> </w:t>
      </w:r>
      <w:r>
        <w:rPr>
          <w:rFonts w:hint="eastAsia"/>
          <w:color w:val="auto"/>
          <w:sz w:val="28"/>
          <w:szCs w:val="24"/>
        </w:rPr>
        <w:t>矿</w:t>
      </w:r>
      <w:r>
        <w:rPr>
          <w:rFonts w:hint="eastAsia"/>
          <w:color w:val="auto"/>
          <w:spacing w:val="-90"/>
          <w:sz w:val="28"/>
          <w:szCs w:val="24"/>
        </w:rPr>
        <w:t xml:space="preserve"> </w:t>
      </w:r>
      <w:r>
        <w:rPr>
          <w:rFonts w:hint="eastAsia"/>
          <w:color w:val="auto"/>
          <w:sz w:val="28"/>
          <w:szCs w:val="24"/>
        </w:rPr>
        <w:t>山</w:t>
      </w:r>
      <w:r>
        <w:rPr>
          <w:rFonts w:hint="eastAsia"/>
          <w:color w:val="auto"/>
          <w:spacing w:val="-90"/>
          <w:sz w:val="28"/>
          <w:szCs w:val="24"/>
        </w:rPr>
        <w:t xml:space="preserve"> </w:t>
      </w:r>
      <w:r>
        <w:rPr>
          <w:rFonts w:hint="eastAsia"/>
          <w:color w:val="auto"/>
          <w:sz w:val="28"/>
          <w:szCs w:val="24"/>
        </w:rPr>
        <w:t>建</w:t>
      </w:r>
      <w:r>
        <w:rPr>
          <w:rFonts w:hint="eastAsia"/>
          <w:color w:val="auto"/>
          <w:spacing w:val="-88"/>
          <w:sz w:val="28"/>
          <w:szCs w:val="24"/>
        </w:rPr>
        <w:t xml:space="preserve"> </w:t>
      </w:r>
      <w:r>
        <w:rPr>
          <w:rFonts w:hint="eastAsia"/>
          <w:color w:val="auto"/>
          <w:sz w:val="28"/>
          <w:szCs w:val="24"/>
        </w:rPr>
        <w:t>设</w:t>
      </w:r>
      <w:r>
        <w:rPr>
          <w:rFonts w:hint="eastAsia"/>
          <w:color w:val="auto"/>
          <w:spacing w:val="-90"/>
          <w:sz w:val="28"/>
          <w:szCs w:val="24"/>
        </w:rPr>
        <w:t xml:space="preserve"> </w:t>
      </w:r>
      <w:r>
        <w:rPr>
          <w:rFonts w:hint="eastAsia"/>
          <w:color w:val="auto"/>
          <w:sz w:val="28"/>
          <w:szCs w:val="24"/>
        </w:rPr>
        <w:t>的</w:t>
      </w:r>
      <w:r>
        <w:rPr>
          <w:rFonts w:hint="eastAsia"/>
          <w:color w:val="auto"/>
          <w:spacing w:val="-90"/>
          <w:sz w:val="28"/>
          <w:szCs w:val="24"/>
        </w:rPr>
        <w:t xml:space="preserve"> </w:t>
      </w:r>
      <w:r>
        <w:rPr>
          <w:rFonts w:hint="eastAsia"/>
          <w:color w:val="auto"/>
          <w:sz w:val="28"/>
          <w:szCs w:val="24"/>
        </w:rPr>
        <w:t>相</w:t>
      </w:r>
      <w:r>
        <w:rPr>
          <w:rFonts w:hint="eastAsia"/>
          <w:color w:val="auto"/>
          <w:spacing w:val="-88"/>
          <w:sz w:val="28"/>
          <w:szCs w:val="24"/>
        </w:rPr>
        <w:t xml:space="preserve"> </w:t>
      </w:r>
      <w:r>
        <w:rPr>
          <w:rFonts w:hint="eastAsia"/>
          <w:color w:val="auto"/>
          <w:sz w:val="28"/>
          <w:szCs w:val="24"/>
        </w:rPr>
        <w:t>关</w:t>
      </w:r>
      <w:r>
        <w:rPr>
          <w:rFonts w:hint="eastAsia"/>
          <w:color w:val="auto"/>
          <w:spacing w:val="-90"/>
          <w:sz w:val="28"/>
          <w:szCs w:val="24"/>
        </w:rPr>
        <w:t xml:space="preserve"> </w:t>
      </w:r>
      <w:r>
        <w:rPr>
          <w:rFonts w:hint="eastAsia"/>
          <w:color w:val="auto"/>
          <w:sz w:val="28"/>
          <w:szCs w:val="24"/>
        </w:rPr>
        <w:t>规</w:t>
      </w:r>
      <w:r>
        <w:rPr>
          <w:rFonts w:hint="eastAsia"/>
          <w:color w:val="auto"/>
          <w:spacing w:val="-88"/>
          <w:sz w:val="28"/>
          <w:szCs w:val="24"/>
        </w:rPr>
        <w:t xml:space="preserve"> </w:t>
      </w:r>
      <w:r>
        <w:rPr>
          <w:rFonts w:hint="eastAsia"/>
          <w:color w:val="auto"/>
          <w:sz w:val="28"/>
          <w:szCs w:val="24"/>
        </w:rPr>
        <w:t>范和</w:t>
      </w:r>
      <w:r>
        <w:rPr>
          <w:rFonts w:hint="eastAsia"/>
          <w:color w:val="auto"/>
          <w:spacing w:val="-102"/>
          <w:sz w:val="28"/>
          <w:szCs w:val="24"/>
        </w:rPr>
        <w:t xml:space="preserve"> </w:t>
      </w:r>
      <w:r>
        <w:rPr>
          <w:rFonts w:hint="eastAsia"/>
          <w:color w:val="auto"/>
          <w:sz w:val="28"/>
          <w:szCs w:val="24"/>
        </w:rPr>
        <w:t>要</w:t>
      </w:r>
      <w:r>
        <w:rPr>
          <w:rFonts w:hint="eastAsia"/>
          <w:color w:val="auto"/>
          <w:spacing w:val="-102"/>
          <w:sz w:val="28"/>
          <w:szCs w:val="24"/>
        </w:rPr>
        <w:t xml:space="preserve"> </w:t>
      </w:r>
      <w:r>
        <w:rPr>
          <w:rFonts w:hint="eastAsia"/>
          <w:color w:val="auto"/>
          <w:sz w:val="28"/>
          <w:szCs w:val="24"/>
        </w:rPr>
        <w:t>求</w:t>
      </w:r>
      <w:r>
        <w:rPr>
          <w:rFonts w:hint="eastAsia"/>
          <w:color w:val="auto"/>
          <w:spacing w:val="-102"/>
          <w:sz w:val="28"/>
          <w:szCs w:val="24"/>
        </w:rPr>
        <w:t xml:space="preserve"> </w:t>
      </w:r>
      <w:r>
        <w:rPr>
          <w:rFonts w:hint="eastAsia"/>
          <w:color w:val="auto"/>
          <w:sz w:val="28"/>
          <w:szCs w:val="24"/>
        </w:rPr>
        <w:t>进</w:t>
      </w:r>
      <w:r>
        <w:rPr>
          <w:rFonts w:hint="eastAsia"/>
          <w:color w:val="auto"/>
          <w:spacing w:val="-105"/>
          <w:sz w:val="28"/>
          <w:szCs w:val="24"/>
        </w:rPr>
        <w:t xml:space="preserve"> </w:t>
      </w:r>
      <w:r>
        <w:rPr>
          <w:rFonts w:hint="eastAsia"/>
          <w:color w:val="auto"/>
          <w:sz w:val="28"/>
          <w:szCs w:val="24"/>
        </w:rPr>
        <w:t>行</w:t>
      </w:r>
      <w:r>
        <w:rPr>
          <w:rFonts w:hint="eastAsia"/>
          <w:color w:val="auto"/>
          <w:spacing w:val="-102"/>
          <w:sz w:val="28"/>
          <w:szCs w:val="24"/>
        </w:rPr>
        <w:t xml:space="preserve"> </w:t>
      </w:r>
      <w:r>
        <w:rPr>
          <w:rFonts w:hint="eastAsia"/>
          <w:color w:val="auto"/>
          <w:sz w:val="28"/>
          <w:szCs w:val="24"/>
        </w:rPr>
        <w:t>编</w:t>
      </w:r>
      <w:r>
        <w:rPr>
          <w:rFonts w:hint="eastAsia"/>
          <w:color w:val="auto"/>
          <w:spacing w:val="-102"/>
          <w:sz w:val="28"/>
          <w:szCs w:val="24"/>
        </w:rPr>
        <w:t xml:space="preserve"> </w:t>
      </w:r>
      <w:r>
        <w:rPr>
          <w:rFonts w:hint="eastAsia"/>
          <w:color w:val="auto"/>
          <w:sz w:val="28"/>
          <w:szCs w:val="24"/>
        </w:rPr>
        <w:t>制</w:t>
      </w:r>
      <w:r>
        <w:rPr>
          <w:rFonts w:hint="eastAsia"/>
          <w:color w:val="auto"/>
          <w:spacing w:val="-102"/>
          <w:sz w:val="28"/>
          <w:szCs w:val="24"/>
        </w:rPr>
        <w:t xml:space="preserve"> </w:t>
      </w:r>
      <w:r>
        <w:rPr>
          <w:rFonts w:hint="eastAsia"/>
          <w:color w:val="auto"/>
          <w:sz w:val="28"/>
          <w:szCs w:val="24"/>
        </w:rPr>
        <w:t>，</w:t>
      </w:r>
      <w:r>
        <w:rPr>
          <w:rFonts w:hint="eastAsia"/>
          <w:color w:val="auto"/>
          <w:spacing w:val="-102"/>
          <w:sz w:val="28"/>
          <w:szCs w:val="24"/>
        </w:rPr>
        <w:t xml:space="preserve"> </w:t>
      </w:r>
      <w:r>
        <w:rPr>
          <w:rFonts w:hint="eastAsia"/>
          <w:color w:val="auto"/>
          <w:sz w:val="28"/>
          <w:szCs w:val="24"/>
        </w:rPr>
        <w:t>其</w:t>
      </w:r>
      <w:r>
        <w:rPr>
          <w:rFonts w:hint="eastAsia"/>
          <w:color w:val="auto"/>
          <w:spacing w:val="-102"/>
          <w:sz w:val="28"/>
          <w:szCs w:val="24"/>
        </w:rPr>
        <w:t xml:space="preserve"> </w:t>
      </w:r>
      <w:r>
        <w:rPr>
          <w:rFonts w:hint="eastAsia"/>
          <w:color w:val="auto"/>
          <w:sz w:val="28"/>
          <w:szCs w:val="24"/>
        </w:rPr>
        <w:t>编</w:t>
      </w:r>
      <w:r>
        <w:rPr>
          <w:rFonts w:hint="eastAsia"/>
          <w:color w:val="auto"/>
          <w:spacing w:val="-102"/>
          <w:sz w:val="28"/>
          <w:szCs w:val="24"/>
        </w:rPr>
        <w:t xml:space="preserve"> </w:t>
      </w:r>
      <w:r>
        <w:rPr>
          <w:rFonts w:hint="eastAsia"/>
          <w:color w:val="auto"/>
          <w:sz w:val="28"/>
          <w:szCs w:val="24"/>
        </w:rPr>
        <w:t>制</w:t>
      </w:r>
      <w:r>
        <w:rPr>
          <w:rFonts w:hint="eastAsia"/>
          <w:color w:val="auto"/>
          <w:spacing w:val="-105"/>
          <w:sz w:val="28"/>
          <w:szCs w:val="24"/>
        </w:rPr>
        <w:t xml:space="preserve"> </w:t>
      </w:r>
      <w:r>
        <w:rPr>
          <w:rFonts w:hint="eastAsia"/>
          <w:color w:val="auto"/>
          <w:sz w:val="28"/>
          <w:szCs w:val="24"/>
        </w:rPr>
        <w:t>依</w:t>
      </w:r>
      <w:r>
        <w:rPr>
          <w:rFonts w:hint="eastAsia"/>
          <w:color w:val="auto"/>
          <w:spacing w:val="-102"/>
          <w:sz w:val="28"/>
          <w:szCs w:val="24"/>
        </w:rPr>
        <w:t xml:space="preserve"> </w:t>
      </w:r>
      <w:r>
        <w:rPr>
          <w:rFonts w:hint="eastAsia"/>
          <w:color w:val="auto"/>
          <w:sz w:val="28"/>
          <w:szCs w:val="24"/>
        </w:rPr>
        <w:t>据</w:t>
      </w:r>
      <w:r>
        <w:rPr>
          <w:rFonts w:hint="eastAsia"/>
          <w:color w:val="auto"/>
          <w:spacing w:val="-102"/>
          <w:sz w:val="28"/>
          <w:szCs w:val="24"/>
        </w:rPr>
        <w:t xml:space="preserve"> </w:t>
      </w:r>
      <w:r>
        <w:rPr>
          <w:rFonts w:hint="eastAsia"/>
          <w:color w:val="auto"/>
          <w:sz w:val="28"/>
          <w:szCs w:val="24"/>
        </w:rPr>
        <w:t>如</w:t>
      </w:r>
      <w:r>
        <w:rPr>
          <w:rFonts w:hint="eastAsia"/>
          <w:color w:val="auto"/>
          <w:spacing w:val="-102"/>
          <w:sz w:val="28"/>
          <w:szCs w:val="24"/>
        </w:rPr>
        <w:t xml:space="preserve"> </w:t>
      </w:r>
      <w:r>
        <w:rPr>
          <w:rFonts w:hint="eastAsia"/>
          <w:color w:val="auto"/>
          <w:sz w:val="28"/>
          <w:szCs w:val="24"/>
        </w:rPr>
        <w:t>下</w:t>
      </w:r>
      <w:r>
        <w:rPr>
          <w:rFonts w:hint="eastAsia"/>
          <w:color w:val="auto"/>
          <w:spacing w:val="-102"/>
          <w:sz w:val="28"/>
          <w:szCs w:val="24"/>
        </w:rPr>
        <w:t xml:space="preserve"> </w:t>
      </w:r>
      <w:r>
        <w:rPr>
          <w:rFonts w:hint="eastAsia"/>
          <w:color w:val="auto"/>
          <w:sz w:val="28"/>
          <w:szCs w:val="24"/>
        </w:rPr>
        <w:t>：</w:t>
      </w:r>
    </w:p>
    <w:p w14:paraId="4F2E87FB">
      <w:pPr>
        <w:pageBreakBefore w:val="0"/>
        <w:kinsoku/>
        <w:wordWrap/>
        <w:overflowPunct/>
        <w:topLinePunct w:val="0"/>
        <w:bidi w:val="0"/>
        <w:spacing w:line="360" w:lineRule="auto"/>
        <w:ind w:firstLine="562" w:firstLineChars="200"/>
        <w:rPr>
          <w:rFonts w:hint="eastAsia" w:ascii="Times New Roman" w:hAnsi="Times New Roman" w:cs="Times New Roman" w:eastAsiaTheme="minorEastAsia"/>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1</w:t>
      </w:r>
      <w:r>
        <w:rPr>
          <w:rFonts w:hint="eastAsia" w:ascii="Times New Roman" w:hAnsi="Times New Roman" w:cs="Times New Roman" w:eastAsiaTheme="minorEastAsia"/>
          <w:b/>
          <w:bCs/>
          <w:color w:val="auto"/>
          <w:sz w:val="28"/>
          <w:szCs w:val="28"/>
          <w:highlight w:val="none"/>
          <w:lang w:val="en-US" w:eastAsia="zh-CN"/>
        </w:rPr>
        <w:t>、法律法规及相关文件</w:t>
      </w:r>
    </w:p>
    <w:p w14:paraId="29C228BC">
      <w:pPr>
        <w:pageBreakBefore w:val="0"/>
        <w:kinsoku w:val="0"/>
        <w:wordWrap/>
        <w:overflowPunct w:val="0"/>
        <w:bidi w:val="0"/>
        <w:spacing w:beforeLines="0" w:afterLines="0" w:line="200" w:lineRule="exact"/>
        <w:rPr>
          <w:rFonts w:hint="default"/>
          <w:color w:val="auto"/>
          <w:sz w:val="20"/>
          <w:szCs w:val="24"/>
        </w:rPr>
      </w:pPr>
    </w:p>
    <w:p w14:paraId="4A511E0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1</w:t>
      </w:r>
      <w:r>
        <w:rPr>
          <w:rFonts w:hint="eastAsia" w:ascii="Times New Roman" w:hAnsi="Times New Roman" w:cs="Times New Roman" w:eastAsiaTheme="minorEastAsia"/>
          <w:color w:val="auto"/>
          <w:sz w:val="28"/>
          <w:szCs w:val="28"/>
          <w:lang w:eastAsia="zh-CN"/>
        </w:rPr>
        <w:t>）</w:t>
      </w:r>
      <w:r>
        <w:rPr>
          <w:rFonts w:hint="eastAsia" w:ascii="Times New Roman" w:hAnsi="Times New Roman" w:cs="Times New Roman" w:eastAsiaTheme="minorEastAsia"/>
          <w:color w:val="auto"/>
          <w:sz w:val="28"/>
          <w:szCs w:val="28"/>
        </w:rPr>
        <w:t>《中华人民共和国矿产资源法》</w:t>
      </w:r>
      <w:r>
        <w:rPr>
          <w:rFonts w:hint="default" w:ascii="Times New Roman" w:hAnsi="Times New Roman" w:cs="Times New Roman" w:eastAsiaTheme="minorEastAsia"/>
          <w:color w:val="auto"/>
          <w:sz w:val="28"/>
          <w:szCs w:val="28"/>
        </w:rPr>
        <w:t>（2024 年 11 月 8 日第十四届全国人大常委会第十二次会议修订，2025 年 7 月 1 日施行）</w:t>
      </w:r>
      <w:r>
        <w:rPr>
          <w:rFonts w:hint="eastAsia" w:ascii="Times New Roman" w:hAnsi="Times New Roman" w:cs="Times New Roman" w:eastAsiaTheme="minorEastAsia"/>
          <w:color w:val="auto"/>
          <w:sz w:val="28"/>
          <w:szCs w:val="28"/>
        </w:rPr>
        <w:t>；</w:t>
      </w:r>
    </w:p>
    <w:p w14:paraId="4C60596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2</w:t>
      </w:r>
      <w:r>
        <w:rPr>
          <w:rFonts w:hint="eastAsia" w:ascii="Times New Roman" w:hAnsi="Times New Roman" w:cs="Times New Roman" w:eastAsiaTheme="minorEastAsia"/>
          <w:color w:val="auto"/>
          <w:sz w:val="28"/>
          <w:szCs w:val="28"/>
          <w:lang w:eastAsia="zh-CN"/>
        </w:rPr>
        <w:t>）</w:t>
      </w:r>
      <w:r>
        <w:rPr>
          <w:rFonts w:hint="eastAsia" w:ascii="Times New Roman" w:hAnsi="Times New Roman" w:cs="Times New Roman" w:eastAsiaTheme="minorEastAsia"/>
          <w:color w:val="auto"/>
          <w:sz w:val="28"/>
          <w:szCs w:val="28"/>
        </w:rPr>
        <w:t>《矿产资源开采登记管理办法》（国务院令第</w:t>
      </w:r>
      <w:r>
        <w:rPr>
          <w:rFonts w:hint="default" w:ascii="Times New Roman" w:hAnsi="Times New Roman" w:cs="Times New Roman" w:eastAsiaTheme="minorEastAsia"/>
          <w:color w:val="auto"/>
          <w:sz w:val="28"/>
          <w:szCs w:val="28"/>
        </w:rPr>
        <w:t>241</w:t>
      </w:r>
      <w:r>
        <w:rPr>
          <w:rFonts w:hint="eastAsia" w:ascii="Times New Roman" w:hAnsi="Times New Roman" w:cs="Times New Roman" w:eastAsiaTheme="minorEastAsia"/>
          <w:color w:val="auto"/>
          <w:sz w:val="28"/>
          <w:szCs w:val="28"/>
        </w:rPr>
        <w:t>号</w:t>
      </w:r>
      <w:r>
        <w:rPr>
          <w:rFonts w:hint="eastAsia" w:ascii="Times New Roman" w:hAnsi="Times New Roman" w:cs="Times New Roman"/>
          <w:color w:val="auto"/>
          <w:sz w:val="28"/>
          <w:szCs w:val="28"/>
          <w:lang w:eastAsia="zh-CN"/>
        </w:rPr>
        <w:t>，</w:t>
      </w:r>
      <w:r>
        <w:rPr>
          <w:rFonts w:hint="default" w:ascii="Times New Roman" w:hAnsi="Times New Roman" w:cs="Times New Roman" w:eastAsiaTheme="minorEastAsia"/>
          <w:color w:val="auto"/>
          <w:sz w:val="28"/>
          <w:szCs w:val="28"/>
        </w:rPr>
        <w:t>2014 年 7 月 29 日</w:t>
      </w:r>
      <w:r>
        <w:rPr>
          <w:rFonts w:hint="eastAsia" w:ascii="Times New Roman" w:hAnsi="Times New Roman" w:cs="Times New Roman" w:eastAsiaTheme="minorEastAsia"/>
          <w:color w:val="auto"/>
          <w:sz w:val="28"/>
          <w:szCs w:val="28"/>
          <w:lang w:val="en-US" w:eastAsia="zh-CN"/>
        </w:rPr>
        <w:t>修订</w:t>
      </w:r>
      <w:r>
        <w:rPr>
          <w:rFonts w:hint="eastAsia" w:ascii="Times New Roman" w:hAnsi="Times New Roman" w:cs="Times New Roman" w:eastAsiaTheme="minorEastAsia"/>
          <w:color w:val="auto"/>
          <w:sz w:val="28"/>
          <w:szCs w:val="28"/>
        </w:rPr>
        <w:t>）；</w:t>
      </w:r>
    </w:p>
    <w:p w14:paraId="13DB717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3</w:t>
      </w:r>
      <w:r>
        <w:rPr>
          <w:rFonts w:hint="eastAsia" w:ascii="Times New Roman" w:hAnsi="Times New Roman" w:cs="Times New Roman" w:eastAsiaTheme="minorEastAsia"/>
          <w:color w:val="auto"/>
          <w:sz w:val="28"/>
          <w:szCs w:val="28"/>
          <w:lang w:eastAsia="zh-CN"/>
        </w:rPr>
        <w:t>）</w:t>
      </w:r>
      <w:r>
        <w:rPr>
          <w:rFonts w:hint="eastAsia" w:ascii="Times New Roman" w:hAnsi="Times New Roman" w:cs="Times New Roman" w:eastAsiaTheme="minorEastAsia"/>
          <w:color w:val="auto"/>
          <w:sz w:val="28"/>
          <w:szCs w:val="28"/>
        </w:rPr>
        <w:t>《中共中央办公厅国务院办公厅关于进一步加强矿山安全生产工作的意见》（</w:t>
      </w:r>
      <w:r>
        <w:rPr>
          <w:rFonts w:hint="default" w:ascii="Times New Roman" w:hAnsi="Times New Roman" w:cs="Times New Roman" w:eastAsiaTheme="minorEastAsia"/>
          <w:color w:val="auto"/>
          <w:sz w:val="28"/>
          <w:szCs w:val="28"/>
        </w:rPr>
        <w:t>2023</w:t>
      </w:r>
      <w:r>
        <w:rPr>
          <w:rFonts w:hint="eastAsia" w:ascii="Times New Roman" w:hAnsi="Times New Roman" w:cs="Times New Roman" w:eastAsiaTheme="minorEastAsia"/>
          <w:color w:val="auto"/>
          <w:sz w:val="28"/>
          <w:szCs w:val="28"/>
        </w:rPr>
        <w:t>年</w:t>
      </w:r>
      <w:r>
        <w:rPr>
          <w:rFonts w:hint="default" w:ascii="Times New Roman" w:hAnsi="Times New Roman" w:cs="Times New Roman" w:eastAsiaTheme="minorEastAsia"/>
          <w:color w:val="auto"/>
          <w:sz w:val="28"/>
          <w:szCs w:val="28"/>
        </w:rPr>
        <w:t>9</w:t>
      </w:r>
      <w:r>
        <w:rPr>
          <w:rFonts w:hint="eastAsia" w:ascii="Times New Roman" w:hAnsi="Times New Roman" w:cs="Times New Roman" w:eastAsiaTheme="minorEastAsia"/>
          <w:color w:val="auto"/>
          <w:sz w:val="28"/>
          <w:szCs w:val="28"/>
        </w:rPr>
        <w:t>月</w:t>
      </w:r>
      <w:r>
        <w:rPr>
          <w:rFonts w:hint="default" w:ascii="Times New Roman" w:hAnsi="Times New Roman" w:cs="Times New Roman" w:eastAsiaTheme="minorEastAsia"/>
          <w:color w:val="auto"/>
          <w:sz w:val="28"/>
          <w:szCs w:val="28"/>
        </w:rPr>
        <w:t>6</w:t>
      </w:r>
      <w:r>
        <w:rPr>
          <w:rFonts w:hint="eastAsia" w:ascii="Times New Roman" w:hAnsi="Times New Roman" w:cs="Times New Roman" w:eastAsiaTheme="minorEastAsia"/>
          <w:color w:val="auto"/>
          <w:sz w:val="28"/>
          <w:szCs w:val="28"/>
        </w:rPr>
        <w:t>日）；</w:t>
      </w:r>
    </w:p>
    <w:p w14:paraId="6473956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4</w:t>
      </w:r>
      <w:r>
        <w:rPr>
          <w:rFonts w:hint="eastAsia" w:ascii="Times New Roman" w:hAnsi="Times New Roman" w:cs="Times New Roman" w:eastAsiaTheme="minorEastAsia"/>
          <w:color w:val="auto"/>
          <w:sz w:val="28"/>
          <w:szCs w:val="28"/>
          <w:lang w:eastAsia="zh-CN"/>
        </w:rPr>
        <w:t>）</w:t>
      </w:r>
      <w:r>
        <w:rPr>
          <w:rFonts w:hint="eastAsia" w:ascii="Times New Roman" w:hAnsi="Times New Roman" w:cs="Times New Roman" w:eastAsiaTheme="minorEastAsia"/>
          <w:color w:val="auto"/>
          <w:sz w:val="28"/>
          <w:szCs w:val="28"/>
        </w:rPr>
        <w:t>《黑龙江省黑土地保护利用条例》（黑龙江省人大及其常委会</w:t>
      </w:r>
      <w:r>
        <w:rPr>
          <w:rFonts w:hint="default" w:ascii="Times New Roman" w:hAnsi="Times New Roman" w:cs="Times New Roman" w:eastAsiaTheme="minorEastAsia"/>
          <w:color w:val="auto"/>
          <w:sz w:val="28"/>
          <w:szCs w:val="28"/>
        </w:rPr>
        <w:t>2021</w:t>
      </w:r>
      <w:r>
        <w:rPr>
          <w:rFonts w:hint="eastAsia" w:ascii="Times New Roman" w:hAnsi="Times New Roman" w:cs="Times New Roman" w:eastAsiaTheme="minorEastAsia"/>
          <w:color w:val="auto"/>
          <w:sz w:val="28"/>
          <w:szCs w:val="28"/>
        </w:rPr>
        <w:t>年</w:t>
      </w:r>
      <w:r>
        <w:rPr>
          <w:rFonts w:hint="default" w:ascii="Times New Roman" w:hAnsi="Times New Roman" w:cs="Times New Roman" w:eastAsiaTheme="minorEastAsia"/>
          <w:color w:val="auto"/>
          <w:sz w:val="28"/>
          <w:szCs w:val="28"/>
        </w:rPr>
        <w:t>12</w:t>
      </w:r>
      <w:r>
        <w:rPr>
          <w:rFonts w:hint="eastAsia" w:ascii="Times New Roman" w:hAnsi="Times New Roman" w:cs="Times New Roman" w:eastAsiaTheme="minorEastAsia"/>
          <w:color w:val="auto"/>
          <w:sz w:val="28"/>
          <w:szCs w:val="28"/>
        </w:rPr>
        <w:t>月</w:t>
      </w:r>
      <w:r>
        <w:rPr>
          <w:rFonts w:hint="default" w:ascii="Times New Roman" w:hAnsi="Times New Roman" w:cs="Times New Roman" w:eastAsiaTheme="minorEastAsia"/>
          <w:color w:val="auto"/>
          <w:sz w:val="28"/>
          <w:szCs w:val="28"/>
        </w:rPr>
        <w:t>24</w:t>
      </w:r>
      <w:r>
        <w:rPr>
          <w:rFonts w:hint="eastAsia" w:ascii="Times New Roman" w:hAnsi="Times New Roman" w:cs="Times New Roman" w:eastAsiaTheme="minorEastAsia"/>
          <w:color w:val="auto"/>
          <w:sz w:val="28"/>
          <w:szCs w:val="28"/>
        </w:rPr>
        <w:t>日）；</w:t>
      </w:r>
    </w:p>
    <w:p w14:paraId="5A431A1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5</w:t>
      </w:r>
      <w:r>
        <w:rPr>
          <w:rFonts w:hint="eastAsia" w:ascii="Times New Roman" w:hAnsi="Times New Roman" w:cs="Times New Roman" w:eastAsiaTheme="minorEastAsia"/>
          <w:color w:val="auto"/>
          <w:sz w:val="28"/>
          <w:szCs w:val="28"/>
          <w:lang w:eastAsia="zh-CN"/>
        </w:rPr>
        <w:t>）</w:t>
      </w:r>
      <w:r>
        <w:rPr>
          <w:rFonts w:hint="eastAsia" w:ascii="Times New Roman" w:hAnsi="Times New Roman" w:cs="Times New Roman" w:eastAsiaTheme="minorEastAsia"/>
          <w:color w:val="auto"/>
          <w:sz w:val="28"/>
          <w:szCs w:val="28"/>
        </w:rPr>
        <w:t>《自然资源部农业农村部关于加强和改进永久基本农田保护工作的通知》（自然资规〔</w:t>
      </w:r>
      <w:r>
        <w:rPr>
          <w:rFonts w:hint="default" w:ascii="Times New Roman" w:hAnsi="Times New Roman" w:cs="Times New Roman" w:eastAsiaTheme="minorEastAsia"/>
          <w:color w:val="auto"/>
          <w:sz w:val="28"/>
          <w:szCs w:val="28"/>
        </w:rPr>
        <w:t>2019</w:t>
      </w:r>
      <w:r>
        <w:rPr>
          <w:rFonts w:hint="eastAsia" w:ascii="Times New Roman" w:hAnsi="Times New Roman" w:cs="Times New Roman" w:eastAsiaTheme="minorEastAsia"/>
          <w:color w:val="auto"/>
          <w:sz w:val="28"/>
          <w:szCs w:val="28"/>
        </w:rPr>
        <w:t>〕</w:t>
      </w:r>
      <w:r>
        <w:rPr>
          <w:rFonts w:hint="default" w:ascii="Times New Roman" w:hAnsi="Times New Roman" w:cs="Times New Roman" w:eastAsiaTheme="minorEastAsia"/>
          <w:color w:val="auto"/>
          <w:sz w:val="28"/>
          <w:szCs w:val="28"/>
        </w:rPr>
        <w:t>1</w:t>
      </w:r>
      <w:r>
        <w:rPr>
          <w:rFonts w:hint="eastAsia" w:ascii="Times New Roman" w:hAnsi="Times New Roman" w:cs="Times New Roman" w:eastAsiaTheme="minorEastAsia"/>
          <w:color w:val="auto"/>
          <w:sz w:val="28"/>
          <w:szCs w:val="28"/>
        </w:rPr>
        <w:t>号）；</w:t>
      </w:r>
    </w:p>
    <w:p w14:paraId="16A0496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6</w:t>
      </w:r>
      <w:r>
        <w:rPr>
          <w:rFonts w:hint="eastAsia" w:ascii="Times New Roman" w:hAnsi="Times New Roman" w:cs="Times New Roman" w:eastAsiaTheme="minorEastAsia"/>
          <w:color w:val="auto"/>
          <w:sz w:val="28"/>
          <w:szCs w:val="28"/>
          <w:lang w:eastAsia="zh-CN"/>
        </w:rPr>
        <w:t>）</w:t>
      </w:r>
      <w:r>
        <w:rPr>
          <w:rFonts w:hint="eastAsia" w:ascii="Times New Roman" w:hAnsi="Times New Roman" w:cs="Times New Roman" w:eastAsiaTheme="minorEastAsia"/>
          <w:color w:val="auto"/>
          <w:sz w:val="28"/>
          <w:szCs w:val="28"/>
        </w:rPr>
        <w:t>《自然资源部关于进一步完善矿产资源勘查开采登记管理的通知》（自然资规〔</w:t>
      </w:r>
      <w:r>
        <w:rPr>
          <w:rFonts w:hint="default" w:ascii="Times New Roman" w:hAnsi="Times New Roman" w:cs="Times New Roman" w:eastAsiaTheme="minorEastAsia"/>
          <w:color w:val="auto"/>
          <w:sz w:val="28"/>
          <w:szCs w:val="28"/>
        </w:rPr>
        <w:t>2023</w:t>
      </w:r>
      <w:r>
        <w:rPr>
          <w:rFonts w:hint="eastAsia" w:ascii="Times New Roman" w:hAnsi="Times New Roman" w:cs="Times New Roman" w:eastAsiaTheme="minorEastAsia"/>
          <w:color w:val="auto"/>
          <w:sz w:val="28"/>
          <w:szCs w:val="28"/>
        </w:rPr>
        <w:t>〕</w:t>
      </w:r>
      <w:r>
        <w:rPr>
          <w:rFonts w:hint="default" w:ascii="Times New Roman" w:hAnsi="Times New Roman" w:cs="Times New Roman" w:eastAsiaTheme="minorEastAsia"/>
          <w:color w:val="auto"/>
          <w:sz w:val="28"/>
          <w:szCs w:val="28"/>
        </w:rPr>
        <w:t>4</w:t>
      </w:r>
      <w:r>
        <w:rPr>
          <w:rFonts w:hint="eastAsia" w:ascii="Times New Roman" w:hAnsi="Times New Roman" w:cs="Times New Roman" w:eastAsiaTheme="minorEastAsia"/>
          <w:color w:val="auto"/>
          <w:sz w:val="28"/>
          <w:szCs w:val="28"/>
        </w:rPr>
        <w:t>号）；</w:t>
      </w:r>
    </w:p>
    <w:p w14:paraId="67ABEF2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7</w:t>
      </w:r>
      <w:r>
        <w:rPr>
          <w:rFonts w:hint="eastAsia" w:ascii="Times New Roman" w:hAnsi="Times New Roman" w:cs="Times New Roman" w:eastAsiaTheme="minorEastAsia"/>
          <w:color w:val="auto"/>
          <w:sz w:val="28"/>
          <w:szCs w:val="28"/>
          <w:lang w:eastAsia="zh-CN"/>
        </w:rPr>
        <w:t>）</w:t>
      </w:r>
      <w:r>
        <w:rPr>
          <w:rFonts w:hint="eastAsia" w:ascii="Times New Roman" w:hAnsi="Times New Roman" w:cs="Times New Roman" w:eastAsiaTheme="minorEastAsia"/>
          <w:color w:val="auto"/>
          <w:sz w:val="28"/>
          <w:szCs w:val="28"/>
        </w:rPr>
        <w:t>《自然资源部关于深化矿产资源管理改革若干事项的意见》（自然资规〔</w:t>
      </w:r>
      <w:r>
        <w:rPr>
          <w:rFonts w:hint="default" w:ascii="Times New Roman" w:hAnsi="Times New Roman" w:cs="Times New Roman" w:eastAsiaTheme="minorEastAsia"/>
          <w:color w:val="auto"/>
          <w:sz w:val="28"/>
          <w:szCs w:val="28"/>
        </w:rPr>
        <w:t>2023</w:t>
      </w:r>
      <w:r>
        <w:rPr>
          <w:rFonts w:hint="eastAsia" w:ascii="Times New Roman" w:hAnsi="Times New Roman" w:cs="Times New Roman" w:eastAsiaTheme="minorEastAsia"/>
          <w:color w:val="auto"/>
          <w:sz w:val="28"/>
          <w:szCs w:val="28"/>
        </w:rPr>
        <w:t>〕</w:t>
      </w:r>
      <w:r>
        <w:rPr>
          <w:rFonts w:hint="default" w:ascii="Times New Roman" w:hAnsi="Times New Roman" w:cs="Times New Roman" w:eastAsiaTheme="minorEastAsia"/>
          <w:color w:val="auto"/>
          <w:sz w:val="28"/>
          <w:szCs w:val="28"/>
        </w:rPr>
        <w:t>6</w:t>
      </w:r>
      <w:r>
        <w:rPr>
          <w:rFonts w:hint="eastAsia" w:ascii="Times New Roman" w:hAnsi="Times New Roman" w:cs="Times New Roman" w:eastAsiaTheme="minorEastAsia"/>
          <w:color w:val="auto"/>
          <w:sz w:val="28"/>
          <w:szCs w:val="28"/>
        </w:rPr>
        <w:t>号）；</w:t>
      </w:r>
    </w:p>
    <w:p w14:paraId="5E0B849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8</w:t>
      </w:r>
      <w:r>
        <w:rPr>
          <w:rFonts w:hint="eastAsia" w:ascii="Times New Roman" w:hAnsi="Times New Roman" w:cs="Times New Roman" w:eastAsiaTheme="minorEastAsia"/>
          <w:color w:val="auto"/>
          <w:sz w:val="28"/>
          <w:szCs w:val="28"/>
          <w:lang w:eastAsia="zh-CN"/>
        </w:rPr>
        <w:t>）</w:t>
      </w:r>
      <w:r>
        <w:rPr>
          <w:rFonts w:hint="eastAsia" w:ascii="Times New Roman" w:hAnsi="Times New Roman" w:cs="Times New Roman" w:eastAsiaTheme="minorEastAsia"/>
          <w:color w:val="auto"/>
          <w:sz w:val="28"/>
          <w:szCs w:val="28"/>
        </w:rPr>
        <w:t>《自然资源部生态环境部财政部国家市场监督管理总局国家金融监督管理总局中国证券监督管理委员会国家林业和草原局关于进一步加强绿色矿山建设的通知》（自然资规〔</w:t>
      </w:r>
      <w:r>
        <w:rPr>
          <w:rFonts w:hint="default" w:ascii="Times New Roman" w:hAnsi="Times New Roman" w:cs="Times New Roman" w:eastAsiaTheme="minorEastAsia"/>
          <w:color w:val="auto"/>
          <w:sz w:val="28"/>
          <w:szCs w:val="28"/>
        </w:rPr>
        <w:t>2024</w:t>
      </w:r>
      <w:r>
        <w:rPr>
          <w:rFonts w:hint="eastAsia" w:ascii="Times New Roman" w:hAnsi="Times New Roman" w:cs="Times New Roman" w:eastAsiaTheme="minorEastAsia"/>
          <w:color w:val="auto"/>
          <w:sz w:val="28"/>
          <w:szCs w:val="28"/>
        </w:rPr>
        <w:t>〕</w:t>
      </w:r>
      <w:r>
        <w:rPr>
          <w:rFonts w:hint="default" w:ascii="Times New Roman" w:hAnsi="Times New Roman" w:cs="Times New Roman" w:eastAsiaTheme="minorEastAsia"/>
          <w:color w:val="auto"/>
          <w:sz w:val="28"/>
          <w:szCs w:val="28"/>
        </w:rPr>
        <w:t>1</w:t>
      </w:r>
      <w:r>
        <w:rPr>
          <w:rFonts w:hint="eastAsia" w:ascii="Times New Roman" w:hAnsi="Times New Roman" w:cs="Times New Roman" w:eastAsiaTheme="minorEastAsia"/>
          <w:color w:val="auto"/>
          <w:sz w:val="28"/>
          <w:szCs w:val="28"/>
        </w:rPr>
        <w:t>号）；</w:t>
      </w:r>
    </w:p>
    <w:p w14:paraId="5F3BFCC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9</w:t>
      </w:r>
      <w:r>
        <w:rPr>
          <w:rFonts w:hint="eastAsia" w:ascii="Times New Roman" w:hAnsi="Times New Roman" w:cs="Times New Roman" w:eastAsiaTheme="minorEastAsia"/>
          <w:color w:val="auto"/>
          <w:sz w:val="28"/>
          <w:szCs w:val="28"/>
          <w:lang w:eastAsia="zh-CN"/>
        </w:rPr>
        <w:t>）</w:t>
      </w:r>
      <w:r>
        <w:rPr>
          <w:rFonts w:hint="eastAsia" w:ascii="Times New Roman" w:hAnsi="Times New Roman" w:cs="Times New Roman" w:eastAsiaTheme="minorEastAsia"/>
          <w:color w:val="auto"/>
          <w:sz w:val="28"/>
          <w:szCs w:val="28"/>
        </w:rPr>
        <w:t>《关于调整部分矿种矿山生产建设规模标准的通知》（国土资发〔</w:t>
      </w:r>
      <w:r>
        <w:rPr>
          <w:rFonts w:hint="default" w:ascii="Times New Roman" w:hAnsi="Times New Roman" w:cs="Times New Roman" w:eastAsiaTheme="minorEastAsia"/>
          <w:color w:val="auto"/>
          <w:sz w:val="28"/>
          <w:szCs w:val="28"/>
        </w:rPr>
        <w:t>2004</w:t>
      </w:r>
      <w:r>
        <w:rPr>
          <w:rFonts w:hint="eastAsia" w:ascii="Times New Roman" w:hAnsi="Times New Roman" w:cs="Times New Roman" w:eastAsiaTheme="minorEastAsia"/>
          <w:color w:val="auto"/>
          <w:sz w:val="28"/>
          <w:szCs w:val="28"/>
        </w:rPr>
        <w:t>〕</w:t>
      </w:r>
      <w:r>
        <w:rPr>
          <w:rFonts w:hint="default" w:ascii="Times New Roman" w:hAnsi="Times New Roman" w:cs="Times New Roman" w:eastAsiaTheme="minorEastAsia"/>
          <w:color w:val="auto"/>
          <w:sz w:val="28"/>
          <w:szCs w:val="28"/>
        </w:rPr>
        <w:t>208</w:t>
      </w:r>
      <w:r>
        <w:rPr>
          <w:rFonts w:hint="eastAsia" w:ascii="Times New Roman" w:hAnsi="Times New Roman" w:cs="Times New Roman" w:eastAsiaTheme="minorEastAsia"/>
          <w:color w:val="auto"/>
          <w:sz w:val="28"/>
          <w:szCs w:val="28"/>
        </w:rPr>
        <w:t>号）；</w:t>
      </w:r>
    </w:p>
    <w:p w14:paraId="4DFEB42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10</w:t>
      </w:r>
      <w:r>
        <w:rPr>
          <w:rFonts w:hint="eastAsia" w:ascii="Times New Roman" w:hAnsi="Times New Roman" w:cs="Times New Roman" w:eastAsiaTheme="minorEastAsia"/>
          <w:color w:val="auto"/>
          <w:sz w:val="28"/>
          <w:szCs w:val="28"/>
          <w:lang w:eastAsia="zh-CN"/>
        </w:rPr>
        <w:t>）</w:t>
      </w:r>
      <w:r>
        <w:rPr>
          <w:rFonts w:hint="eastAsia" w:ascii="Times New Roman" w:hAnsi="Times New Roman" w:cs="Times New Roman" w:eastAsiaTheme="minorEastAsia"/>
          <w:color w:val="auto"/>
          <w:sz w:val="28"/>
          <w:szCs w:val="28"/>
        </w:rPr>
        <w:t>《自然资源部办公厅关于印发矿产资源（非油气）开发利用方案编制指南的通知》（自然资办发</w:t>
      </w:r>
      <w:r>
        <w:rPr>
          <w:rFonts w:hint="default" w:ascii="Times New Roman" w:hAnsi="Times New Roman" w:cs="Times New Roman" w:eastAsiaTheme="minorEastAsia"/>
          <w:color w:val="auto"/>
          <w:sz w:val="28"/>
          <w:szCs w:val="28"/>
        </w:rPr>
        <w:t>[2024]33</w:t>
      </w:r>
      <w:r>
        <w:rPr>
          <w:rFonts w:hint="eastAsia" w:ascii="Times New Roman" w:hAnsi="Times New Roman" w:cs="Times New Roman" w:eastAsiaTheme="minorEastAsia"/>
          <w:color w:val="auto"/>
          <w:sz w:val="28"/>
          <w:szCs w:val="28"/>
        </w:rPr>
        <w:t>号）；</w:t>
      </w:r>
    </w:p>
    <w:p w14:paraId="391B517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11</w:t>
      </w:r>
      <w:r>
        <w:rPr>
          <w:rFonts w:hint="eastAsia" w:ascii="Times New Roman" w:hAnsi="Times New Roman" w:cs="Times New Roman" w:eastAsiaTheme="minorEastAsia"/>
          <w:color w:val="auto"/>
          <w:sz w:val="28"/>
          <w:szCs w:val="28"/>
          <w:lang w:eastAsia="zh-CN"/>
        </w:rPr>
        <w:t>）</w:t>
      </w:r>
      <w:r>
        <w:rPr>
          <w:rFonts w:hint="eastAsia" w:ascii="Times New Roman" w:hAnsi="Times New Roman" w:cs="Times New Roman" w:eastAsiaTheme="minorEastAsia"/>
          <w:color w:val="auto"/>
          <w:sz w:val="28"/>
          <w:szCs w:val="28"/>
          <w:lang w:val="en-US" w:eastAsia="zh-CN"/>
        </w:rPr>
        <w:t>《黑龙江省矿产资源开采方案临时编制指南（非油气矿产）》（黑自然资办函［2025］97号）</w:t>
      </w:r>
      <w:r>
        <w:rPr>
          <w:rFonts w:hint="eastAsia" w:ascii="Times New Roman" w:hAnsi="Times New Roman" w:cs="Times New Roman" w:eastAsiaTheme="minorEastAsia"/>
          <w:color w:val="auto"/>
          <w:sz w:val="28"/>
          <w:szCs w:val="28"/>
        </w:rPr>
        <w:t>；</w:t>
      </w:r>
    </w:p>
    <w:p w14:paraId="39F1B5A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color w:val="auto"/>
          <w:sz w:val="28"/>
          <w:szCs w:val="28"/>
          <w:lang w:eastAsia="zh-CN"/>
        </w:rPr>
      </w:pPr>
      <w:r>
        <w:rPr>
          <w:rFonts w:hint="default" w:ascii="Times New Roman" w:hAnsi="Times New Roman" w:cs="Times New Roman" w:eastAsiaTheme="minorEastAsia"/>
          <w:color w:val="auto"/>
          <w:sz w:val="28"/>
          <w:szCs w:val="28"/>
        </w:rPr>
        <w:t>12</w:t>
      </w:r>
      <w:r>
        <w:rPr>
          <w:rFonts w:hint="eastAsia" w:ascii="Times New Roman" w:hAnsi="Times New Roman" w:cs="Times New Roman" w:eastAsiaTheme="minorEastAsia"/>
          <w:color w:val="auto"/>
          <w:sz w:val="28"/>
          <w:szCs w:val="28"/>
          <w:lang w:eastAsia="zh-CN"/>
        </w:rPr>
        <w:t>）</w:t>
      </w:r>
      <w:r>
        <w:rPr>
          <w:rFonts w:hint="eastAsia" w:ascii="Times New Roman" w:hAnsi="Times New Roman" w:cs="Times New Roman" w:eastAsiaTheme="minorEastAsia"/>
          <w:color w:val="auto"/>
          <w:sz w:val="28"/>
          <w:szCs w:val="28"/>
        </w:rPr>
        <w:t>《自然资源部办公厅关于</w:t>
      </w:r>
      <w:r>
        <w:rPr>
          <w:rFonts w:hint="default" w:ascii="Times New Roman" w:hAnsi="Times New Roman" w:cs="Times New Roman" w:eastAsiaTheme="minorEastAsia"/>
          <w:color w:val="auto"/>
          <w:sz w:val="28"/>
          <w:szCs w:val="28"/>
        </w:rPr>
        <w:t>&lt;</w:t>
      </w:r>
      <w:r>
        <w:rPr>
          <w:rFonts w:hint="eastAsia" w:ascii="Times New Roman" w:hAnsi="Times New Roman" w:cs="Times New Roman" w:eastAsiaTheme="minorEastAsia"/>
          <w:color w:val="auto"/>
          <w:sz w:val="28"/>
          <w:szCs w:val="28"/>
        </w:rPr>
        <w:t>矿产资源法</w:t>
      </w:r>
      <w:r>
        <w:rPr>
          <w:rFonts w:hint="default" w:ascii="Times New Roman" w:hAnsi="Times New Roman" w:cs="Times New Roman" w:eastAsiaTheme="minorEastAsia"/>
          <w:color w:val="auto"/>
          <w:sz w:val="28"/>
          <w:szCs w:val="28"/>
        </w:rPr>
        <w:t>&gt;</w:t>
      </w:r>
      <w:r>
        <w:rPr>
          <w:rFonts w:hint="eastAsia" w:ascii="Times New Roman" w:hAnsi="Times New Roman" w:cs="Times New Roman" w:eastAsiaTheme="minorEastAsia"/>
          <w:color w:val="auto"/>
          <w:sz w:val="28"/>
          <w:szCs w:val="28"/>
        </w:rPr>
        <w:t>实施衔接过渡有关事项的通知》（自然资办函</w:t>
      </w:r>
      <w:r>
        <w:rPr>
          <w:rFonts w:hint="default" w:ascii="Times New Roman" w:hAnsi="Times New Roman" w:cs="Times New Roman" w:eastAsiaTheme="minorEastAsia"/>
          <w:color w:val="auto"/>
          <w:sz w:val="28"/>
          <w:szCs w:val="28"/>
        </w:rPr>
        <w:t>[2025]1704</w:t>
      </w:r>
      <w:r>
        <w:rPr>
          <w:rFonts w:hint="eastAsia" w:ascii="Times New Roman" w:hAnsi="Times New Roman" w:cs="Times New Roman" w:eastAsiaTheme="minorEastAsia"/>
          <w:color w:val="auto"/>
          <w:sz w:val="28"/>
          <w:szCs w:val="28"/>
        </w:rPr>
        <w:t>号）</w:t>
      </w:r>
      <w:r>
        <w:rPr>
          <w:rFonts w:hint="eastAsia" w:ascii="Times New Roman" w:hAnsi="Times New Roman" w:cs="Times New Roman"/>
          <w:color w:val="auto"/>
          <w:sz w:val="28"/>
          <w:szCs w:val="28"/>
          <w:lang w:val="en-US" w:eastAsia="zh-CN"/>
        </w:rPr>
        <w:t>；</w:t>
      </w:r>
    </w:p>
    <w:p w14:paraId="3FE3F4D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color w:val="auto"/>
          <w:sz w:val="28"/>
          <w:szCs w:val="28"/>
          <w:lang w:eastAsia="zh-CN"/>
        </w:rPr>
      </w:pPr>
      <w:r>
        <w:rPr>
          <w:rFonts w:hint="eastAsia" w:ascii="Times New Roman" w:hAnsi="Times New Roman" w:cs="Times New Roman"/>
          <w:color w:val="auto"/>
          <w:sz w:val="28"/>
          <w:szCs w:val="28"/>
          <w:lang w:val="en-US" w:eastAsia="zh-CN"/>
        </w:rPr>
        <w:t>13</w:t>
      </w:r>
      <w:r>
        <w:rPr>
          <w:rFonts w:hint="eastAsia" w:ascii="Times New Roman" w:hAnsi="Times New Roman" w:cs="Times New Roman"/>
          <w:color w:val="auto"/>
          <w:sz w:val="28"/>
          <w:szCs w:val="28"/>
          <w:lang w:eastAsia="zh-CN"/>
        </w:rPr>
        <w:t>）《土地复垦条例》（2011 年 2 月 22 日国务院第 145 次常务会议通过，国务院令第 592 号，2011 年 3 月 5 日公布施行）；</w:t>
      </w:r>
    </w:p>
    <w:p w14:paraId="4E0EA4D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color w:val="auto"/>
          <w:sz w:val="28"/>
          <w:szCs w:val="28"/>
          <w:lang w:eastAsia="zh-CN"/>
        </w:rPr>
      </w:pPr>
      <w:r>
        <w:rPr>
          <w:rFonts w:hint="eastAsia" w:ascii="Times New Roman" w:hAnsi="Times New Roman" w:cs="Times New Roman"/>
          <w:color w:val="auto"/>
          <w:sz w:val="28"/>
          <w:szCs w:val="28"/>
          <w:lang w:val="en-US" w:eastAsia="zh-CN"/>
        </w:rPr>
        <w:t>14</w:t>
      </w:r>
      <w:r>
        <w:rPr>
          <w:rFonts w:hint="eastAsia" w:ascii="Times New Roman" w:hAnsi="Times New Roman" w:cs="Times New Roman"/>
          <w:color w:val="auto"/>
          <w:sz w:val="28"/>
          <w:szCs w:val="28"/>
          <w:lang w:eastAsia="zh-CN"/>
        </w:rPr>
        <w:t>）《矿产资源规划编制实施办法》（2012 年 10 月 12 日国土资源部令第 55 号公布，2019 年自然资源部修订）；</w:t>
      </w:r>
    </w:p>
    <w:p w14:paraId="13DDD0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color w:val="auto"/>
          <w:sz w:val="28"/>
          <w:szCs w:val="28"/>
          <w:lang w:eastAsia="zh-CN"/>
        </w:rPr>
      </w:pPr>
      <w:r>
        <w:rPr>
          <w:rFonts w:hint="eastAsia" w:ascii="Times New Roman" w:hAnsi="Times New Roman" w:cs="Times New Roman"/>
          <w:color w:val="auto"/>
          <w:sz w:val="28"/>
          <w:szCs w:val="28"/>
          <w:lang w:val="en-US" w:eastAsia="zh-CN"/>
        </w:rPr>
        <w:t>15</w:t>
      </w:r>
      <w:r>
        <w:rPr>
          <w:rFonts w:hint="eastAsia" w:ascii="Times New Roman" w:hAnsi="Times New Roman" w:cs="Times New Roman"/>
          <w:color w:val="auto"/>
          <w:sz w:val="28"/>
          <w:szCs w:val="28"/>
          <w:lang w:eastAsia="zh-CN"/>
        </w:rPr>
        <w:t>）《中共中央 国务院关于建立国土空间规划体系并监督实施的若干意见》（中发〔2019〕18 号，2019 年 5 月印发）。</w:t>
      </w:r>
    </w:p>
    <w:p w14:paraId="298912A0">
      <w:pPr>
        <w:pageBreakBefore w:val="0"/>
        <w:kinsoku/>
        <w:wordWrap/>
        <w:overflowPunct/>
        <w:topLinePunct w:val="0"/>
        <w:bidi w:val="0"/>
        <w:spacing w:line="360" w:lineRule="auto"/>
        <w:ind w:firstLine="562" w:firstLineChars="200"/>
        <w:rPr>
          <w:rFonts w:hint="eastAsia" w:ascii="Times New Roman" w:hAnsi="Times New Roman" w:cs="Times New Roman" w:eastAsiaTheme="minorEastAsia"/>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2</w:t>
      </w:r>
      <w:r>
        <w:rPr>
          <w:rFonts w:hint="eastAsia" w:ascii="Times New Roman" w:hAnsi="Times New Roman" w:cs="Times New Roman" w:eastAsiaTheme="minorEastAsia"/>
          <w:b/>
          <w:bCs/>
          <w:color w:val="auto"/>
          <w:sz w:val="28"/>
          <w:szCs w:val="28"/>
          <w:highlight w:val="none"/>
          <w:lang w:val="en-US" w:eastAsia="zh-CN"/>
        </w:rPr>
        <w:t>、设计规范及标准</w:t>
      </w:r>
    </w:p>
    <w:p w14:paraId="57FF94F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eastAsiaTheme="minorEastAsia"/>
          <w:color w:val="auto"/>
          <w:sz w:val="28"/>
          <w:szCs w:val="28"/>
        </w:rPr>
      </w:pPr>
      <w:r>
        <w:rPr>
          <w:rFonts w:hint="eastAsia" w:ascii="Times New Roman" w:hAnsi="Times New Roman" w:cs="Times New Roman" w:eastAsiaTheme="minorEastAsia"/>
          <w:color w:val="auto"/>
          <w:sz w:val="28"/>
          <w:szCs w:val="28"/>
        </w:rPr>
        <w:t>1</w:t>
      </w:r>
      <w:r>
        <w:rPr>
          <w:rFonts w:hint="eastAsia" w:ascii="Times New Roman" w:hAnsi="Times New Roman" w:cs="Times New Roman"/>
          <w:color w:val="auto"/>
          <w:sz w:val="28"/>
          <w:szCs w:val="28"/>
          <w:lang w:eastAsia="zh-CN"/>
        </w:rPr>
        <w:t>）</w:t>
      </w:r>
      <w:r>
        <w:rPr>
          <w:rFonts w:hint="eastAsia" w:ascii="Times New Roman" w:hAnsi="Times New Roman" w:cs="Times New Roman" w:eastAsiaTheme="minorEastAsia"/>
          <w:color w:val="auto"/>
          <w:sz w:val="28"/>
          <w:szCs w:val="28"/>
        </w:rPr>
        <w:t>GB/T</w:t>
      </w:r>
      <w:r>
        <w:rPr>
          <w:rFonts w:hint="eastAsia" w:ascii="Times New Roman" w:hAnsi="Times New Roman" w:cs="Times New Roman"/>
          <w:color w:val="auto"/>
          <w:sz w:val="28"/>
          <w:szCs w:val="28"/>
          <w:lang w:val="en-US" w:eastAsia="zh-CN"/>
        </w:rPr>
        <w:t xml:space="preserve"> </w:t>
      </w:r>
      <w:r>
        <w:rPr>
          <w:rFonts w:hint="eastAsia" w:ascii="Times New Roman" w:hAnsi="Times New Roman" w:cs="Times New Roman" w:eastAsiaTheme="minorEastAsia"/>
          <w:color w:val="auto"/>
          <w:sz w:val="28"/>
          <w:szCs w:val="28"/>
        </w:rPr>
        <w:t>17766-2020固体矿产资源储量分类；</w:t>
      </w:r>
    </w:p>
    <w:p w14:paraId="017C0AA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eastAsiaTheme="minorEastAsia"/>
          <w:color w:val="auto"/>
          <w:sz w:val="28"/>
          <w:szCs w:val="28"/>
        </w:rPr>
      </w:pPr>
      <w:r>
        <w:rPr>
          <w:rFonts w:hint="eastAsia" w:ascii="Times New Roman" w:hAnsi="Times New Roman" w:cs="Times New Roman" w:eastAsiaTheme="minorEastAsia"/>
          <w:color w:val="auto"/>
          <w:sz w:val="28"/>
          <w:szCs w:val="28"/>
        </w:rPr>
        <w:t>2</w:t>
      </w:r>
      <w:r>
        <w:rPr>
          <w:rFonts w:hint="eastAsia" w:ascii="Times New Roman" w:hAnsi="Times New Roman" w:cs="Times New Roman"/>
          <w:color w:val="auto"/>
          <w:sz w:val="28"/>
          <w:szCs w:val="28"/>
          <w:lang w:eastAsia="zh-CN"/>
        </w:rPr>
        <w:t>）</w:t>
      </w:r>
      <w:r>
        <w:rPr>
          <w:rFonts w:hint="eastAsia" w:ascii="Times New Roman" w:hAnsi="Times New Roman" w:cs="Times New Roman" w:eastAsiaTheme="minorEastAsia"/>
          <w:color w:val="auto"/>
          <w:sz w:val="28"/>
          <w:szCs w:val="28"/>
        </w:rPr>
        <w:t>GB/T</w:t>
      </w:r>
      <w:r>
        <w:rPr>
          <w:rFonts w:hint="eastAsia" w:ascii="Times New Roman" w:hAnsi="Times New Roman" w:cs="Times New Roman"/>
          <w:color w:val="auto"/>
          <w:sz w:val="28"/>
          <w:szCs w:val="28"/>
          <w:lang w:val="en-US" w:eastAsia="zh-CN"/>
        </w:rPr>
        <w:t xml:space="preserve"> </w:t>
      </w:r>
      <w:r>
        <w:rPr>
          <w:rFonts w:hint="eastAsia" w:ascii="Times New Roman" w:hAnsi="Times New Roman" w:cs="Times New Roman" w:eastAsiaTheme="minorEastAsia"/>
          <w:color w:val="auto"/>
          <w:sz w:val="28"/>
          <w:szCs w:val="28"/>
        </w:rPr>
        <w:t>42249-2022</w:t>
      </w:r>
      <w:r>
        <w:rPr>
          <w:rFonts w:hint="eastAsia" w:ascii="Times New Roman" w:hAnsi="Times New Roman" w:cs="Times New Roman" w:eastAsiaTheme="minorEastAsia"/>
          <w:color w:val="auto"/>
          <w:sz w:val="28"/>
          <w:szCs w:val="28"/>
        </w:rPr>
        <w:tab/>
      </w:r>
      <w:r>
        <w:rPr>
          <w:rFonts w:hint="eastAsia" w:ascii="Times New Roman" w:hAnsi="Times New Roman" w:cs="Times New Roman" w:eastAsiaTheme="minorEastAsia"/>
          <w:color w:val="auto"/>
          <w:sz w:val="28"/>
          <w:szCs w:val="28"/>
        </w:rPr>
        <w:t>矿产资源综合利用技术指标及其计算方法；</w:t>
      </w:r>
    </w:p>
    <w:p w14:paraId="0808A59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3</w:t>
      </w:r>
      <w:r>
        <w:rPr>
          <w:rFonts w:hint="eastAsia" w:ascii="Times New Roman" w:hAnsi="Times New Roman" w:cs="Times New Roman"/>
          <w:color w:val="auto"/>
          <w:sz w:val="28"/>
          <w:szCs w:val="28"/>
          <w:lang w:eastAsia="zh-CN"/>
        </w:rPr>
        <w:t>）</w:t>
      </w:r>
      <w:r>
        <w:rPr>
          <w:rFonts w:hint="default" w:ascii="Times New Roman" w:hAnsi="Times New Roman" w:cs="Times New Roman" w:eastAsiaTheme="minorEastAsia"/>
          <w:color w:val="auto"/>
          <w:sz w:val="28"/>
          <w:szCs w:val="28"/>
        </w:rPr>
        <w:t>DZ/T</w:t>
      </w:r>
      <w:r>
        <w:rPr>
          <w:rFonts w:hint="eastAsia" w:ascii="Times New Roman" w:hAnsi="Times New Roman" w:cs="Times New Roman"/>
          <w:color w:val="auto"/>
          <w:sz w:val="28"/>
          <w:szCs w:val="28"/>
          <w:lang w:val="en-US" w:eastAsia="zh-CN"/>
        </w:rPr>
        <w:t xml:space="preserve"> </w:t>
      </w:r>
      <w:r>
        <w:rPr>
          <w:rFonts w:hint="default" w:ascii="Times New Roman" w:hAnsi="Times New Roman" w:cs="Times New Roman" w:eastAsiaTheme="minorEastAsia"/>
          <w:color w:val="auto"/>
          <w:sz w:val="28"/>
          <w:szCs w:val="28"/>
        </w:rPr>
        <w:t>0400-2022</w:t>
      </w:r>
      <w:r>
        <w:rPr>
          <w:rFonts w:hint="default" w:ascii="Times New Roman" w:hAnsi="Times New Roman" w:cs="Times New Roman" w:eastAsiaTheme="minorEastAsia"/>
          <w:color w:val="auto"/>
          <w:sz w:val="28"/>
          <w:szCs w:val="28"/>
        </w:rPr>
        <w:tab/>
      </w:r>
      <w:r>
        <w:rPr>
          <w:rFonts w:hint="eastAsia" w:ascii="Times New Roman" w:hAnsi="Times New Roman" w:cs="Times New Roman" w:eastAsiaTheme="minorEastAsia"/>
          <w:color w:val="auto"/>
          <w:sz w:val="28"/>
          <w:szCs w:val="28"/>
        </w:rPr>
        <w:t>矿产资源储量规模划分标准；</w:t>
      </w:r>
    </w:p>
    <w:p w14:paraId="49120E5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eastAsiaTheme="minorEastAsia"/>
          <w:color w:val="auto"/>
          <w:sz w:val="28"/>
          <w:szCs w:val="28"/>
        </w:rPr>
      </w:pPr>
      <w:r>
        <w:rPr>
          <w:rFonts w:hint="eastAsia" w:ascii="Times New Roman" w:hAnsi="Times New Roman" w:cs="Times New Roman"/>
          <w:color w:val="auto"/>
          <w:sz w:val="28"/>
          <w:szCs w:val="28"/>
          <w:lang w:val="en-US" w:eastAsia="zh-CN"/>
        </w:rPr>
        <w:t>4）</w:t>
      </w:r>
      <w:r>
        <w:rPr>
          <w:rFonts w:hint="default" w:ascii="Times New Roman" w:hAnsi="Times New Roman" w:cs="Times New Roman" w:eastAsiaTheme="minorEastAsia"/>
          <w:color w:val="auto"/>
          <w:sz w:val="28"/>
          <w:szCs w:val="28"/>
        </w:rPr>
        <w:t>GB</w:t>
      </w:r>
      <w:r>
        <w:rPr>
          <w:rFonts w:hint="eastAsia" w:ascii="Times New Roman" w:hAnsi="Times New Roman" w:cs="Times New Roman"/>
          <w:color w:val="auto"/>
          <w:sz w:val="28"/>
          <w:szCs w:val="28"/>
          <w:lang w:val="en-US" w:eastAsia="zh-CN"/>
        </w:rPr>
        <w:t xml:space="preserve"> </w:t>
      </w:r>
      <w:r>
        <w:rPr>
          <w:rFonts w:hint="default" w:ascii="Times New Roman" w:hAnsi="Times New Roman" w:cs="Times New Roman" w:eastAsiaTheme="minorEastAsia"/>
          <w:color w:val="auto"/>
          <w:sz w:val="28"/>
          <w:szCs w:val="28"/>
        </w:rPr>
        <w:t>50970-2014</w:t>
      </w:r>
      <w:r>
        <w:rPr>
          <w:rFonts w:hint="default" w:ascii="Times New Roman" w:hAnsi="Times New Roman" w:cs="Times New Roman" w:eastAsiaTheme="minorEastAsia"/>
          <w:color w:val="auto"/>
          <w:sz w:val="28"/>
          <w:szCs w:val="28"/>
        </w:rPr>
        <w:tab/>
      </w:r>
      <w:r>
        <w:rPr>
          <w:rFonts w:hint="eastAsia" w:ascii="Times New Roman" w:hAnsi="Times New Roman" w:cs="Times New Roman" w:eastAsiaTheme="minorEastAsia"/>
          <w:color w:val="auto"/>
          <w:sz w:val="28"/>
          <w:szCs w:val="28"/>
        </w:rPr>
        <w:t>装饰石材矿山露天开采工程设计规范；</w:t>
      </w:r>
    </w:p>
    <w:p w14:paraId="0128DB9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eastAsiaTheme="minorEastAsia"/>
          <w:color w:val="auto"/>
          <w:sz w:val="28"/>
          <w:szCs w:val="28"/>
        </w:rPr>
      </w:pPr>
      <w:r>
        <w:rPr>
          <w:rFonts w:hint="eastAsia" w:ascii="Times New Roman" w:hAnsi="Times New Roman" w:cs="Times New Roman" w:eastAsiaTheme="minorEastAsia"/>
          <w:color w:val="auto"/>
          <w:sz w:val="28"/>
          <w:szCs w:val="28"/>
        </w:rPr>
        <w:t>5</w:t>
      </w:r>
      <w:r>
        <w:rPr>
          <w:rFonts w:hint="eastAsia" w:ascii="Times New Roman" w:hAnsi="Times New Roman" w:cs="Times New Roman"/>
          <w:color w:val="auto"/>
          <w:sz w:val="28"/>
          <w:szCs w:val="28"/>
          <w:lang w:eastAsia="zh-CN"/>
        </w:rPr>
        <w:t>）</w:t>
      </w:r>
      <w:r>
        <w:rPr>
          <w:rFonts w:hint="eastAsia" w:ascii="Times New Roman" w:hAnsi="Times New Roman" w:cs="Times New Roman" w:eastAsiaTheme="minorEastAsia"/>
          <w:color w:val="auto"/>
          <w:sz w:val="28"/>
          <w:szCs w:val="28"/>
        </w:rPr>
        <w:t>GB/T</w:t>
      </w:r>
      <w:r>
        <w:rPr>
          <w:rFonts w:hint="eastAsia" w:ascii="Times New Roman" w:hAnsi="Times New Roman" w:cs="Times New Roman"/>
          <w:color w:val="auto"/>
          <w:sz w:val="28"/>
          <w:szCs w:val="28"/>
          <w:lang w:val="en-US" w:eastAsia="zh-CN"/>
        </w:rPr>
        <w:t xml:space="preserve"> </w:t>
      </w:r>
      <w:r>
        <w:rPr>
          <w:rFonts w:hint="eastAsia" w:ascii="Times New Roman" w:hAnsi="Times New Roman" w:cs="Times New Roman" w:eastAsiaTheme="minorEastAsia"/>
          <w:color w:val="auto"/>
          <w:sz w:val="28"/>
          <w:szCs w:val="28"/>
        </w:rPr>
        <w:t>958-2015</w:t>
      </w:r>
      <w:r>
        <w:rPr>
          <w:rFonts w:hint="eastAsia" w:ascii="Times New Roman" w:hAnsi="Times New Roman" w:cs="Times New Roman" w:eastAsiaTheme="minorEastAsia"/>
          <w:color w:val="auto"/>
          <w:sz w:val="28"/>
          <w:szCs w:val="28"/>
        </w:rPr>
        <w:tab/>
      </w:r>
      <w:r>
        <w:rPr>
          <w:rFonts w:hint="eastAsia" w:ascii="Times New Roman" w:hAnsi="Times New Roman" w:cs="Times New Roman" w:eastAsiaTheme="minorEastAsia"/>
          <w:color w:val="auto"/>
          <w:sz w:val="28"/>
          <w:szCs w:val="28"/>
        </w:rPr>
        <w:t>区域地质图图例；</w:t>
      </w:r>
    </w:p>
    <w:p w14:paraId="68986E9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eastAsiaTheme="minorEastAsia"/>
          <w:color w:val="auto"/>
          <w:sz w:val="28"/>
          <w:szCs w:val="28"/>
        </w:rPr>
      </w:pPr>
      <w:r>
        <w:rPr>
          <w:rFonts w:hint="eastAsia" w:ascii="Times New Roman" w:hAnsi="Times New Roman" w:cs="Times New Roman" w:eastAsiaTheme="minorEastAsia"/>
          <w:color w:val="auto"/>
          <w:sz w:val="28"/>
          <w:szCs w:val="28"/>
        </w:rPr>
        <w:t>6</w:t>
      </w:r>
      <w:r>
        <w:rPr>
          <w:rFonts w:hint="eastAsia" w:ascii="Times New Roman" w:hAnsi="Times New Roman" w:cs="Times New Roman"/>
          <w:color w:val="auto"/>
          <w:sz w:val="28"/>
          <w:szCs w:val="28"/>
          <w:lang w:eastAsia="zh-CN"/>
        </w:rPr>
        <w:t>）</w:t>
      </w:r>
      <w:r>
        <w:rPr>
          <w:rFonts w:hint="eastAsia" w:ascii="Times New Roman" w:hAnsi="Times New Roman" w:cs="Times New Roman" w:eastAsiaTheme="minorEastAsia"/>
          <w:color w:val="auto"/>
          <w:sz w:val="28"/>
          <w:szCs w:val="28"/>
        </w:rPr>
        <w:t>GB/T</w:t>
      </w:r>
      <w:r>
        <w:rPr>
          <w:rFonts w:hint="eastAsia" w:ascii="Times New Roman" w:hAnsi="Times New Roman" w:cs="Times New Roman"/>
          <w:color w:val="auto"/>
          <w:sz w:val="28"/>
          <w:szCs w:val="28"/>
          <w:lang w:val="en-US" w:eastAsia="zh-CN"/>
        </w:rPr>
        <w:t xml:space="preserve"> </w:t>
      </w:r>
      <w:r>
        <w:rPr>
          <w:rFonts w:hint="eastAsia" w:ascii="Times New Roman" w:hAnsi="Times New Roman" w:cs="Times New Roman" w:eastAsiaTheme="minorEastAsia"/>
          <w:color w:val="auto"/>
          <w:sz w:val="28"/>
          <w:szCs w:val="28"/>
        </w:rPr>
        <w:t>51339-2018</w:t>
      </w:r>
      <w:r>
        <w:rPr>
          <w:rFonts w:hint="eastAsia" w:ascii="Times New Roman" w:hAnsi="Times New Roman" w:cs="Times New Roman" w:eastAsiaTheme="minorEastAsia"/>
          <w:color w:val="auto"/>
          <w:sz w:val="28"/>
          <w:szCs w:val="28"/>
        </w:rPr>
        <w:tab/>
      </w:r>
      <w:r>
        <w:rPr>
          <w:rFonts w:hint="eastAsia" w:ascii="Times New Roman" w:hAnsi="Times New Roman" w:cs="Times New Roman" w:eastAsiaTheme="minorEastAsia"/>
          <w:color w:val="auto"/>
          <w:sz w:val="28"/>
          <w:szCs w:val="28"/>
        </w:rPr>
        <w:t>非煤矿山采矿术语标准；</w:t>
      </w:r>
    </w:p>
    <w:p w14:paraId="0E419C4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eastAsiaTheme="minorEastAsia"/>
          <w:color w:val="auto"/>
          <w:sz w:val="28"/>
          <w:szCs w:val="28"/>
        </w:rPr>
      </w:pPr>
      <w:r>
        <w:rPr>
          <w:rFonts w:hint="eastAsia" w:ascii="Times New Roman" w:hAnsi="Times New Roman" w:cs="Times New Roman" w:eastAsiaTheme="minorEastAsia"/>
          <w:color w:val="auto"/>
          <w:sz w:val="28"/>
          <w:szCs w:val="28"/>
        </w:rPr>
        <w:t>7</w:t>
      </w:r>
      <w:r>
        <w:rPr>
          <w:rFonts w:hint="eastAsia" w:ascii="Times New Roman" w:hAnsi="Times New Roman" w:cs="Times New Roman"/>
          <w:color w:val="auto"/>
          <w:sz w:val="28"/>
          <w:szCs w:val="28"/>
          <w:lang w:eastAsia="zh-CN"/>
        </w:rPr>
        <w:t>）</w:t>
      </w:r>
      <w:r>
        <w:rPr>
          <w:rFonts w:hint="eastAsia" w:ascii="Times New Roman" w:hAnsi="Times New Roman" w:cs="Times New Roman" w:eastAsiaTheme="minorEastAsia"/>
          <w:color w:val="auto"/>
          <w:sz w:val="28"/>
          <w:szCs w:val="28"/>
        </w:rPr>
        <w:t>MT/T</w:t>
      </w:r>
      <w:r>
        <w:rPr>
          <w:rFonts w:hint="eastAsia" w:ascii="Times New Roman" w:hAnsi="Times New Roman" w:cs="Times New Roman"/>
          <w:color w:val="auto"/>
          <w:sz w:val="28"/>
          <w:szCs w:val="28"/>
          <w:lang w:val="en-US" w:eastAsia="zh-CN"/>
        </w:rPr>
        <w:t xml:space="preserve"> </w:t>
      </w:r>
      <w:r>
        <w:rPr>
          <w:rFonts w:hint="eastAsia" w:ascii="Times New Roman" w:hAnsi="Times New Roman" w:cs="Times New Roman" w:eastAsiaTheme="minorEastAsia"/>
          <w:color w:val="auto"/>
          <w:sz w:val="28"/>
          <w:szCs w:val="28"/>
        </w:rPr>
        <w:t>1167-2019</w:t>
      </w:r>
      <w:r>
        <w:rPr>
          <w:rFonts w:hint="eastAsia" w:ascii="Times New Roman" w:hAnsi="Times New Roman" w:cs="Times New Roman" w:eastAsiaTheme="minorEastAsia"/>
          <w:color w:val="auto"/>
          <w:sz w:val="28"/>
          <w:szCs w:val="28"/>
        </w:rPr>
        <w:tab/>
      </w:r>
      <w:r>
        <w:rPr>
          <w:rFonts w:hint="eastAsia" w:ascii="Times New Roman" w:hAnsi="Times New Roman" w:cs="Times New Roman" w:eastAsiaTheme="minorEastAsia"/>
          <w:color w:val="auto"/>
          <w:sz w:val="28"/>
          <w:szCs w:val="28"/>
        </w:rPr>
        <w:t>安全高效现代化矿井技术规范；</w:t>
      </w:r>
    </w:p>
    <w:p w14:paraId="5F65EF5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color w:val="auto"/>
          <w:sz w:val="28"/>
          <w:szCs w:val="28"/>
          <w:lang w:val="en-US" w:eastAsia="zh-CN"/>
        </w:rPr>
      </w:pPr>
      <w:r>
        <w:rPr>
          <w:rFonts w:hint="default" w:ascii="Times New Roman" w:hAnsi="Times New Roman" w:cs="Times New Roman" w:eastAsiaTheme="minorEastAsia"/>
          <w:color w:val="auto"/>
          <w:sz w:val="28"/>
          <w:szCs w:val="28"/>
        </w:rPr>
        <w:t>8</w:t>
      </w:r>
      <w:r>
        <w:rPr>
          <w:rFonts w:hint="eastAsia" w:ascii="Times New Roman" w:hAnsi="Times New Roman" w:cs="Times New Roman"/>
          <w:color w:val="auto"/>
          <w:sz w:val="28"/>
          <w:szCs w:val="28"/>
          <w:lang w:eastAsia="zh-CN"/>
        </w:rPr>
        <w:t>）</w:t>
      </w:r>
      <w:r>
        <w:rPr>
          <w:rFonts w:hint="default" w:ascii="Times New Roman" w:hAnsi="Times New Roman" w:cs="Times New Roman" w:eastAsiaTheme="minorEastAsia"/>
          <w:color w:val="auto"/>
          <w:sz w:val="28"/>
          <w:szCs w:val="28"/>
        </w:rPr>
        <w:t>GB</w:t>
      </w:r>
      <w:r>
        <w:rPr>
          <w:rFonts w:hint="eastAsia" w:ascii="Times New Roman" w:hAnsi="Times New Roman" w:cs="Times New Roman"/>
          <w:color w:val="auto"/>
          <w:sz w:val="28"/>
          <w:szCs w:val="28"/>
          <w:lang w:val="en-US" w:eastAsia="zh-CN"/>
        </w:rPr>
        <w:t xml:space="preserve"> </w:t>
      </w:r>
      <w:r>
        <w:rPr>
          <w:rFonts w:hint="default" w:ascii="Times New Roman" w:hAnsi="Times New Roman" w:cs="Times New Roman" w:eastAsiaTheme="minorEastAsia"/>
          <w:color w:val="auto"/>
          <w:sz w:val="28"/>
          <w:szCs w:val="28"/>
        </w:rPr>
        <w:t>16423-2020</w:t>
      </w:r>
      <w:r>
        <w:rPr>
          <w:rFonts w:hint="default" w:ascii="Times New Roman" w:hAnsi="Times New Roman" w:cs="Times New Roman" w:eastAsiaTheme="minorEastAsia"/>
          <w:color w:val="auto"/>
          <w:sz w:val="28"/>
          <w:szCs w:val="28"/>
        </w:rPr>
        <w:tab/>
      </w:r>
      <w:r>
        <w:rPr>
          <w:rFonts w:hint="eastAsia" w:ascii="Times New Roman" w:hAnsi="Times New Roman" w:cs="Times New Roman" w:eastAsiaTheme="minorEastAsia"/>
          <w:color w:val="auto"/>
          <w:sz w:val="28"/>
          <w:szCs w:val="28"/>
        </w:rPr>
        <w:t>金属非金属矿山安全规程</w:t>
      </w:r>
      <w:r>
        <w:rPr>
          <w:rFonts w:hint="eastAsia" w:ascii="Times New Roman" w:hAnsi="Times New Roman" w:cs="Times New Roman"/>
          <w:color w:val="auto"/>
          <w:sz w:val="28"/>
          <w:szCs w:val="28"/>
          <w:lang w:val="en-US" w:eastAsia="zh-CN"/>
        </w:rPr>
        <w:t>；</w:t>
      </w:r>
    </w:p>
    <w:p w14:paraId="7F8B738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cs="Times New Roman"/>
          <w:color w:val="auto"/>
          <w:sz w:val="28"/>
          <w:szCs w:val="28"/>
          <w:lang w:val="en-US" w:eastAsia="zh-CN"/>
        </w:rPr>
      </w:pPr>
      <w:r>
        <w:rPr>
          <w:rFonts w:hint="eastAsia" w:ascii="Times New Roman" w:hAnsi="Times New Roman" w:cs="Times New Roman"/>
          <w:color w:val="auto"/>
          <w:sz w:val="28"/>
          <w:szCs w:val="28"/>
          <w:lang w:val="en-US" w:eastAsia="zh-CN"/>
        </w:rPr>
        <w:t>9）DZ/T 0341‑2020《矿产地质勘查规范 建筑用石料类》；</w:t>
      </w:r>
    </w:p>
    <w:p w14:paraId="33B107E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color w:val="auto"/>
          <w:sz w:val="28"/>
          <w:szCs w:val="28"/>
          <w:lang w:eastAsia="zh-CN"/>
        </w:rPr>
      </w:pPr>
      <w:r>
        <w:rPr>
          <w:rFonts w:hint="eastAsia" w:ascii="Times New Roman" w:hAnsi="Times New Roman" w:cs="Times New Roman"/>
          <w:color w:val="auto"/>
          <w:sz w:val="28"/>
          <w:szCs w:val="28"/>
          <w:lang w:val="en-US" w:eastAsia="zh-CN"/>
        </w:rPr>
        <w:t>10）</w:t>
      </w:r>
      <w:r>
        <w:rPr>
          <w:rFonts w:hint="default" w:ascii="Times New Roman" w:hAnsi="Times New Roman" w:cs="Times New Roman" w:eastAsiaTheme="minorEastAsia"/>
          <w:color w:val="auto"/>
          <w:sz w:val="28"/>
          <w:szCs w:val="28"/>
        </w:rPr>
        <w:t>DZ/T 0462.14-2024《矿产资源 “三率” 指标要求第14部分：饰面石材和建筑用石料矿产》</w:t>
      </w:r>
      <w:r>
        <w:rPr>
          <w:rFonts w:hint="eastAsia" w:ascii="Times New Roman" w:hAnsi="Times New Roman" w:cs="Times New Roman"/>
          <w:color w:val="auto"/>
          <w:sz w:val="28"/>
          <w:szCs w:val="28"/>
          <w:lang w:eastAsia="zh-CN"/>
        </w:rPr>
        <w:t>。</w:t>
      </w:r>
    </w:p>
    <w:p w14:paraId="162F02F2">
      <w:pPr>
        <w:pageBreakBefore w:val="0"/>
        <w:kinsoku/>
        <w:wordWrap/>
        <w:overflowPunct/>
        <w:topLinePunct w:val="0"/>
        <w:bidi w:val="0"/>
        <w:spacing w:line="360" w:lineRule="auto"/>
        <w:ind w:firstLine="562" w:firstLineChars="200"/>
        <w:rPr>
          <w:rFonts w:hint="eastAsia" w:ascii="Times New Roman" w:hAnsi="Times New Roman" w:cs="Times New Roman" w:eastAsiaTheme="minorEastAsia"/>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3</w:t>
      </w:r>
      <w:r>
        <w:rPr>
          <w:rFonts w:hint="eastAsia" w:ascii="Times New Roman" w:hAnsi="Times New Roman" w:cs="Times New Roman" w:eastAsiaTheme="minorEastAsia"/>
          <w:b/>
          <w:bCs/>
          <w:color w:val="auto"/>
          <w:sz w:val="28"/>
          <w:szCs w:val="28"/>
          <w:highlight w:val="none"/>
          <w:lang w:val="en-US" w:eastAsia="zh-CN"/>
        </w:rPr>
        <w:t>、</w:t>
      </w:r>
      <w:r>
        <w:rPr>
          <w:rFonts w:hint="eastAsia" w:ascii="Times New Roman" w:hAnsi="Times New Roman" w:cs="Times New Roman"/>
          <w:b/>
          <w:bCs/>
          <w:color w:val="auto"/>
          <w:sz w:val="28"/>
          <w:szCs w:val="28"/>
          <w:highlight w:val="none"/>
          <w:lang w:val="en-US" w:eastAsia="zh-CN"/>
        </w:rPr>
        <w:t>其他</w:t>
      </w:r>
      <w:r>
        <w:rPr>
          <w:rFonts w:hint="eastAsia" w:ascii="Times New Roman" w:hAnsi="Times New Roman" w:cs="Times New Roman" w:eastAsiaTheme="minorEastAsia"/>
          <w:b/>
          <w:bCs/>
          <w:color w:val="auto"/>
          <w:sz w:val="28"/>
          <w:szCs w:val="28"/>
          <w:highlight w:val="none"/>
          <w:lang w:val="en-US" w:eastAsia="zh-CN"/>
        </w:rPr>
        <w:t>资料</w:t>
      </w:r>
    </w:p>
    <w:p w14:paraId="2429C2E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cs="Times New Roman"/>
          <w:color w:val="auto"/>
          <w:sz w:val="28"/>
          <w:szCs w:val="28"/>
          <w:lang w:val="en-US" w:eastAsia="zh-CN"/>
        </w:rPr>
      </w:pPr>
      <w:r>
        <w:rPr>
          <w:rFonts w:hint="eastAsia" w:ascii="Times New Roman" w:hAnsi="Times New Roman" w:cs="Times New Roman"/>
          <w:color w:val="auto"/>
          <w:sz w:val="28"/>
          <w:szCs w:val="28"/>
          <w:lang w:val="en-US" w:eastAsia="zh-CN"/>
        </w:rPr>
        <w:t>1）《关于同意大兴安岭地区呼玛县JH项目鸥浦乡配套采石场建筑用凝灰岩矿采矿权挂牌出让的批复》（呼政函【2026】16号）;</w:t>
      </w:r>
    </w:p>
    <w:p w14:paraId="2B4703D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color w:val="auto"/>
          <w:sz w:val="28"/>
          <w:szCs w:val="28"/>
          <w:lang w:eastAsia="zh-CN"/>
        </w:rPr>
      </w:pPr>
      <w:r>
        <w:rPr>
          <w:rFonts w:hint="eastAsia" w:ascii="Times New Roman" w:hAnsi="Times New Roman" w:cs="Times New Roman"/>
          <w:color w:val="auto"/>
          <w:sz w:val="28"/>
          <w:szCs w:val="28"/>
          <w:lang w:val="en-US" w:eastAsia="zh-CN"/>
        </w:rPr>
        <w:t>2）</w:t>
      </w:r>
      <w:r>
        <w:rPr>
          <w:rFonts w:hint="default" w:ascii="Times New Roman" w:hAnsi="Times New Roman" w:cs="Times New Roman" w:eastAsiaTheme="minorEastAsia"/>
          <w:color w:val="auto"/>
          <w:sz w:val="28"/>
          <w:szCs w:val="28"/>
        </w:rPr>
        <w:t>《</w:t>
      </w:r>
      <w:r>
        <w:rPr>
          <w:rFonts w:hint="eastAsia" w:ascii="Times New Roman" w:hAnsi="Times New Roman" w:cs="Times New Roman" w:eastAsiaTheme="minorEastAsia"/>
          <w:color w:val="auto"/>
          <w:sz w:val="28"/>
          <w:szCs w:val="28"/>
        </w:rPr>
        <w:t>大兴安岭地区呼玛县JH项目鸥浦乡配套采石场建筑用凝灰岩矿矿产资源储量核实报告</w:t>
      </w:r>
      <w:r>
        <w:rPr>
          <w:rFonts w:hint="default" w:ascii="Times New Roman" w:hAnsi="Times New Roman" w:cs="Times New Roman" w:eastAsiaTheme="minorEastAsia"/>
          <w:color w:val="auto"/>
          <w:sz w:val="28"/>
          <w:szCs w:val="28"/>
        </w:rPr>
        <w:t>》（20</w:t>
      </w:r>
      <w:r>
        <w:rPr>
          <w:rFonts w:hint="eastAsia" w:ascii="Times New Roman" w:hAnsi="Times New Roman" w:cs="Times New Roman" w:eastAsiaTheme="minorEastAsia"/>
          <w:color w:val="auto"/>
          <w:sz w:val="28"/>
          <w:szCs w:val="28"/>
        </w:rPr>
        <w:t>25</w:t>
      </w:r>
      <w:r>
        <w:rPr>
          <w:rFonts w:hint="default" w:ascii="Times New Roman" w:hAnsi="Times New Roman" w:cs="Times New Roman" w:eastAsiaTheme="minorEastAsia"/>
          <w:color w:val="auto"/>
          <w:sz w:val="28"/>
          <w:szCs w:val="28"/>
        </w:rPr>
        <w:t>年</w:t>
      </w:r>
      <w:r>
        <w:rPr>
          <w:rFonts w:hint="eastAsia" w:ascii="Times New Roman" w:hAnsi="Times New Roman" w:cs="Times New Roman" w:eastAsiaTheme="minorEastAsia"/>
          <w:color w:val="auto"/>
          <w:sz w:val="28"/>
          <w:szCs w:val="28"/>
        </w:rPr>
        <w:t>10</w:t>
      </w:r>
      <w:r>
        <w:rPr>
          <w:rFonts w:hint="default" w:ascii="Times New Roman" w:hAnsi="Times New Roman" w:cs="Times New Roman" w:eastAsiaTheme="minorEastAsia"/>
          <w:color w:val="auto"/>
          <w:sz w:val="28"/>
          <w:szCs w:val="28"/>
        </w:rPr>
        <w:t>月，</w:t>
      </w:r>
      <w:r>
        <w:rPr>
          <w:rFonts w:hint="eastAsia" w:ascii="Times New Roman" w:hAnsi="Times New Roman" w:cs="Times New Roman" w:eastAsiaTheme="minorEastAsia"/>
          <w:color w:val="auto"/>
          <w:sz w:val="28"/>
          <w:szCs w:val="28"/>
        </w:rPr>
        <w:t>黑龙江广森测绘科技股份有限公司</w:t>
      </w:r>
      <w:r>
        <w:rPr>
          <w:rFonts w:hint="default" w:ascii="Times New Roman" w:hAnsi="Times New Roman" w:cs="Times New Roman" w:eastAsiaTheme="minorEastAsia"/>
          <w:color w:val="auto"/>
          <w:sz w:val="28"/>
          <w:szCs w:val="28"/>
        </w:rPr>
        <w:t>）</w:t>
      </w:r>
      <w:r>
        <w:rPr>
          <w:rFonts w:hint="eastAsia" w:ascii="Times New Roman" w:hAnsi="Times New Roman" w:cs="Times New Roman"/>
          <w:color w:val="auto"/>
          <w:sz w:val="28"/>
          <w:szCs w:val="28"/>
          <w:lang w:val="en-US" w:eastAsia="zh-CN"/>
        </w:rPr>
        <w:t>；</w:t>
      </w:r>
    </w:p>
    <w:p w14:paraId="084C39D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cs="Times New Roman"/>
          <w:color w:val="auto"/>
          <w:sz w:val="28"/>
          <w:szCs w:val="28"/>
          <w:lang w:val="en-US" w:eastAsia="zh-CN"/>
        </w:rPr>
      </w:pPr>
      <w:r>
        <w:rPr>
          <w:rFonts w:hint="eastAsia" w:ascii="Times New Roman" w:hAnsi="Times New Roman" w:cs="Times New Roman"/>
          <w:color w:val="auto"/>
          <w:sz w:val="28"/>
          <w:szCs w:val="28"/>
          <w:lang w:val="en-US" w:eastAsia="zh-CN"/>
        </w:rPr>
        <w:t>3）委托书；</w:t>
      </w:r>
    </w:p>
    <w:p w14:paraId="720BB3E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color w:val="auto"/>
          <w:sz w:val="28"/>
          <w:szCs w:val="28"/>
          <w:lang w:val="en-US" w:eastAsia="zh-CN"/>
        </w:rPr>
      </w:pPr>
      <w:r>
        <w:rPr>
          <w:rFonts w:hint="eastAsia" w:ascii="Times New Roman" w:hAnsi="Times New Roman" w:cs="Times New Roman"/>
          <w:color w:val="auto"/>
          <w:sz w:val="28"/>
          <w:szCs w:val="28"/>
          <w:lang w:val="en-US" w:eastAsia="zh-CN"/>
        </w:rPr>
        <w:t>4）矿区现场踏勘资料；</w:t>
      </w:r>
    </w:p>
    <w:p w14:paraId="1986DFC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cs="Times New Roman"/>
          <w:color w:val="auto"/>
          <w:sz w:val="28"/>
          <w:szCs w:val="28"/>
          <w:lang w:val="en-US" w:eastAsia="zh-CN"/>
        </w:rPr>
      </w:pPr>
      <w:r>
        <w:rPr>
          <w:rFonts w:hint="eastAsia" w:ascii="Times New Roman" w:hAnsi="Times New Roman" w:cs="Times New Roman"/>
          <w:color w:val="auto"/>
          <w:sz w:val="28"/>
          <w:szCs w:val="28"/>
          <w:lang w:val="en-US" w:eastAsia="zh-CN"/>
        </w:rPr>
        <w:t>5）</w:t>
      </w:r>
      <w:r>
        <w:rPr>
          <w:rFonts w:hint="eastAsia" w:ascii="Times New Roman" w:hAnsi="Times New Roman" w:cs="Times New Roman"/>
          <w:color w:val="auto"/>
          <w:sz w:val="28"/>
          <w:szCs w:val="28"/>
          <w:highlight w:val="none"/>
          <w:lang w:val="en-US" w:eastAsia="zh-CN"/>
        </w:rPr>
        <w:t>2025年度</w:t>
      </w:r>
      <w:r>
        <w:rPr>
          <w:rFonts w:hint="eastAsia" w:ascii="宋体" w:hAnsi="宋体" w:cs="宋体"/>
          <w:sz w:val="28"/>
          <w:szCs w:val="28"/>
          <w:highlight w:val="none"/>
          <w:lang w:val="en-US" w:eastAsia="zh-CN"/>
        </w:rPr>
        <w:t>国土变更调查更新成果。</w:t>
      </w:r>
    </w:p>
    <w:bookmarkEnd w:id="2"/>
    <w:bookmarkEnd w:id="3"/>
    <w:bookmarkEnd w:id="4"/>
    <w:bookmarkEnd w:id="5"/>
    <w:bookmarkEnd w:id="6"/>
    <w:p w14:paraId="5796B9A0">
      <w:pPr>
        <w:pStyle w:val="2"/>
        <w:pageBreakBefore w:val="0"/>
        <w:kinsoku/>
        <w:wordWrap/>
        <w:overflowPunct/>
        <w:topLinePunct w:val="0"/>
        <w:bidi w:val="0"/>
        <w:spacing w:beforeLines="50" w:afterLines="50" w:line="360" w:lineRule="auto"/>
        <w:jc w:val="center"/>
        <w:rPr>
          <w:rFonts w:hint="default" w:ascii="黑体" w:hAnsi="黑体" w:eastAsia="黑体" w:cs="黑体"/>
          <w:b w:val="0"/>
          <w:color w:val="auto"/>
          <w:sz w:val="32"/>
          <w:szCs w:val="32"/>
          <w:highlight w:val="none"/>
        </w:rPr>
      </w:pPr>
      <w:bookmarkStart w:id="14" w:name="_Toc25694"/>
      <w:r>
        <w:rPr>
          <w:rFonts w:hint="default" w:ascii="黑体" w:hAnsi="黑体" w:eastAsia="黑体" w:cs="黑体"/>
          <w:b w:val="0"/>
          <w:color w:val="auto"/>
          <w:sz w:val="32"/>
          <w:szCs w:val="32"/>
          <w:highlight w:val="none"/>
          <w:lang w:val="en-US" w:eastAsia="zh-CN"/>
        </w:rPr>
        <w:t>第一章</w:t>
      </w:r>
      <w:r>
        <w:rPr>
          <w:rFonts w:hint="eastAsia" w:ascii="黑体" w:hAnsi="黑体" w:eastAsia="黑体" w:cs="黑体"/>
          <w:b w:val="0"/>
          <w:color w:val="auto"/>
          <w:sz w:val="32"/>
          <w:szCs w:val="32"/>
          <w:highlight w:val="none"/>
          <w:lang w:val="en-US" w:eastAsia="zh-CN"/>
        </w:rPr>
        <w:t xml:space="preserve"> </w:t>
      </w:r>
      <w:r>
        <w:rPr>
          <w:rFonts w:hint="default" w:ascii="黑体" w:hAnsi="黑体" w:eastAsia="黑体" w:cs="黑体"/>
          <w:b w:val="0"/>
          <w:color w:val="auto"/>
          <w:sz w:val="32"/>
          <w:szCs w:val="32"/>
          <w:highlight w:val="none"/>
        </w:rPr>
        <w:t>矿山基本情况</w:t>
      </w:r>
      <w:bookmarkEnd w:id="14"/>
    </w:p>
    <w:p w14:paraId="4A6FFF38">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15" w:name="_Toc28418"/>
      <w:r>
        <w:rPr>
          <w:rFonts w:hint="default" w:ascii="Times New Roman" w:hAnsi="Times New Roman" w:cs="Times New Roman" w:eastAsiaTheme="minorEastAsia"/>
          <w:color w:val="auto"/>
          <w:sz w:val="30"/>
          <w:szCs w:val="30"/>
          <w:highlight w:val="none"/>
          <w:lang w:val="en-US" w:eastAsia="zh-CN"/>
        </w:rPr>
        <w:t>一、地理位置与区域概况</w:t>
      </w:r>
      <w:bookmarkEnd w:id="15"/>
    </w:p>
    <w:p w14:paraId="72144241">
      <w:pPr>
        <w:pageBreakBefore w:val="0"/>
        <w:kinsoku/>
        <w:wordWrap/>
        <w:overflowPunct/>
        <w:topLinePunct w:val="0"/>
        <w:bidi w:val="0"/>
        <w:spacing w:line="360" w:lineRule="auto"/>
        <w:ind w:firstLine="562" w:firstLineChars="200"/>
        <w:rPr>
          <w:rFonts w:hint="default" w:ascii="Times New Roman" w:hAnsi="Times New Roman" w:cs="Times New Roman" w:eastAsiaTheme="minorEastAsia"/>
          <w:b/>
          <w:bCs/>
          <w:color w:val="auto"/>
          <w:sz w:val="28"/>
          <w:szCs w:val="28"/>
          <w:highlight w:val="none"/>
          <w:lang w:val="en-US" w:eastAsia="zh-CN"/>
        </w:rPr>
      </w:pPr>
      <w:r>
        <w:rPr>
          <w:rFonts w:hint="eastAsia" w:ascii="Times New Roman" w:hAnsi="Times New Roman" w:cs="Times New Roman" w:eastAsiaTheme="minorEastAsia"/>
          <w:b/>
          <w:bCs/>
          <w:color w:val="auto"/>
          <w:sz w:val="28"/>
          <w:szCs w:val="28"/>
          <w:highlight w:val="none"/>
          <w:lang w:val="en-US" w:eastAsia="zh-CN"/>
        </w:rPr>
        <w:t>1、地理位置</w:t>
      </w:r>
    </w:p>
    <w:p w14:paraId="1A14FAAF">
      <w:pPr>
        <w:pageBreakBefore w:val="0"/>
        <w:kinsoku/>
        <w:wordWrap/>
        <w:overflowPunct/>
        <w:topLinePunct w:val="0"/>
        <w:bidi w:val="0"/>
        <w:spacing w:line="360" w:lineRule="auto"/>
        <w:ind w:firstLine="560" w:firstLineChars="200"/>
        <w:jc w:val="left"/>
        <w:rPr>
          <w:rFonts w:hint="default"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大兴安岭地区呼玛县JH项目鸥浦乡配套采石场位于大兴安岭地区呼玛县鸥浦乡，核实区边界经纬度极值（2000国家大地坐标系）为：东经125°51′18.68″-125°51′29.32″，北纬52°38′23.96″-52°38′31.13″，中心点坐标：东经125°51′24″，北纬52°38′27″，核实区面积24287.2</w:t>
      </w:r>
      <w:r>
        <w:rPr>
          <w:rFonts w:hint="eastAsia" w:ascii="Times New Roman" w:hAnsi="Times New Roman" w:cs="Times New Roman" w:eastAsiaTheme="minorEastAsia"/>
          <w:color w:val="auto"/>
          <w:sz w:val="28"/>
          <w:szCs w:val="28"/>
          <w:lang w:val="en-US" w:eastAsia="zh-CN"/>
        </w:rPr>
        <w:t>m</w:t>
      </w:r>
      <w:r>
        <w:rPr>
          <w:rFonts w:hint="eastAsia" w:ascii="Times New Roman" w:hAnsi="Times New Roman" w:cs="Times New Roman" w:eastAsiaTheme="minorEastAsia"/>
          <w:color w:val="auto"/>
          <w:sz w:val="28"/>
          <w:szCs w:val="28"/>
          <w:vertAlign w:val="superscript"/>
          <w:lang w:val="en-US" w:eastAsia="zh-CN"/>
        </w:rPr>
        <w:t>2</w:t>
      </w:r>
      <w:r>
        <w:rPr>
          <w:rFonts w:hint="default" w:ascii="Times New Roman" w:hAnsi="Times New Roman" w:cs="Times New Roman" w:eastAsiaTheme="minorEastAsia"/>
          <w:color w:val="auto"/>
          <w:sz w:val="28"/>
          <w:szCs w:val="28"/>
        </w:rPr>
        <w:t>。</w:t>
      </w:r>
    </w:p>
    <w:p w14:paraId="3BBE83B3">
      <w:pPr>
        <w:pageBreakBefore w:val="0"/>
        <w:kinsoku/>
        <w:wordWrap/>
        <w:overflowPunct/>
        <w:topLinePunct w:val="0"/>
        <w:bidi w:val="0"/>
        <w:spacing w:line="360" w:lineRule="auto"/>
        <w:ind w:firstLine="560" w:firstLineChars="200"/>
        <w:jc w:val="left"/>
        <w:rPr>
          <w:rFonts w:hint="default"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核实区距离呼玛县城约173km，S209省道在矿区西南部130m处通过，距离呼玛县鸥浦乡运距21km，距呼玛县运距120km，距大兴安岭地区运距240km，距塔河县火车站86km，距离呼玛县鹿鼎山机场130km，交通较为便利，详见交通位置图。行政区划隶属于呼玛县管辖。所在1:5万地形图国际分幅为N51E021024哈拉巴奇林场二段。</w:t>
      </w:r>
    </w:p>
    <w:p w14:paraId="18D7FADE">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28"/>
          <w:szCs w:val="28"/>
          <w:highlight w:val="none"/>
        </w:rPr>
      </w:pPr>
      <w:r>
        <w:rPr>
          <w:rFonts w:hint="default" w:ascii="Times New Roman" w:hAnsi="Times New Roman" w:cs="Times New Roman" w:eastAsiaTheme="minorEastAsia"/>
          <w:color w:val="auto"/>
        </w:rPr>
        <w:drawing>
          <wp:inline distT="0" distB="0" distL="114300" distR="114300">
            <wp:extent cx="5457190" cy="6412230"/>
            <wp:effectExtent l="0" t="0" r="13970" b="381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2"/>
                    <a:stretch>
                      <a:fillRect/>
                    </a:stretch>
                  </pic:blipFill>
                  <pic:spPr>
                    <a:xfrm>
                      <a:off x="0" y="0"/>
                      <a:ext cx="5457190" cy="6412230"/>
                    </a:xfrm>
                    <a:prstGeom prst="rect">
                      <a:avLst/>
                    </a:prstGeom>
                    <a:noFill/>
                    <a:ln>
                      <a:noFill/>
                    </a:ln>
                  </pic:spPr>
                </pic:pic>
              </a:graphicData>
            </a:graphic>
          </wp:inline>
        </w:drawing>
      </w:r>
      <w:r>
        <w:rPr>
          <w:rFonts w:hint="default" w:ascii="Times New Roman" w:hAnsi="Times New Roman" w:cs="Times New Roman" w:eastAsiaTheme="minorEastAsia"/>
          <w:color w:val="auto"/>
          <w:sz w:val="28"/>
          <w:szCs w:val="28"/>
          <w:highlight w:val="none"/>
        </w:rPr>
        <w:t>图1-1  交通位置图</w:t>
      </w:r>
    </w:p>
    <w:p w14:paraId="6B2B525E">
      <w:pPr>
        <w:pageBreakBefore w:val="0"/>
        <w:kinsoku/>
        <w:wordWrap/>
        <w:overflowPunct/>
        <w:topLinePunct w:val="0"/>
        <w:bidi w:val="0"/>
        <w:spacing w:line="360" w:lineRule="auto"/>
        <w:jc w:val="center"/>
        <w:rPr>
          <w:rFonts w:hint="default" w:ascii="Times New Roman" w:hAnsi="Times New Roman" w:cs="Times New Roman" w:eastAsiaTheme="minorEastAsia"/>
          <w:color w:val="auto"/>
          <w:sz w:val="28"/>
          <w:szCs w:val="28"/>
          <w:highlight w:val="none"/>
        </w:rPr>
      </w:pPr>
    </w:p>
    <w:p w14:paraId="7AC05025">
      <w:pPr>
        <w:pageBreakBefore w:val="0"/>
        <w:kinsoku/>
        <w:wordWrap/>
        <w:overflowPunct/>
        <w:topLinePunct w:val="0"/>
        <w:bidi w:val="0"/>
        <w:spacing w:line="360" w:lineRule="auto"/>
        <w:ind w:firstLine="562" w:firstLineChars="200"/>
        <w:rPr>
          <w:rFonts w:hint="default" w:ascii="Times New Roman" w:hAnsi="Times New Roman" w:cs="Times New Roman" w:eastAsiaTheme="minorEastAsia"/>
          <w:b/>
          <w:bCs/>
          <w:color w:val="auto"/>
          <w:sz w:val="28"/>
          <w:szCs w:val="28"/>
          <w:highlight w:val="none"/>
          <w:lang w:val="en-US" w:eastAsia="zh-CN"/>
        </w:rPr>
      </w:pPr>
      <w:r>
        <w:rPr>
          <w:rFonts w:hint="eastAsia" w:ascii="Times New Roman" w:hAnsi="Times New Roman" w:cs="Times New Roman" w:eastAsiaTheme="minorEastAsia"/>
          <w:b/>
          <w:bCs/>
          <w:color w:val="auto"/>
          <w:sz w:val="28"/>
          <w:szCs w:val="28"/>
          <w:highlight w:val="none"/>
          <w:lang w:val="en-US" w:eastAsia="zh-CN"/>
        </w:rPr>
        <w:t>2、区域概况</w:t>
      </w:r>
    </w:p>
    <w:p w14:paraId="5C7D3AD4">
      <w:pPr>
        <w:pageBreakBefore w:val="0"/>
        <w:widowControl/>
        <w:wordWrap/>
        <w:bidi w:val="0"/>
        <w:spacing w:line="360" w:lineRule="auto"/>
        <w:ind w:firstLine="560" w:firstLineChars="200"/>
        <w:jc w:val="both"/>
        <w:rPr>
          <w:rFonts w:hint="eastAsia" w:ascii="Times New Roman" w:hAnsi="Times New Roman" w:eastAsia="宋体" w:cs="Times New Roman"/>
          <w:color w:val="auto"/>
          <w:kern w:val="0"/>
          <w:sz w:val="28"/>
          <w:szCs w:val="28"/>
          <w:lang w:bidi="ar"/>
        </w:rPr>
      </w:pPr>
      <w:r>
        <w:rPr>
          <w:rFonts w:hint="eastAsia" w:ascii="Times New Roman" w:hAnsi="Times New Roman" w:eastAsia="宋体" w:cs="Times New Roman"/>
          <w:color w:val="auto"/>
          <w:kern w:val="0"/>
          <w:sz w:val="28"/>
          <w:szCs w:val="28"/>
          <w:lang w:val="en-US" w:eastAsia="zh-CN" w:bidi="ar"/>
        </w:rPr>
        <w:t>1</w:t>
      </w:r>
      <w:r>
        <w:rPr>
          <w:rFonts w:hint="eastAsia" w:ascii="Times New Roman" w:hAnsi="Times New Roman" w:eastAsia="宋体" w:cs="Times New Roman"/>
          <w:color w:val="auto"/>
          <w:kern w:val="0"/>
          <w:sz w:val="28"/>
          <w:szCs w:val="28"/>
          <w:lang w:bidi="ar"/>
        </w:rPr>
        <w:t>）气象</w:t>
      </w:r>
    </w:p>
    <w:p w14:paraId="28D17B5C">
      <w:pPr>
        <w:pageBreakBefore w:val="0"/>
        <w:widowControl/>
        <w:wordWrap/>
        <w:bidi w:val="0"/>
        <w:spacing w:line="360" w:lineRule="auto"/>
        <w:ind w:firstLine="560" w:firstLineChars="200"/>
        <w:jc w:val="both"/>
        <w:rPr>
          <w:rFonts w:ascii="Times New Roman" w:hAnsi="Times New Roman" w:eastAsia="宋体" w:cs="Times New Roman"/>
          <w:color w:val="auto"/>
          <w:kern w:val="0"/>
          <w:sz w:val="28"/>
          <w:szCs w:val="28"/>
          <w:lang w:bidi="ar"/>
        </w:rPr>
      </w:pPr>
      <w:r>
        <w:rPr>
          <w:rFonts w:ascii="Times New Roman" w:hAnsi="Times New Roman" w:eastAsia="宋体" w:cs="Times New Roman"/>
          <w:color w:val="auto"/>
          <w:kern w:val="0"/>
          <w:sz w:val="28"/>
          <w:szCs w:val="28"/>
          <w:lang w:bidi="ar"/>
        </w:rPr>
        <w:t>矿区气候为寒温带大陆性季风气候，冬季漫长夏季短暂。冬季气候寒冷，最低气温可达-40℃，为高寒地区，冬季达七个月之久；夏季炎热多雨，最高气温为28℃，年降雨量300-500毫米；一般年份九月上旬开始初霜，九月中旬至十月初开始降雪，翌年五月上旬开始解冻，五月末冰雪消融。</w:t>
      </w:r>
      <w:r>
        <w:rPr>
          <w:rFonts w:hint="eastAsia" w:ascii="Times New Roman" w:hAnsi="Times New Roman" w:eastAsia="宋体" w:cs="Times New Roman"/>
          <w:color w:val="auto"/>
          <w:kern w:val="0"/>
          <w:sz w:val="28"/>
          <w:szCs w:val="28"/>
          <w:lang w:bidi="ar"/>
        </w:rPr>
        <w:t>该区普遍分布季节性冻土，季节性冻土标准冻深为2.80m。</w:t>
      </w:r>
    </w:p>
    <w:p w14:paraId="159EEB5F">
      <w:pPr>
        <w:pageBreakBefore w:val="0"/>
        <w:widowControl/>
        <w:wordWrap/>
        <w:bidi w:val="0"/>
        <w:spacing w:line="360" w:lineRule="auto"/>
        <w:ind w:firstLine="560" w:firstLineChars="200"/>
        <w:jc w:val="both"/>
        <w:rPr>
          <w:rFonts w:hint="eastAsia" w:ascii="Times New Roman" w:hAnsi="Times New Roman" w:eastAsia="宋体" w:cs="Times New Roman"/>
          <w:color w:val="auto"/>
          <w:kern w:val="0"/>
          <w:sz w:val="28"/>
          <w:szCs w:val="28"/>
          <w:lang w:val="en-US" w:eastAsia="zh-CN" w:bidi="ar"/>
        </w:rPr>
      </w:pPr>
      <w:r>
        <w:rPr>
          <w:rFonts w:hint="eastAsia" w:ascii="Times New Roman" w:hAnsi="Times New Roman" w:eastAsia="宋体" w:cs="Times New Roman"/>
          <w:color w:val="auto"/>
          <w:kern w:val="0"/>
          <w:sz w:val="28"/>
          <w:szCs w:val="28"/>
          <w:lang w:val="en-US" w:eastAsia="zh-CN" w:bidi="ar"/>
        </w:rPr>
        <w:t>2）水文</w:t>
      </w:r>
    </w:p>
    <w:p w14:paraId="58A23209">
      <w:pPr>
        <w:pageBreakBefore w:val="0"/>
        <w:widowControl/>
        <w:wordWrap/>
        <w:bidi w:val="0"/>
        <w:spacing w:line="360" w:lineRule="auto"/>
        <w:ind w:firstLine="560" w:firstLineChars="200"/>
        <w:jc w:val="both"/>
        <w:rPr>
          <w:rFonts w:hint="eastAsia" w:ascii="Times New Roman" w:hAnsi="Times New Roman" w:eastAsia="宋体" w:cs="Times New Roman"/>
          <w:color w:val="auto"/>
          <w:kern w:val="0"/>
          <w:sz w:val="28"/>
          <w:szCs w:val="28"/>
          <w:lang w:bidi="ar"/>
        </w:rPr>
      </w:pPr>
      <w:r>
        <w:rPr>
          <w:rFonts w:hint="eastAsia" w:ascii="Times New Roman" w:hAnsi="Times New Roman" w:eastAsia="宋体" w:cs="Times New Roman"/>
          <w:color w:val="auto"/>
          <w:kern w:val="0"/>
          <w:sz w:val="28"/>
          <w:szCs w:val="28"/>
          <w:lang w:bidi="ar"/>
        </w:rPr>
        <w:t>评估</w:t>
      </w:r>
      <w:r>
        <w:rPr>
          <w:rFonts w:ascii="Times New Roman" w:hAnsi="Times New Roman" w:eastAsia="宋体" w:cs="Times New Roman"/>
          <w:color w:val="auto"/>
          <w:kern w:val="0"/>
          <w:sz w:val="28"/>
          <w:szCs w:val="28"/>
          <w:lang w:bidi="ar"/>
        </w:rPr>
        <w:t>区内无河流，</w:t>
      </w:r>
      <w:r>
        <w:rPr>
          <w:rFonts w:hint="eastAsia" w:ascii="Times New Roman" w:hAnsi="Times New Roman" w:eastAsia="宋体" w:cs="Times New Roman"/>
          <w:color w:val="auto"/>
          <w:kern w:val="0"/>
          <w:sz w:val="28"/>
          <w:szCs w:val="28"/>
          <w:lang w:bidi="ar"/>
        </w:rPr>
        <w:t>大鱼翁河属于</w:t>
      </w:r>
      <w:r>
        <w:rPr>
          <w:rFonts w:ascii="Times New Roman" w:hAnsi="Times New Roman" w:eastAsia="宋体" w:cs="Times New Roman"/>
          <w:color w:val="auto"/>
          <w:kern w:val="0"/>
          <w:sz w:val="28"/>
          <w:szCs w:val="28"/>
          <w:lang w:bidi="ar"/>
        </w:rPr>
        <w:t>黑龙江水系</w:t>
      </w:r>
      <w:r>
        <w:rPr>
          <w:rFonts w:hint="eastAsia" w:ascii="Times New Roman" w:hAnsi="Times New Roman" w:eastAsia="宋体" w:cs="Times New Roman"/>
          <w:color w:val="auto"/>
          <w:kern w:val="0"/>
          <w:sz w:val="28"/>
          <w:szCs w:val="28"/>
          <w:lang w:bidi="ar"/>
        </w:rPr>
        <w:t>，在矿区南侧300处，由西向东汇入黑龙江，</w:t>
      </w:r>
      <w:r>
        <w:rPr>
          <w:rFonts w:ascii="Times New Roman" w:hAnsi="Times New Roman" w:eastAsia="宋体" w:cs="Times New Roman"/>
          <w:color w:val="auto"/>
          <w:kern w:val="0"/>
          <w:sz w:val="28"/>
          <w:szCs w:val="28"/>
          <w:lang w:bidi="ar"/>
        </w:rPr>
        <w:t>为山溪性小河</w:t>
      </w:r>
      <w:r>
        <w:rPr>
          <w:rFonts w:hint="eastAsia" w:ascii="Times New Roman" w:hAnsi="Times New Roman" w:eastAsia="宋体" w:cs="Times New Roman"/>
          <w:color w:val="auto"/>
          <w:kern w:val="0"/>
          <w:sz w:val="28"/>
          <w:szCs w:val="28"/>
          <w:lang w:bidi="ar"/>
        </w:rPr>
        <w:t>。</w:t>
      </w:r>
    </w:p>
    <w:p w14:paraId="0EBE7725">
      <w:pPr>
        <w:pageBreakBefore w:val="0"/>
        <w:widowControl/>
        <w:wordWrap/>
        <w:bidi w:val="0"/>
        <w:spacing w:line="360" w:lineRule="auto"/>
        <w:ind w:firstLine="560" w:firstLineChars="200"/>
        <w:jc w:val="both"/>
        <w:rPr>
          <w:rFonts w:ascii="Times New Roman" w:hAnsi="Times New Roman" w:eastAsia="宋体" w:cs="Times New Roman"/>
          <w:color w:val="auto"/>
          <w:kern w:val="0"/>
          <w:sz w:val="28"/>
          <w:szCs w:val="28"/>
          <w:lang w:bidi="ar"/>
        </w:rPr>
      </w:pPr>
      <w:r>
        <w:rPr>
          <w:rFonts w:hint="eastAsia" w:ascii="Times New Roman" w:hAnsi="Times New Roman" w:eastAsia="宋体" w:cs="Times New Roman"/>
          <w:color w:val="auto"/>
          <w:kern w:val="0"/>
          <w:sz w:val="28"/>
          <w:szCs w:val="28"/>
          <w:lang w:bidi="ar"/>
        </w:rPr>
        <w:t>黑龙江是世界著名大河之一，干流全长2821km</w:t>
      </w:r>
      <w:r>
        <w:rPr>
          <w:rFonts w:hint="eastAsia" w:ascii="Times New Roman" w:hAnsi="Times New Roman" w:eastAsia="宋体" w:cs="Times New Roman"/>
          <w:color w:val="auto"/>
          <w:kern w:val="0"/>
          <w:sz w:val="28"/>
          <w:szCs w:val="28"/>
          <w:vertAlign w:val="superscript"/>
          <w:lang w:bidi="ar"/>
        </w:rPr>
        <w:t>2</w:t>
      </w:r>
      <w:r>
        <w:rPr>
          <w:rFonts w:hint="eastAsia" w:ascii="Times New Roman" w:hAnsi="Times New Roman" w:eastAsia="宋体" w:cs="Times New Roman"/>
          <w:color w:val="auto"/>
          <w:kern w:val="0"/>
          <w:sz w:val="28"/>
          <w:szCs w:val="28"/>
          <w:lang w:bidi="ar"/>
        </w:rPr>
        <w:t>，自额尔古纳河至黒河段为上游，呼玛境内上自富拉汗河的龙站岛起，下至四克金的红星岛，全长377.5 km</w:t>
      </w:r>
      <w:r>
        <w:rPr>
          <w:rFonts w:hint="eastAsia" w:ascii="Times New Roman" w:hAnsi="Times New Roman" w:eastAsia="宋体" w:cs="Times New Roman"/>
          <w:color w:val="auto"/>
          <w:kern w:val="0"/>
          <w:sz w:val="28"/>
          <w:szCs w:val="28"/>
          <w:vertAlign w:val="superscript"/>
          <w:lang w:bidi="ar"/>
        </w:rPr>
        <w:t>2</w:t>
      </w:r>
      <w:r>
        <w:rPr>
          <w:rFonts w:hint="eastAsia" w:ascii="Times New Roman" w:hAnsi="Times New Roman" w:eastAsia="宋体" w:cs="Times New Roman"/>
          <w:color w:val="auto"/>
          <w:kern w:val="0"/>
          <w:sz w:val="28"/>
          <w:szCs w:val="28"/>
          <w:lang w:bidi="ar"/>
        </w:rPr>
        <w:t>，历史最大流量22000m</w:t>
      </w:r>
      <w:r>
        <w:rPr>
          <w:rFonts w:hint="eastAsia" w:ascii="Times New Roman" w:hAnsi="Times New Roman" w:eastAsia="宋体" w:cs="Times New Roman"/>
          <w:color w:val="auto"/>
          <w:kern w:val="0"/>
          <w:sz w:val="28"/>
          <w:szCs w:val="28"/>
          <w:vertAlign w:val="superscript"/>
          <w:lang w:bidi="ar"/>
        </w:rPr>
        <w:t>3</w:t>
      </w:r>
      <w:r>
        <w:rPr>
          <w:rFonts w:hint="eastAsia" w:ascii="Times New Roman" w:hAnsi="Times New Roman" w:eastAsia="宋体" w:cs="Times New Roman"/>
          <w:color w:val="auto"/>
          <w:kern w:val="0"/>
          <w:sz w:val="28"/>
          <w:szCs w:val="28"/>
          <w:lang w:bidi="ar"/>
        </w:rPr>
        <w:t>/s，最小流量200m</w:t>
      </w:r>
      <w:r>
        <w:rPr>
          <w:rFonts w:hint="eastAsia" w:ascii="Times New Roman" w:hAnsi="Times New Roman" w:eastAsia="宋体" w:cs="Times New Roman"/>
          <w:color w:val="auto"/>
          <w:kern w:val="0"/>
          <w:sz w:val="28"/>
          <w:szCs w:val="28"/>
          <w:vertAlign w:val="superscript"/>
          <w:lang w:bidi="ar"/>
        </w:rPr>
        <w:t>3</w:t>
      </w:r>
      <w:r>
        <w:rPr>
          <w:rFonts w:hint="eastAsia" w:ascii="Times New Roman" w:hAnsi="Times New Roman" w:eastAsia="宋体" w:cs="Times New Roman"/>
          <w:color w:val="auto"/>
          <w:kern w:val="0"/>
          <w:sz w:val="28"/>
          <w:szCs w:val="28"/>
          <w:lang w:bidi="ar"/>
        </w:rPr>
        <w:t>/s，平均封冻天数160天左右，平均冰厚1.28m，最大冰厚1.88m。</w:t>
      </w:r>
    </w:p>
    <w:p w14:paraId="6FA79026">
      <w:pPr>
        <w:pageBreakBefore w:val="0"/>
        <w:widowControl/>
        <w:wordWrap/>
        <w:bidi w:val="0"/>
        <w:spacing w:line="360" w:lineRule="auto"/>
        <w:ind w:firstLine="560" w:firstLineChars="200"/>
        <w:jc w:val="both"/>
        <w:rPr>
          <w:rFonts w:hint="eastAsia" w:ascii="Times New Roman" w:hAnsi="Times New Roman" w:eastAsia="宋体" w:cs="Times New Roman"/>
          <w:color w:val="auto"/>
          <w:kern w:val="0"/>
          <w:sz w:val="28"/>
          <w:szCs w:val="28"/>
          <w:lang w:val="en-US" w:eastAsia="zh-CN" w:bidi="ar"/>
        </w:rPr>
      </w:pPr>
      <w:r>
        <w:rPr>
          <w:rFonts w:hint="eastAsia" w:ascii="Times New Roman" w:hAnsi="Times New Roman" w:eastAsia="宋体" w:cs="Times New Roman"/>
          <w:color w:val="auto"/>
          <w:kern w:val="0"/>
          <w:sz w:val="28"/>
          <w:szCs w:val="28"/>
          <w:lang w:val="en-US" w:eastAsia="zh-CN" w:bidi="ar"/>
        </w:rPr>
        <w:t>3）地形地貌</w:t>
      </w:r>
    </w:p>
    <w:p w14:paraId="020C94C7">
      <w:pPr>
        <w:pageBreakBefore w:val="0"/>
        <w:wordWrap/>
        <w:bidi w:val="0"/>
        <w:spacing w:line="360" w:lineRule="auto"/>
        <w:ind w:firstLine="560" w:firstLineChars="200"/>
        <w:jc w:val="both"/>
        <w:rPr>
          <w:rFonts w:hint="eastAsia"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呼玛县，地势西北高、东南低，西北部属低山丘陵区，东南部属漫岗平原区。地貌标高143-788米，平均海拔350米（系黄海高程）。属多山区，辖区内深山地约占全县总面积的83.8%，丘陵地约占全县总面积的5.4%，平原约占全县总面积的9.9%，河流湖泊等约占全县总面积的0.9%。</w:t>
      </w:r>
    </w:p>
    <w:p w14:paraId="0E1D142E">
      <w:pPr>
        <w:pageBreakBefore w:val="0"/>
        <w:wordWrap/>
        <w:bidi w:val="0"/>
        <w:spacing w:line="360" w:lineRule="auto"/>
        <w:ind w:firstLine="560" w:firstLineChars="200"/>
        <w:jc w:val="both"/>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矿区地处丘陵之上，地形起伏较大，地势呈东低西高，海拔标高在297m-332.5m之间。</w:t>
      </w:r>
    </w:p>
    <w:p w14:paraId="69BBDC2C">
      <w:pPr>
        <w:pageBreakBefore w:val="0"/>
        <w:wordWrap/>
        <w:bidi w:val="0"/>
        <w:spacing w:line="360" w:lineRule="auto"/>
        <w:ind w:firstLine="560" w:firstLineChars="200"/>
        <w:jc w:val="both"/>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矿区地貌成因为构造地貌，形态成因为褶断剥蚀丘陵，岩性形态为花岗岩基浑园状丘陵</w:t>
      </w:r>
      <w:r>
        <w:rPr>
          <w:rFonts w:hint="eastAsia" w:ascii="Times New Roman" w:hAnsi="Times New Roman" w:eastAsia="宋体" w:cs="Times New Roman"/>
          <w:color w:val="auto"/>
          <w:sz w:val="28"/>
          <w:szCs w:val="28"/>
          <w:lang w:eastAsia="zh-CN"/>
        </w:rPr>
        <w:t>。</w:t>
      </w:r>
    </w:p>
    <w:p w14:paraId="4AE10431">
      <w:pPr>
        <w:pageBreakBefore w:val="0"/>
        <w:widowControl/>
        <w:wordWrap/>
        <w:bidi w:val="0"/>
        <w:spacing w:line="360" w:lineRule="auto"/>
        <w:ind w:firstLine="560" w:firstLineChars="200"/>
        <w:jc w:val="both"/>
        <w:rPr>
          <w:rFonts w:hint="eastAsia" w:ascii="Times New Roman" w:hAnsi="Times New Roman" w:eastAsia="宋体" w:cs="Times New Roman"/>
          <w:color w:val="auto"/>
          <w:kern w:val="0"/>
          <w:sz w:val="28"/>
          <w:szCs w:val="28"/>
          <w:lang w:val="en-US" w:eastAsia="zh-CN" w:bidi="ar"/>
        </w:rPr>
      </w:pPr>
      <w:r>
        <w:rPr>
          <w:rFonts w:hint="eastAsia" w:ascii="Times New Roman" w:hAnsi="Times New Roman" w:eastAsia="宋体" w:cs="Times New Roman"/>
          <w:color w:val="auto"/>
          <w:kern w:val="0"/>
          <w:sz w:val="28"/>
          <w:szCs w:val="28"/>
          <w:lang w:val="en-US" w:eastAsia="zh-CN" w:bidi="ar"/>
        </w:rPr>
        <w:t>4）植被</w:t>
      </w:r>
    </w:p>
    <w:p w14:paraId="51ABEA6B">
      <w:pPr>
        <w:pageBreakBefore w:val="0"/>
        <w:wordWrap/>
        <w:bidi w:val="0"/>
        <w:spacing w:line="360" w:lineRule="auto"/>
        <w:ind w:firstLine="560" w:firstLineChars="200"/>
        <w:jc w:val="both"/>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矿区主要生长松树、柞树、桦树、灌木及草本植物，土特产有蘑菇、木耳及中草药等。</w:t>
      </w:r>
    </w:p>
    <w:p w14:paraId="571E92C3">
      <w:pPr>
        <w:pageBreakBefore w:val="0"/>
        <w:wordWrap/>
        <w:bidi w:val="0"/>
        <w:spacing w:line="360" w:lineRule="auto"/>
        <w:ind w:firstLine="560" w:firstLineChars="200"/>
        <w:jc w:val="both"/>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drawing>
          <wp:anchor distT="0" distB="0" distL="114300" distR="114300" simplePos="0" relativeHeight="251660288" behindDoc="0" locked="0" layoutInCell="1" allowOverlap="1">
            <wp:simplePos x="0" y="0"/>
            <wp:positionH relativeFrom="column">
              <wp:posOffset>1218565</wp:posOffset>
            </wp:positionH>
            <wp:positionV relativeFrom="paragraph">
              <wp:posOffset>52070</wp:posOffset>
            </wp:positionV>
            <wp:extent cx="2628900" cy="3505835"/>
            <wp:effectExtent l="0" t="0" r="7620" b="14605"/>
            <wp:wrapNone/>
            <wp:docPr id="2" name="图片 2" descr="258816e52b8ddc851ea033c41e5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58816e52b8ddc851ea033c41e51239"/>
                    <pic:cNvPicPr>
                      <a:picLocks noChangeAspect="1"/>
                    </pic:cNvPicPr>
                  </pic:nvPicPr>
                  <pic:blipFill>
                    <a:blip r:embed="rId13"/>
                    <a:stretch>
                      <a:fillRect/>
                    </a:stretch>
                  </pic:blipFill>
                  <pic:spPr>
                    <a:xfrm>
                      <a:off x="0" y="0"/>
                      <a:ext cx="2628900" cy="3505835"/>
                    </a:xfrm>
                    <a:prstGeom prst="rect">
                      <a:avLst/>
                    </a:prstGeom>
                    <a:noFill/>
                    <a:ln>
                      <a:noFill/>
                    </a:ln>
                  </pic:spPr>
                </pic:pic>
              </a:graphicData>
            </a:graphic>
          </wp:anchor>
        </w:drawing>
      </w:r>
    </w:p>
    <w:p w14:paraId="3C7409C5">
      <w:pPr>
        <w:pageBreakBefore w:val="0"/>
        <w:wordWrap/>
        <w:bidi w:val="0"/>
        <w:spacing w:line="360" w:lineRule="auto"/>
        <w:ind w:firstLine="560" w:firstLineChars="200"/>
        <w:jc w:val="both"/>
        <w:rPr>
          <w:rFonts w:ascii="Times New Roman" w:hAnsi="Times New Roman" w:eastAsia="宋体" w:cs="Times New Roman"/>
          <w:color w:val="auto"/>
          <w:sz w:val="28"/>
          <w:szCs w:val="28"/>
        </w:rPr>
      </w:pPr>
    </w:p>
    <w:p w14:paraId="5204AD4D">
      <w:pPr>
        <w:pageBreakBefore w:val="0"/>
        <w:wordWrap/>
        <w:bidi w:val="0"/>
        <w:spacing w:line="360" w:lineRule="auto"/>
        <w:ind w:firstLine="560" w:firstLineChars="200"/>
        <w:jc w:val="both"/>
        <w:rPr>
          <w:rFonts w:ascii="Times New Roman" w:hAnsi="Times New Roman" w:eastAsia="宋体" w:cs="Times New Roman"/>
          <w:color w:val="auto"/>
          <w:sz w:val="28"/>
          <w:szCs w:val="28"/>
        </w:rPr>
      </w:pPr>
    </w:p>
    <w:p w14:paraId="69CF61C1">
      <w:pPr>
        <w:pageBreakBefore w:val="0"/>
        <w:wordWrap/>
        <w:bidi w:val="0"/>
        <w:spacing w:line="360" w:lineRule="auto"/>
        <w:ind w:firstLine="560" w:firstLineChars="200"/>
        <w:jc w:val="both"/>
        <w:rPr>
          <w:rFonts w:ascii="Times New Roman" w:hAnsi="Times New Roman" w:eastAsia="宋体" w:cs="Times New Roman"/>
          <w:color w:val="auto"/>
          <w:sz w:val="28"/>
          <w:szCs w:val="28"/>
        </w:rPr>
      </w:pPr>
    </w:p>
    <w:p w14:paraId="580B64F7">
      <w:pPr>
        <w:pageBreakBefore w:val="0"/>
        <w:wordWrap/>
        <w:bidi w:val="0"/>
        <w:spacing w:line="360" w:lineRule="auto"/>
        <w:ind w:firstLine="560" w:firstLineChars="200"/>
        <w:jc w:val="both"/>
        <w:rPr>
          <w:rFonts w:ascii="Times New Roman" w:hAnsi="Times New Roman" w:eastAsia="宋体" w:cs="Times New Roman"/>
          <w:color w:val="auto"/>
          <w:sz w:val="28"/>
          <w:szCs w:val="28"/>
        </w:rPr>
      </w:pPr>
    </w:p>
    <w:p w14:paraId="2BC49F91">
      <w:pPr>
        <w:pageBreakBefore w:val="0"/>
        <w:wordWrap/>
        <w:bidi w:val="0"/>
        <w:spacing w:line="360" w:lineRule="auto"/>
        <w:ind w:firstLine="560" w:firstLineChars="200"/>
        <w:jc w:val="both"/>
        <w:rPr>
          <w:rFonts w:ascii="Times New Roman" w:hAnsi="Times New Roman" w:eastAsia="宋体" w:cs="Times New Roman"/>
          <w:color w:val="auto"/>
          <w:sz w:val="28"/>
          <w:szCs w:val="28"/>
        </w:rPr>
      </w:pPr>
    </w:p>
    <w:p w14:paraId="25E854B2">
      <w:pPr>
        <w:pageBreakBefore w:val="0"/>
        <w:wordWrap/>
        <w:bidi w:val="0"/>
        <w:spacing w:line="360" w:lineRule="auto"/>
        <w:ind w:firstLine="560" w:firstLineChars="200"/>
        <w:jc w:val="both"/>
        <w:rPr>
          <w:rFonts w:ascii="Times New Roman" w:hAnsi="Times New Roman" w:eastAsia="宋体" w:cs="Times New Roman"/>
          <w:color w:val="auto"/>
          <w:sz w:val="28"/>
          <w:szCs w:val="28"/>
        </w:rPr>
      </w:pPr>
    </w:p>
    <w:p w14:paraId="4B2C9649">
      <w:pPr>
        <w:pageBreakBefore w:val="0"/>
        <w:wordWrap/>
        <w:bidi w:val="0"/>
        <w:spacing w:line="360" w:lineRule="auto"/>
        <w:ind w:firstLine="560" w:firstLineChars="200"/>
        <w:jc w:val="both"/>
        <w:rPr>
          <w:rFonts w:ascii="Times New Roman" w:hAnsi="Times New Roman" w:eastAsia="宋体" w:cs="Times New Roman"/>
          <w:color w:val="auto"/>
          <w:sz w:val="28"/>
          <w:szCs w:val="28"/>
        </w:rPr>
      </w:pPr>
    </w:p>
    <w:p w14:paraId="40C3E068">
      <w:pPr>
        <w:pageBreakBefore w:val="0"/>
        <w:wordWrap/>
        <w:bidi w:val="0"/>
        <w:spacing w:line="360" w:lineRule="auto"/>
        <w:ind w:firstLine="560" w:firstLineChars="200"/>
        <w:jc w:val="both"/>
        <w:rPr>
          <w:rFonts w:ascii="Times New Roman" w:hAnsi="Times New Roman" w:eastAsia="宋体" w:cs="Times New Roman"/>
          <w:color w:val="auto"/>
          <w:sz w:val="28"/>
          <w:szCs w:val="28"/>
        </w:rPr>
      </w:pPr>
    </w:p>
    <w:p w14:paraId="567A7011">
      <w:pPr>
        <w:pageBreakBefore w:val="0"/>
        <w:tabs>
          <w:tab w:val="left" w:pos="750"/>
        </w:tabs>
        <w:wordWrap/>
        <w:bidi w:val="0"/>
        <w:spacing w:line="360" w:lineRule="auto"/>
        <w:jc w:val="center"/>
        <w:rPr>
          <w:rStyle w:val="33"/>
          <w:color w:val="auto"/>
        </w:rPr>
      </w:pPr>
      <w:r>
        <w:rPr>
          <w:rStyle w:val="33"/>
          <w:color w:val="auto"/>
        </w:rPr>
        <w:t>照片</w:t>
      </w:r>
      <w:r>
        <w:rPr>
          <w:rStyle w:val="33"/>
          <w:rFonts w:hint="eastAsia" w:eastAsia="黑体"/>
          <w:color w:val="auto"/>
          <w:lang w:val="en-US" w:eastAsia="zh-CN"/>
        </w:rPr>
        <w:t>1</w:t>
      </w:r>
      <w:r>
        <w:rPr>
          <w:rStyle w:val="33"/>
          <w:color w:val="auto"/>
        </w:rPr>
        <w:t>-</w:t>
      </w:r>
      <w:r>
        <w:rPr>
          <w:rStyle w:val="33"/>
          <w:rFonts w:hint="eastAsia" w:eastAsia="黑体"/>
          <w:color w:val="auto"/>
          <w:lang w:val="en-US" w:eastAsia="zh-CN"/>
        </w:rPr>
        <w:t>1</w:t>
      </w:r>
      <w:r>
        <w:rPr>
          <w:rStyle w:val="33"/>
          <w:color w:val="auto"/>
        </w:rPr>
        <w:t xml:space="preserve">  矿区植被</w:t>
      </w:r>
    </w:p>
    <w:p w14:paraId="20C6757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imes New Roman" w:hAnsi="Times New Roman" w:cs="Times New Roman" w:eastAsiaTheme="minorEastAsia"/>
          <w:color w:val="auto"/>
          <w:sz w:val="28"/>
          <w:szCs w:val="28"/>
          <w:lang w:val="en-US" w:eastAsia="zh-CN"/>
        </w:rPr>
      </w:pPr>
      <w:r>
        <w:rPr>
          <w:rFonts w:hint="eastAsia" w:ascii="Times New Roman" w:hAnsi="Times New Roman" w:cs="Times New Roman"/>
          <w:color w:val="auto"/>
          <w:sz w:val="28"/>
          <w:szCs w:val="28"/>
          <w:lang w:val="en-US" w:eastAsia="zh-CN"/>
        </w:rPr>
        <w:t>5、</w:t>
      </w:r>
      <w:r>
        <w:rPr>
          <w:rFonts w:hint="eastAsia" w:ascii="Times New Roman" w:hAnsi="Times New Roman" w:cs="Times New Roman" w:eastAsiaTheme="minorEastAsia"/>
          <w:color w:val="auto"/>
          <w:sz w:val="28"/>
          <w:szCs w:val="28"/>
          <w:lang w:val="en-US" w:eastAsia="zh-CN"/>
        </w:rPr>
        <w:t>相邻矿山情况</w:t>
      </w:r>
    </w:p>
    <w:p w14:paraId="60A2CDE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cs="Times New Roman" w:eastAsiaTheme="minorEastAsia"/>
          <w:color w:val="auto"/>
          <w:sz w:val="28"/>
          <w:szCs w:val="28"/>
          <w:lang w:val="en-US" w:eastAsia="zh-CN"/>
        </w:rPr>
      </w:pPr>
      <w:r>
        <w:rPr>
          <w:rFonts w:hint="default" w:ascii="Times New Roman" w:hAnsi="Times New Roman" w:cs="Times New Roman" w:eastAsiaTheme="minorEastAsia"/>
          <w:color w:val="auto"/>
          <w:sz w:val="28"/>
          <w:szCs w:val="28"/>
        </w:rPr>
        <w:t>大兴安岭地区呼玛县JH项目鸥浦乡配套采石场建筑用凝灰岩矿</w:t>
      </w:r>
      <w:r>
        <w:rPr>
          <w:rFonts w:hint="eastAsia" w:ascii="Times New Roman" w:hAnsi="Times New Roman" w:cs="Times New Roman" w:eastAsiaTheme="minorEastAsia"/>
          <w:color w:val="auto"/>
          <w:sz w:val="28"/>
          <w:szCs w:val="28"/>
          <w:lang w:val="en-US" w:eastAsia="zh-CN"/>
        </w:rPr>
        <w:t>周边无其他矿权设置</w:t>
      </w:r>
      <w:r>
        <w:rPr>
          <w:rFonts w:hint="default" w:ascii="Times New Roman" w:hAnsi="Times New Roman" w:cs="Times New Roman" w:eastAsiaTheme="minorEastAsia"/>
          <w:color w:val="auto"/>
          <w:sz w:val="28"/>
          <w:szCs w:val="28"/>
        </w:rPr>
        <w:t>，无工矿污染源</w:t>
      </w:r>
      <w:r>
        <w:rPr>
          <w:rFonts w:hint="eastAsia" w:ascii="Times New Roman" w:hAnsi="Times New Roman" w:cs="Times New Roman" w:eastAsiaTheme="minorEastAsia"/>
          <w:color w:val="auto"/>
          <w:sz w:val="28"/>
          <w:szCs w:val="28"/>
          <w:lang w:val="en-US" w:eastAsia="zh-CN"/>
        </w:rPr>
        <w:t>。</w:t>
      </w:r>
    </w:p>
    <w:p w14:paraId="1DC2D9DE">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16" w:name="_Toc167307736"/>
      <w:bookmarkStart w:id="17" w:name="_Toc24704"/>
      <w:bookmarkStart w:id="18" w:name="_Toc31123"/>
      <w:bookmarkStart w:id="19" w:name="_Toc18432"/>
      <w:bookmarkStart w:id="20" w:name="_Toc17304"/>
      <w:r>
        <w:rPr>
          <w:rFonts w:hint="default" w:ascii="Times New Roman" w:hAnsi="Times New Roman" w:cs="Times New Roman" w:eastAsiaTheme="minorEastAsia"/>
          <w:color w:val="auto"/>
          <w:sz w:val="30"/>
          <w:szCs w:val="30"/>
          <w:highlight w:val="none"/>
          <w:lang w:val="en-US" w:eastAsia="zh-CN"/>
        </w:rPr>
        <w:t>二、矿业权人基本情况</w:t>
      </w:r>
      <w:bookmarkEnd w:id="16"/>
      <w:bookmarkEnd w:id="17"/>
      <w:bookmarkEnd w:id="18"/>
      <w:bookmarkEnd w:id="19"/>
      <w:bookmarkEnd w:id="20"/>
    </w:p>
    <w:p w14:paraId="702C53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cs="Times New Roman" w:eastAsiaTheme="minorEastAsia"/>
          <w:color w:val="auto"/>
          <w:sz w:val="28"/>
          <w:szCs w:val="28"/>
          <w:lang w:eastAsia="zh-CN"/>
        </w:rPr>
      </w:pPr>
      <w:r>
        <w:rPr>
          <w:rFonts w:hint="default" w:ascii="Times New Roman" w:hAnsi="Times New Roman" w:cs="Times New Roman" w:eastAsiaTheme="minorEastAsia"/>
          <w:color w:val="auto"/>
          <w:sz w:val="28"/>
          <w:szCs w:val="28"/>
        </w:rPr>
        <w:t>大兴安岭呼玛对俄经济贸易园区开发有限责任公司企业性质为国有独资有限责任公司，隶属于呼玛县人民政府，由县财政局国资办负责国有资产监管</w:t>
      </w:r>
      <w:r>
        <w:rPr>
          <w:rFonts w:hint="default" w:ascii="Times New Roman" w:hAnsi="Times New Roman" w:cs="Times New Roman" w:eastAsiaTheme="minorEastAsia"/>
          <w:color w:val="auto"/>
          <w:sz w:val="28"/>
          <w:szCs w:val="28"/>
          <w:lang w:eastAsia="zh-CN"/>
        </w:rPr>
        <w:t>。</w:t>
      </w:r>
    </w:p>
    <w:p w14:paraId="5EF516E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lang w:val="en-US" w:eastAsia="zh-CN"/>
        </w:rPr>
        <w:t>大兴安岭呼玛对俄经济贸易园区开发有限责任公司为本地合规经营的综合型开发企业，主营业务涵盖建筑用凝灰岩等非金属矿产露天开采、矿石破碎加工、机制砂石及建筑石料销售、矿山地质环境治理、土地复垦与生态修复工程施工，同时承接区域内土石方工程、场地平整及边境经贸园区配套基础设施建设、仓储中转等相关配套业务。公司立足呼玛县本地基建保障与边境园区开发需求，矿产品主要保障辖区道路工程、乡村建设、矿山治理、园区基建及生态修复项目用料，供需稳定、经营规范。</w:t>
      </w:r>
    </w:p>
    <w:p w14:paraId="5167EB1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lang w:val="en-US" w:eastAsia="zh-CN"/>
        </w:rPr>
        <w:t>公司具备完善的矿山生产技术与安全管理体系，配置采矿、地质、测绘、安全、水土保持、生态修复等专职专业技术人员</w:t>
      </w:r>
      <w:r>
        <w:rPr>
          <w:rFonts w:hint="eastAsia" w:ascii="Times New Roman" w:hAnsi="Times New Roman" w:cs="Times New Roman"/>
          <w:color w:val="auto"/>
          <w:sz w:val="28"/>
          <w:szCs w:val="28"/>
          <w:lang w:val="en-US" w:eastAsia="zh-CN"/>
        </w:rPr>
        <w:t>12人，其中高级工程师5个、中级工程师7人</w:t>
      </w:r>
      <w:r>
        <w:rPr>
          <w:rFonts w:hint="default" w:ascii="Times New Roman" w:hAnsi="Times New Roman" w:cs="Times New Roman" w:eastAsiaTheme="minorEastAsia"/>
          <w:color w:val="auto"/>
          <w:sz w:val="28"/>
          <w:szCs w:val="28"/>
          <w:lang w:val="en-US" w:eastAsia="zh-CN"/>
        </w:rPr>
        <w:t>，拥有矿山开采、土石方施工、砂石破碎筛分、现场测绘及生态治理配套成套设备，可独立完成矿区地形测量、资源储量动态监测、开采现场技术管控、边坡安全巡查、水土保持措施落实及矿区生态修复等全过程技术与施工管理工作。企业熟练掌握高纬度寒区露天矿山规范化开采工艺，适配冻土、林区生态保护及高寒地区植被恢复施工要求，能够严格按照矿产资源开</w:t>
      </w:r>
      <w:r>
        <w:rPr>
          <w:rFonts w:hint="eastAsia" w:ascii="Times New Roman" w:hAnsi="Times New Roman" w:cs="Times New Roman"/>
          <w:color w:val="auto"/>
          <w:sz w:val="28"/>
          <w:szCs w:val="28"/>
          <w:lang w:val="en-US" w:eastAsia="zh-CN"/>
        </w:rPr>
        <w:t>采</w:t>
      </w:r>
      <w:r>
        <w:rPr>
          <w:rFonts w:hint="default" w:ascii="Times New Roman" w:hAnsi="Times New Roman" w:cs="Times New Roman" w:eastAsiaTheme="minorEastAsia"/>
          <w:color w:val="auto"/>
          <w:sz w:val="28"/>
          <w:szCs w:val="28"/>
          <w:lang w:val="en-US" w:eastAsia="zh-CN"/>
        </w:rPr>
        <w:t>方案、安全设施设计及生态环境保护相关规范组织生产。同时，公司长期与属地地质勘查、矿山设计、水土保持等专业技术机构保持合作，具备完善的技术支撑与合规报审资料编制能力，可保障矿区合法、规范、安全、绿色有序开发运营。</w:t>
      </w:r>
    </w:p>
    <w:p w14:paraId="7DBFD69A">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21" w:name="_Toc7657"/>
      <w:bookmarkStart w:id="22" w:name="_Toc31426"/>
      <w:bookmarkStart w:id="23" w:name="_Toc6728"/>
      <w:bookmarkStart w:id="24" w:name="_Toc16055"/>
      <w:bookmarkStart w:id="25" w:name="_Toc167307737"/>
      <w:r>
        <w:rPr>
          <w:rFonts w:hint="default" w:ascii="Times New Roman" w:hAnsi="Times New Roman" w:cs="Times New Roman" w:eastAsiaTheme="minorEastAsia"/>
          <w:color w:val="auto"/>
          <w:sz w:val="30"/>
          <w:szCs w:val="30"/>
          <w:highlight w:val="none"/>
          <w:lang w:val="en-US" w:eastAsia="zh-CN"/>
        </w:rPr>
        <w:t>三、矿山勘查开采历史及现状</w:t>
      </w:r>
      <w:bookmarkEnd w:id="21"/>
      <w:bookmarkEnd w:id="22"/>
      <w:bookmarkEnd w:id="23"/>
      <w:bookmarkEnd w:id="24"/>
      <w:bookmarkEnd w:id="25"/>
    </w:p>
    <w:p w14:paraId="7DE7F963">
      <w:pPr>
        <w:pageBreakBefore w:val="0"/>
        <w:wordWrap/>
        <w:bidi w:val="0"/>
        <w:snapToGrid w:val="0"/>
        <w:spacing w:line="360" w:lineRule="auto"/>
        <w:ind w:firstLine="560" w:firstLineChars="200"/>
        <w:jc w:val="both"/>
        <w:rPr>
          <w:rFonts w:hint="default"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大兴安岭地区呼玛县 JH 项目鸥浦乡配套采石场建筑用凝灰岩矿为新建新设矿山，矿区无历史采矿活动、无原有矿权重叠及开采遗留地质环境问题。</w:t>
      </w:r>
    </w:p>
    <w:p w14:paraId="00A98582">
      <w:pPr>
        <w:pageBreakBefore w:val="0"/>
        <w:wordWrap/>
        <w:bidi w:val="0"/>
        <w:snapToGrid w:val="0"/>
        <w:spacing w:line="360" w:lineRule="auto"/>
        <w:ind w:firstLine="560" w:firstLineChars="200"/>
        <w:jc w:val="both"/>
        <w:rPr>
          <w:rFonts w:ascii="Times New Roman" w:hAnsi="Times New Roman" w:eastAsia="宋体" w:cs="Times New Roman"/>
          <w:color w:val="auto"/>
          <w:sz w:val="28"/>
          <w:szCs w:val="28"/>
        </w:rPr>
      </w:pPr>
      <w:r>
        <w:rPr>
          <w:rFonts w:hint="default" w:ascii="Times New Roman" w:hAnsi="Times New Roman" w:cs="Times New Roman" w:eastAsiaTheme="minorEastAsia"/>
          <w:color w:val="auto"/>
          <w:sz w:val="28"/>
          <w:szCs w:val="28"/>
        </w:rPr>
        <w:t>20</w:t>
      </w:r>
      <w:r>
        <w:rPr>
          <w:rFonts w:hint="eastAsia" w:ascii="Times New Roman" w:hAnsi="Times New Roman" w:cs="Times New Roman" w:eastAsiaTheme="minorEastAsia"/>
          <w:color w:val="auto"/>
          <w:sz w:val="28"/>
          <w:szCs w:val="28"/>
        </w:rPr>
        <w:t>25</w:t>
      </w:r>
      <w:r>
        <w:rPr>
          <w:rFonts w:hint="default" w:ascii="Times New Roman" w:hAnsi="Times New Roman" w:cs="Times New Roman" w:eastAsiaTheme="minorEastAsia"/>
          <w:color w:val="auto"/>
          <w:sz w:val="28"/>
          <w:szCs w:val="28"/>
        </w:rPr>
        <w:t>年</w:t>
      </w:r>
      <w:r>
        <w:rPr>
          <w:rFonts w:hint="eastAsia" w:ascii="Times New Roman" w:hAnsi="Times New Roman" w:cs="Times New Roman" w:eastAsiaTheme="minorEastAsia"/>
          <w:color w:val="auto"/>
          <w:sz w:val="28"/>
          <w:szCs w:val="28"/>
        </w:rPr>
        <w:t>10</w:t>
      </w:r>
      <w:r>
        <w:rPr>
          <w:rFonts w:hint="default" w:ascii="Times New Roman" w:hAnsi="Times New Roman" w:cs="Times New Roman" w:eastAsiaTheme="minorEastAsia"/>
          <w:color w:val="auto"/>
          <w:sz w:val="28"/>
          <w:szCs w:val="28"/>
        </w:rPr>
        <w:t>月</w:t>
      </w:r>
      <w:r>
        <w:rPr>
          <w:rFonts w:hint="eastAsia" w:ascii="Times New Roman" w:hAnsi="Times New Roman" w:cs="Times New Roman" w:eastAsiaTheme="minorEastAsia"/>
          <w:color w:val="auto"/>
          <w:sz w:val="28"/>
          <w:szCs w:val="28"/>
        </w:rPr>
        <w:t>黑龙江广森测绘科技股份有限公司</w:t>
      </w:r>
      <w:r>
        <w:rPr>
          <w:rFonts w:hint="eastAsia" w:ascii="Times New Roman" w:hAnsi="Times New Roman" w:cs="Times New Roman"/>
          <w:color w:val="auto"/>
          <w:sz w:val="28"/>
          <w:szCs w:val="28"/>
          <w:lang w:val="en-US" w:eastAsia="zh-CN"/>
        </w:rPr>
        <w:t>编制完成</w:t>
      </w:r>
      <w:r>
        <w:rPr>
          <w:rFonts w:hint="default" w:ascii="Times New Roman" w:hAnsi="Times New Roman" w:cs="Times New Roman" w:eastAsiaTheme="minorEastAsia"/>
          <w:color w:val="auto"/>
          <w:sz w:val="28"/>
          <w:szCs w:val="28"/>
        </w:rPr>
        <w:t>《</w:t>
      </w:r>
      <w:r>
        <w:rPr>
          <w:rFonts w:hint="eastAsia" w:ascii="Times New Roman" w:hAnsi="Times New Roman" w:cs="Times New Roman" w:eastAsiaTheme="minorEastAsia"/>
          <w:color w:val="auto"/>
          <w:sz w:val="28"/>
          <w:szCs w:val="28"/>
        </w:rPr>
        <w:t>大兴安岭地区呼玛县JH项目鸥浦乡配套采石场建筑用凝灰岩矿矿产资源储量核实报告</w:t>
      </w:r>
      <w:r>
        <w:rPr>
          <w:rFonts w:hint="default" w:ascii="Times New Roman" w:hAnsi="Times New Roman" w:cs="Times New Roman" w:eastAsiaTheme="minorEastAsia"/>
          <w:color w:val="auto"/>
          <w:sz w:val="28"/>
          <w:szCs w:val="28"/>
        </w:rPr>
        <w:t>》</w:t>
      </w:r>
      <w:r>
        <w:rPr>
          <w:rFonts w:hint="eastAsia" w:ascii="Times New Roman" w:hAnsi="Times New Roman" w:cs="Times New Roman"/>
          <w:color w:val="auto"/>
          <w:sz w:val="28"/>
          <w:szCs w:val="28"/>
          <w:lang w:eastAsia="zh-CN"/>
        </w:rPr>
        <w:t>。</w:t>
      </w:r>
      <w:r>
        <w:rPr>
          <w:rFonts w:hint="eastAsia" w:ascii="Times New Roman" w:hAnsi="Times New Roman" w:eastAsia="宋体" w:cs="Times New Roman"/>
          <w:color w:val="auto"/>
          <w:sz w:val="28"/>
          <w:szCs w:val="28"/>
        </w:rPr>
        <w:t>截止到2025年8月30日，</w:t>
      </w:r>
      <w:r>
        <w:rPr>
          <w:rFonts w:ascii="Times New Roman" w:hAnsi="Times New Roman" w:eastAsia="宋体" w:cs="Times New Roman"/>
          <w:color w:val="auto"/>
          <w:sz w:val="28"/>
          <w:szCs w:val="28"/>
        </w:rPr>
        <w:t>估算</w:t>
      </w:r>
      <w:r>
        <w:rPr>
          <w:rFonts w:hint="eastAsia" w:ascii="Times New Roman" w:hAnsi="Times New Roman" w:eastAsia="宋体" w:cs="Times New Roman"/>
          <w:color w:val="auto"/>
          <w:sz w:val="28"/>
          <w:szCs w:val="28"/>
        </w:rPr>
        <w:t>矿山</w:t>
      </w:r>
      <w:r>
        <w:rPr>
          <w:rFonts w:ascii="Times New Roman" w:hAnsi="Times New Roman" w:eastAsia="宋体" w:cs="Times New Roman"/>
          <w:color w:val="auto"/>
          <w:sz w:val="28"/>
          <w:szCs w:val="28"/>
        </w:rPr>
        <w:t>总资源量为</w:t>
      </w:r>
      <w:r>
        <w:rPr>
          <w:rFonts w:hint="eastAsia" w:ascii="Times New Roman" w:hAnsi="Times New Roman" w:eastAsia="宋体" w:cs="Times New Roman"/>
          <w:color w:val="auto"/>
          <w:sz w:val="28"/>
          <w:szCs w:val="28"/>
        </w:rPr>
        <w:t>353504</w:t>
      </w:r>
      <w:r>
        <w:rPr>
          <w:rFonts w:hint="eastAsia" w:ascii="Times New Roman" w:hAnsi="Times New Roman" w:eastAsia="宋体" w:cs="Times New Roman"/>
          <w:color w:val="auto"/>
          <w:sz w:val="28"/>
          <w:szCs w:val="28"/>
          <w:lang w:eastAsia="zh-CN"/>
        </w:rPr>
        <w:t>立方米</w:t>
      </w:r>
      <w:r>
        <w:rPr>
          <w:rFonts w:ascii="Times New Roman" w:hAnsi="Times New Roman" w:eastAsia="宋体" w:cs="Times New Roman"/>
          <w:color w:val="auto"/>
          <w:sz w:val="28"/>
          <w:szCs w:val="28"/>
        </w:rPr>
        <w:t>，边坡保留资源量为</w:t>
      </w:r>
      <w:r>
        <w:rPr>
          <w:rFonts w:hint="eastAsia" w:ascii="Times New Roman" w:hAnsi="Times New Roman" w:eastAsia="宋体" w:cs="Times New Roman"/>
          <w:color w:val="auto"/>
          <w:sz w:val="28"/>
          <w:szCs w:val="28"/>
        </w:rPr>
        <w:t>39405</w:t>
      </w:r>
      <w:r>
        <w:rPr>
          <w:rFonts w:hint="eastAsia" w:ascii="Times New Roman" w:hAnsi="Times New Roman" w:eastAsia="宋体" w:cs="Times New Roman"/>
          <w:color w:val="auto"/>
          <w:sz w:val="28"/>
          <w:szCs w:val="28"/>
          <w:lang w:eastAsia="zh-CN"/>
        </w:rPr>
        <w:t>立方米</w:t>
      </w:r>
      <w:r>
        <w:rPr>
          <w:rFonts w:ascii="Times New Roman" w:hAnsi="Times New Roman" w:eastAsia="宋体" w:cs="Times New Roman"/>
          <w:color w:val="auto"/>
          <w:sz w:val="28"/>
          <w:szCs w:val="28"/>
        </w:rPr>
        <w:t>，边坡内资源量为</w:t>
      </w:r>
      <w:r>
        <w:rPr>
          <w:rFonts w:hint="eastAsia" w:ascii="Times New Roman" w:hAnsi="Times New Roman" w:eastAsia="宋体" w:cs="Times New Roman"/>
          <w:color w:val="auto"/>
          <w:sz w:val="28"/>
          <w:szCs w:val="28"/>
        </w:rPr>
        <w:t>314099</w:t>
      </w:r>
      <w:r>
        <w:rPr>
          <w:rFonts w:hint="eastAsia" w:ascii="Times New Roman" w:hAnsi="Times New Roman" w:eastAsia="宋体" w:cs="Times New Roman"/>
          <w:color w:val="auto"/>
          <w:sz w:val="28"/>
          <w:szCs w:val="28"/>
          <w:lang w:eastAsia="zh-CN"/>
        </w:rPr>
        <w:t>立方米</w:t>
      </w:r>
      <w:r>
        <w:rPr>
          <w:rFonts w:hint="eastAsia" w:ascii="Times New Roman" w:hAnsi="Times New Roman" w:eastAsia="宋体" w:cs="Times New Roman"/>
          <w:color w:val="auto"/>
          <w:sz w:val="28"/>
          <w:szCs w:val="28"/>
        </w:rPr>
        <w:t>（</w:t>
      </w:r>
      <w:r>
        <w:rPr>
          <w:rFonts w:ascii="Times New Roman" w:hAnsi="Times New Roman" w:eastAsia="宋体" w:cs="Times New Roman"/>
          <w:color w:val="auto"/>
          <w:sz w:val="28"/>
          <w:szCs w:val="28"/>
        </w:rPr>
        <w:t>保有资源储量</w:t>
      </w:r>
      <w:r>
        <w:rPr>
          <w:rFonts w:hint="eastAsia" w:ascii="Times New Roman" w:hAnsi="Times New Roman" w:eastAsia="宋体" w:cs="Times New Roman"/>
          <w:color w:val="auto"/>
          <w:sz w:val="28"/>
          <w:szCs w:val="28"/>
        </w:rPr>
        <w:t>）</w:t>
      </w:r>
      <w:r>
        <w:rPr>
          <w:rFonts w:ascii="Times New Roman" w:hAnsi="Times New Roman" w:eastAsia="宋体" w:cs="Times New Roman"/>
          <w:color w:val="auto"/>
          <w:sz w:val="28"/>
          <w:szCs w:val="28"/>
        </w:rPr>
        <w:t>，可采资源量为</w:t>
      </w:r>
      <w:r>
        <w:rPr>
          <w:rFonts w:hint="eastAsia" w:ascii="Times New Roman" w:hAnsi="Times New Roman" w:eastAsia="宋体" w:cs="Times New Roman"/>
          <w:color w:val="auto"/>
          <w:sz w:val="28"/>
          <w:szCs w:val="28"/>
        </w:rPr>
        <w:t>298394</w:t>
      </w:r>
      <w:r>
        <w:rPr>
          <w:rFonts w:hint="eastAsia" w:ascii="Times New Roman" w:hAnsi="Times New Roman" w:eastAsia="宋体" w:cs="Times New Roman"/>
          <w:color w:val="auto"/>
          <w:sz w:val="28"/>
          <w:szCs w:val="28"/>
          <w:lang w:eastAsia="zh-CN"/>
        </w:rPr>
        <w:t>立方米</w:t>
      </w:r>
      <w:r>
        <w:rPr>
          <w:rFonts w:ascii="Times New Roman" w:hAnsi="Times New Roman" w:eastAsia="宋体" w:cs="Times New Roman"/>
          <w:color w:val="auto"/>
          <w:sz w:val="28"/>
          <w:szCs w:val="28"/>
        </w:rPr>
        <w:t>（采矿损失率按</w:t>
      </w:r>
      <w:r>
        <w:rPr>
          <w:rFonts w:hint="eastAsia" w:ascii="Times New Roman" w:hAnsi="Times New Roman" w:eastAsia="宋体" w:cs="Times New Roman"/>
          <w:color w:val="auto"/>
          <w:sz w:val="28"/>
          <w:szCs w:val="28"/>
        </w:rPr>
        <w:t>5%</w:t>
      </w:r>
      <w:r>
        <w:rPr>
          <w:rFonts w:ascii="Times New Roman" w:hAnsi="Times New Roman" w:eastAsia="宋体" w:cs="Times New Roman"/>
          <w:color w:val="auto"/>
          <w:sz w:val="28"/>
          <w:szCs w:val="28"/>
        </w:rPr>
        <w:t>计算，损失量为</w:t>
      </w:r>
      <w:r>
        <w:rPr>
          <w:rFonts w:hint="eastAsia" w:ascii="Times New Roman" w:hAnsi="Times New Roman" w:eastAsia="宋体" w:cs="Times New Roman"/>
          <w:color w:val="auto"/>
          <w:sz w:val="28"/>
          <w:szCs w:val="28"/>
        </w:rPr>
        <w:t>15705</w:t>
      </w:r>
      <w:r>
        <w:rPr>
          <w:rFonts w:hint="eastAsia" w:ascii="Times New Roman" w:hAnsi="Times New Roman" w:eastAsia="宋体" w:cs="Times New Roman"/>
          <w:color w:val="auto"/>
          <w:sz w:val="28"/>
          <w:szCs w:val="28"/>
          <w:lang w:eastAsia="zh-CN"/>
        </w:rPr>
        <w:t>立方米</w:t>
      </w:r>
      <w:r>
        <w:rPr>
          <w:rFonts w:hint="eastAsia" w:ascii="Times New Roman" w:hAnsi="Times New Roman" w:eastAsia="宋体" w:cs="Times New Roman"/>
          <w:color w:val="auto"/>
          <w:sz w:val="28"/>
          <w:szCs w:val="28"/>
        </w:rPr>
        <w:t>）。</w:t>
      </w:r>
    </w:p>
    <w:p w14:paraId="3FA62D3D">
      <w:pPr>
        <w:pageBreakBefore w:val="0"/>
        <w:wordWrap/>
        <w:bidi w:val="0"/>
        <w:snapToGrid w:val="0"/>
        <w:spacing w:line="360" w:lineRule="auto"/>
        <w:ind w:firstLine="560" w:firstLineChars="200"/>
        <w:jc w:val="both"/>
        <w:rPr>
          <w:rFonts w:hint="default"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2025年</w:t>
      </w:r>
      <w:r>
        <w:rPr>
          <w:rFonts w:hint="eastAsia" w:ascii="Times New Roman" w:hAnsi="Times New Roman" w:cs="Times New Roman" w:eastAsiaTheme="minorEastAsia"/>
          <w:color w:val="auto"/>
          <w:sz w:val="28"/>
          <w:szCs w:val="28"/>
          <w:lang w:val="en-US" w:eastAsia="zh-CN"/>
        </w:rPr>
        <w:t>底</w:t>
      </w:r>
      <w:r>
        <w:rPr>
          <w:rFonts w:hint="default" w:ascii="Times New Roman" w:hAnsi="Times New Roman" w:cs="Times New Roman" w:eastAsiaTheme="minorEastAsia"/>
          <w:color w:val="auto"/>
          <w:sz w:val="28"/>
          <w:szCs w:val="28"/>
        </w:rPr>
        <w:t>完成资源储量检测与采矿权出让收益评估；2026 年 2 月由呼玛县自然资源局公开挂牌出让，2026 年 4 月大兴安岭呼玛对俄经济贸易园区开发有限责任公司竞得本矿采矿权，足额缴纳出让价款 510.15万元，出让年限5年，可采凝灰岩资源量29.84万立方米。</w:t>
      </w:r>
    </w:p>
    <w:p w14:paraId="11D47F27">
      <w:pPr>
        <w:pageBreakBefore w:val="0"/>
        <w:wordWrap/>
        <w:bidi w:val="0"/>
        <w:snapToGrid w:val="0"/>
        <w:spacing w:line="360" w:lineRule="auto"/>
        <w:ind w:firstLine="560" w:firstLineChars="200"/>
        <w:jc w:val="both"/>
        <w:rPr>
          <w:rFonts w:hint="eastAsia" w:ascii="Times New Roman" w:hAnsi="Times New Roman" w:cs="Times New Roman" w:eastAsiaTheme="minorEastAsia"/>
          <w:color w:val="auto"/>
          <w:sz w:val="28"/>
          <w:szCs w:val="28"/>
        </w:rPr>
      </w:pPr>
      <w:r>
        <w:rPr>
          <w:rFonts w:hint="eastAsia" w:ascii="Times New Roman" w:hAnsi="Times New Roman" w:cs="Times New Roman" w:eastAsiaTheme="minorEastAsia"/>
          <w:color w:val="auto"/>
          <w:sz w:val="28"/>
          <w:szCs w:val="28"/>
          <w:lang w:val="en-US" w:eastAsia="zh-CN"/>
        </w:rPr>
        <w:t>矿山占地类型为灌木林地，现状仍</w:t>
      </w:r>
      <w:r>
        <w:rPr>
          <w:rFonts w:hint="default" w:ascii="Times New Roman" w:hAnsi="Times New Roman" w:cs="Times New Roman" w:eastAsiaTheme="minorEastAsia"/>
          <w:color w:val="auto"/>
          <w:sz w:val="28"/>
          <w:szCs w:val="28"/>
        </w:rPr>
        <w:t>保持原生林地地貌，</w:t>
      </w:r>
      <w:bookmarkStart w:id="26" w:name="OLE_LINK12"/>
      <w:r>
        <w:rPr>
          <w:rFonts w:hint="default" w:ascii="Times New Roman" w:hAnsi="Times New Roman" w:cs="Times New Roman" w:eastAsiaTheme="minorEastAsia"/>
          <w:color w:val="auto"/>
          <w:sz w:val="28"/>
          <w:szCs w:val="28"/>
        </w:rPr>
        <w:t>大兴安岭呼玛对俄经济贸易园区开发有限责任公司</w:t>
      </w:r>
      <w:bookmarkEnd w:id="26"/>
      <w:r>
        <w:rPr>
          <w:rFonts w:hint="eastAsia" w:ascii="Times New Roman" w:hAnsi="Times New Roman" w:cs="Times New Roman" w:eastAsiaTheme="minorEastAsia"/>
          <w:color w:val="auto"/>
          <w:sz w:val="28"/>
          <w:szCs w:val="28"/>
        </w:rPr>
        <w:t>正在办理采矿相关手续。</w:t>
      </w:r>
    </w:p>
    <w:p w14:paraId="731E787E">
      <w:pPr>
        <w:pStyle w:val="2"/>
        <w:pageBreakBefore w:val="0"/>
        <w:kinsoku/>
        <w:wordWrap/>
        <w:overflowPunct/>
        <w:topLinePunct w:val="0"/>
        <w:bidi w:val="0"/>
        <w:spacing w:beforeLines="50" w:afterLines="50" w:line="360" w:lineRule="auto"/>
        <w:jc w:val="center"/>
        <w:rPr>
          <w:rFonts w:hint="default" w:ascii="黑体" w:hAnsi="黑体" w:eastAsia="黑体" w:cs="黑体"/>
          <w:b w:val="0"/>
          <w:color w:val="auto"/>
          <w:sz w:val="32"/>
          <w:szCs w:val="32"/>
          <w:highlight w:val="none"/>
          <w:lang w:val="en-US" w:eastAsia="zh-CN"/>
        </w:rPr>
      </w:pPr>
      <w:bookmarkStart w:id="27" w:name="_Toc16181"/>
      <w:r>
        <w:rPr>
          <w:rFonts w:hint="default" w:ascii="黑体" w:hAnsi="黑体" w:eastAsia="黑体" w:cs="黑体"/>
          <w:b w:val="0"/>
          <w:color w:val="auto"/>
          <w:sz w:val="32"/>
          <w:szCs w:val="32"/>
          <w:highlight w:val="none"/>
          <w:lang w:val="en-US" w:eastAsia="zh-CN"/>
        </w:rPr>
        <w:t>第二章 矿区地质与矿产资源情况</w:t>
      </w:r>
      <w:bookmarkEnd w:id="27"/>
    </w:p>
    <w:p w14:paraId="625AFDD6">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28" w:name="_Toc32483"/>
      <w:bookmarkStart w:id="29" w:name="_Toc23034"/>
      <w:bookmarkStart w:id="30" w:name="_Toc5199"/>
      <w:bookmarkStart w:id="31" w:name="_Toc7096"/>
      <w:bookmarkStart w:id="32" w:name="_Toc167307739"/>
      <w:r>
        <w:rPr>
          <w:rFonts w:hint="default" w:ascii="Times New Roman" w:hAnsi="Times New Roman" w:cs="Times New Roman" w:eastAsiaTheme="minorEastAsia"/>
          <w:color w:val="auto"/>
          <w:sz w:val="30"/>
          <w:szCs w:val="30"/>
          <w:highlight w:val="none"/>
          <w:lang w:val="en-US" w:eastAsia="zh-CN"/>
        </w:rPr>
        <w:t>一、矿床地质与矿体特征</w:t>
      </w:r>
      <w:bookmarkEnd w:id="28"/>
      <w:bookmarkEnd w:id="29"/>
      <w:bookmarkEnd w:id="30"/>
      <w:bookmarkEnd w:id="31"/>
      <w:bookmarkEnd w:id="32"/>
    </w:p>
    <w:p w14:paraId="5D41CC5B">
      <w:pPr>
        <w:pageBreakBefore w:val="0"/>
        <w:kinsoku/>
        <w:wordWrap/>
        <w:overflowPunct/>
        <w:topLinePunct w:val="0"/>
        <w:bidi w:val="0"/>
        <w:spacing w:line="360" w:lineRule="auto"/>
        <w:ind w:firstLine="562" w:firstLineChars="200"/>
        <w:rPr>
          <w:rFonts w:hint="default" w:ascii="Times New Roman" w:hAnsi="Times New Roman" w:cs="Times New Roman" w:eastAsiaTheme="minorEastAsia"/>
          <w:b/>
          <w:bCs/>
          <w:color w:val="auto"/>
          <w:sz w:val="28"/>
          <w:szCs w:val="28"/>
          <w:highlight w:val="none"/>
          <w:lang w:val="en-US" w:eastAsia="zh-CN"/>
        </w:rPr>
      </w:pPr>
      <w:r>
        <w:rPr>
          <w:rFonts w:hint="default" w:ascii="Times New Roman" w:hAnsi="Times New Roman" w:cs="Times New Roman" w:eastAsiaTheme="minorEastAsia"/>
          <w:b/>
          <w:bCs/>
          <w:color w:val="auto"/>
          <w:sz w:val="28"/>
          <w:szCs w:val="28"/>
          <w:highlight w:val="none"/>
          <w:lang w:val="en-US" w:eastAsia="zh-CN"/>
        </w:rPr>
        <w:t>1、矿床地质</w:t>
      </w:r>
    </w:p>
    <w:p w14:paraId="0391FB23">
      <w:pPr>
        <w:pageBreakBefore w:val="0"/>
        <w:kinsoku/>
        <w:wordWrap/>
        <w:overflowPunct/>
        <w:topLinePunct w:val="0"/>
        <w:bidi w:val="0"/>
        <w:spacing w:line="360" w:lineRule="auto"/>
        <w:ind w:firstLine="560" w:firstLineChars="200"/>
        <w:jc w:val="both"/>
        <w:rPr>
          <w:rFonts w:hint="default"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矿区内地层简单，主要为中生界</w:t>
      </w:r>
      <w:r>
        <w:rPr>
          <w:rFonts w:hint="eastAsia" w:ascii="Times New Roman" w:hAnsi="Times New Roman" w:cs="Times New Roman"/>
          <w:color w:val="auto"/>
          <w:sz w:val="28"/>
          <w:szCs w:val="28"/>
          <w:lang w:eastAsia="zh-CN"/>
        </w:rPr>
        <w:t>白垩系</w:t>
      </w:r>
      <w:r>
        <w:rPr>
          <w:rFonts w:hint="default" w:ascii="Times New Roman" w:hAnsi="Times New Roman" w:cs="Times New Roman" w:eastAsiaTheme="minorEastAsia"/>
          <w:color w:val="auto"/>
          <w:sz w:val="28"/>
          <w:szCs w:val="28"/>
        </w:rPr>
        <w:t>下统九峰山组（K</w:t>
      </w:r>
      <w:r>
        <w:rPr>
          <w:rFonts w:hint="default" w:ascii="Times New Roman" w:hAnsi="Times New Roman" w:cs="Times New Roman" w:eastAsiaTheme="minorEastAsia"/>
          <w:color w:val="auto"/>
          <w:sz w:val="28"/>
          <w:szCs w:val="28"/>
          <w:vertAlign w:val="subscript"/>
        </w:rPr>
        <w:t>1</w:t>
      </w:r>
      <w:r>
        <w:rPr>
          <w:rFonts w:hint="default" w:ascii="Times New Roman" w:hAnsi="Times New Roman" w:cs="Times New Roman" w:eastAsiaTheme="minorEastAsia"/>
          <w:color w:val="auto"/>
          <w:sz w:val="28"/>
          <w:szCs w:val="28"/>
        </w:rPr>
        <w:t>j）。</w:t>
      </w:r>
    </w:p>
    <w:p w14:paraId="5C9104BB">
      <w:pPr>
        <w:pageBreakBefore w:val="0"/>
        <w:kinsoku/>
        <w:wordWrap/>
        <w:overflowPunct/>
        <w:topLinePunct w:val="0"/>
        <w:bidi w:val="0"/>
        <w:spacing w:line="360" w:lineRule="auto"/>
        <w:ind w:firstLine="560" w:firstLineChars="200"/>
        <w:jc w:val="both"/>
        <w:rPr>
          <w:rFonts w:hint="default"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中生界</w:t>
      </w:r>
      <w:r>
        <w:rPr>
          <w:rFonts w:hint="eastAsia" w:ascii="Times New Roman" w:hAnsi="Times New Roman" w:cs="Times New Roman"/>
          <w:color w:val="auto"/>
          <w:sz w:val="28"/>
          <w:szCs w:val="28"/>
          <w:lang w:eastAsia="zh-CN"/>
        </w:rPr>
        <w:t>白垩系</w:t>
      </w:r>
      <w:r>
        <w:rPr>
          <w:rFonts w:hint="default" w:ascii="Times New Roman" w:hAnsi="Times New Roman" w:cs="Times New Roman" w:eastAsiaTheme="minorEastAsia"/>
          <w:color w:val="auto"/>
          <w:sz w:val="28"/>
          <w:szCs w:val="28"/>
        </w:rPr>
        <w:t>下统九峰山组（K</w:t>
      </w:r>
      <w:r>
        <w:rPr>
          <w:rFonts w:hint="default" w:ascii="Times New Roman" w:hAnsi="Times New Roman" w:cs="Times New Roman" w:eastAsiaTheme="minorEastAsia"/>
          <w:color w:val="auto"/>
          <w:sz w:val="28"/>
          <w:szCs w:val="28"/>
          <w:vertAlign w:val="subscript"/>
        </w:rPr>
        <w:t>1</w:t>
      </w:r>
      <w:r>
        <w:rPr>
          <w:rFonts w:hint="default" w:ascii="Times New Roman" w:hAnsi="Times New Roman" w:cs="Times New Roman" w:eastAsiaTheme="minorEastAsia"/>
          <w:color w:val="auto"/>
          <w:sz w:val="28"/>
          <w:szCs w:val="28"/>
        </w:rPr>
        <w:t>j）：为火山断坳陷盆地型沉积。下部以灰黑色泥岩、灰白色砂岩为主，夹凝灰砂岩、凝灰岩和玄武岩，夹多层薄煤层。泥岩多具极薄的砂岩夹层，砂岩中含煤屑；上部以灰黑色泥岩、凝灰质或粉砂质泥岩为主，夹多层工业煤层及玄武岩和凝灰岩和粉砂岩，泥岩和粉砂岩中发育微层理，产植物化石。区域上</w:t>
      </w:r>
      <w:r>
        <w:rPr>
          <w:rFonts w:hint="eastAsia" w:ascii="Times New Roman" w:hAnsi="Times New Roman" w:cs="Times New Roman" w:eastAsiaTheme="minorEastAsia"/>
          <w:color w:val="auto"/>
          <w:sz w:val="28"/>
          <w:szCs w:val="28"/>
          <w:lang w:val="en-US" w:eastAsia="zh-CN"/>
        </w:rPr>
        <w:t>不整合覆盖于</w:t>
      </w:r>
      <w:r>
        <w:rPr>
          <w:rFonts w:hint="default" w:ascii="Times New Roman" w:hAnsi="Times New Roman" w:cs="Times New Roman" w:eastAsiaTheme="minorEastAsia"/>
          <w:color w:val="auto"/>
          <w:sz w:val="28"/>
          <w:szCs w:val="28"/>
        </w:rPr>
        <w:t>龙江组或者早期地层或侵入岩之上，上部被甘河组喷发不整合接触。核实区内出露岩性以灰白色凝灰岩为主。</w:t>
      </w:r>
    </w:p>
    <w:p w14:paraId="065B6FFF">
      <w:pPr>
        <w:pageBreakBefore w:val="0"/>
        <w:kinsoku/>
        <w:wordWrap/>
        <w:overflowPunct/>
        <w:topLinePunct w:val="0"/>
        <w:bidi w:val="0"/>
        <w:spacing w:line="360" w:lineRule="auto"/>
        <w:ind w:firstLine="560" w:firstLineChars="200"/>
        <w:jc w:val="both"/>
        <w:rPr>
          <w:rFonts w:hint="default" w:ascii="Times New Roman" w:hAnsi="Times New Roman" w:cs="Times New Roman" w:eastAsiaTheme="minorEastAsia"/>
          <w:bCs/>
          <w:color w:val="auto"/>
          <w:sz w:val="28"/>
          <w:szCs w:val="28"/>
        </w:rPr>
      </w:pPr>
      <w:r>
        <w:rPr>
          <w:rFonts w:hint="default" w:ascii="Times New Roman" w:hAnsi="Times New Roman" w:cs="Times New Roman" w:eastAsiaTheme="minorEastAsia"/>
          <w:bCs/>
          <w:color w:val="auto"/>
          <w:sz w:val="28"/>
          <w:szCs w:val="28"/>
        </w:rPr>
        <w:t>呼玛县位于大兴安岭地区，区域上大地构造单元Ⅰ级为兴安岭—内蒙地槽褶皱区，亚Ⅰ级为大兴安岭地槽褶皱系，Ⅱ级为兴隆沟冒地槽褶皱带，Ⅲ级为旁开门中断陷。大地构造单元划分如表2-</w:t>
      </w:r>
      <w:r>
        <w:rPr>
          <w:rFonts w:hint="default" w:ascii="Times New Roman" w:hAnsi="Times New Roman" w:cs="Times New Roman" w:eastAsiaTheme="minorEastAsia"/>
          <w:bCs/>
          <w:color w:val="auto"/>
          <w:sz w:val="28"/>
          <w:szCs w:val="28"/>
          <w:lang w:val="en-US" w:eastAsia="zh-CN"/>
        </w:rPr>
        <w:t>1</w:t>
      </w:r>
      <w:r>
        <w:rPr>
          <w:rFonts w:hint="default" w:ascii="Times New Roman" w:hAnsi="Times New Roman" w:cs="Times New Roman" w:eastAsiaTheme="minorEastAsia"/>
          <w:bCs/>
          <w:color w:val="auto"/>
          <w:sz w:val="28"/>
          <w:szCs w:val="28"/>
        </w:rPr>
        <w:t>。</w:t>
      </w:r>
    </w:p>
    <w:p w14:paraId="53A9CCF8">
      <w:pPr>
        <w:pageBreakBefore w:val="0"/>
        <w:tabs>
          <w:tab w:val="left" w:pos="750"/>
        </w:tabs>
        <w:kinsoku/>
        <w:wordWrap/>
        <w:overflowPunct/>
        <w:topLinePunct w:val="0"/>
        <w:bidi w:val="0"/>
        <w:spacing w:line="360" w:lineRule="auto"/>
        <w:jc w:val="center"/>
        <w:rPr>
          <w:rStyle w:val="33"/>
          <w:rFonts w:hint="default" w:ascii="Times New Roman" w:hAnsi="Times New Roman" w:cs="Times New Roman" w:eastAsiaTheme="minorEastAsia"/>
          <w:b/>
          <w:bCs/>
          <w:color w:val="auto"/>
          <w:sz w:val="24"/>
          <w:szCs w:val="24"/>
        </w:rPr>
      </w:pPr>
      <w:r>
        <w:rPr>
          <w:rStyle w:val="33"/>
          <w:rFonts w:hint="default" w:ascii="Times New Roman" w:hAnsi="Times New Roman" w:cs="Times New Roman" w:eastAsiaTheme="minorEastAsia"/>
          <w:b/>
          <w:bCs/>
          <w:color w:val="auto"/>
          <w:sz w:val="24"/>
          <w:szCs w:val="24"/>
        </w:rPr>
        <w:t>表2-</w:t>
      </w:r>
      <w:r>
        <w:rPr>
          <w:rStyle w:val="33"/>
          <w:rFonts w:hint="default" w:ascii="Times New Roman" w:hAnsi="Times New Roman" w:cs="Times New Roman" w:eastAsiaTheme="minorEastAsia"/>
          <w:b/>
          <w:bCs/>
          <w:color w:val="auto"/>
          <w:sz w:val="24"/>
          <w:szCs w:val="24"/>
          <w:lang w:val="en-US" w:eastAsia="zh-CN"/>
        </w:rPr>
        <w:t>1</w:t>
      </w:r>
      <w:r>
        <w:rPr>
          <w:rStyle w:val="33"/>
          <w:rFonts w:hint="eastAsia" w:ascii="Times New Roman" w:hAnsi="Times New Roman" w:cs="Times New Roman"/>
          <w:b/>
          <w:bCs/>
          <w:color w:val="auto"/>
          <w:sz w:val="24"/>
          <w:szCs w:val="24"/>
          <w:lang w:val="en-US" w:eastAsia="zh-CN"/>
        </w:rPr>
        <w:t xml:space="preserve">   </w:t>
      </w:r>
      <w:r>
        <w:rPr>
          <w:rStyle w:val="33"/>
          <w:rFonts w:hint="default" w:ascii="Times New Roman" w:hAnsi="Times New Roman" w:cs="Times New Roman" w:eastAsiaTheme="minorEastAsia"/>
          <w:b/>
          <w:bCs/>
          <w:color w:val="auto"/>
          <w:sz w:val="24"/>
          <w:szCs w:val="24"/>
        </w:rPr>
        <w:t>区域构造分级表</w:t>
      </w:r>
    </w:p>
    <w:tbl>
      <w:tblPr>
        <w:tblStyle w:val="19"/>
        <w:tblW w:w="944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145"/>
        <w:gridCol w:w="3147"/>
        <w:gridCol w:w="3148"/>
      </w:tblGrid>
      <w:tr w14:paraId="6F445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4" w:hRule="atLeast"/>
        </w:trPr>
        <w:tc>
          <w:tcPr>
            <w:tcW w:w="9440" w:type="dxa"/>
            <w:gridSpan w:val="3"/>
            <w:noWrap w:val="0"/>
            <w:vAlign w:val="center"/>
          </w:tcPr>
          <w:p w14:paraId="1462108F">
            <w:pPr>
              <w:pageBreakBefore w:val="0"/>
              <w:kinsoku/>
              <w:wordWrap/>
              <w:overflowPunct/>
              <w:topLinePunct w:val="0"/>
              <w:autoSpaceDE w:val="0"/>
              <w:autoSpaceDN w:val="0"/>
              <w:bidi w:val="0"/>
              <w:adjustRightInd w:val="0"/>
              <w:jc w:val="center"/>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color w:val="auto"/>
                <w:kern w:val="0"/>
                <w:sz w:val="24"/>
                <w:szCs w:val="24"/>
              </w:rPr>
              <w:t>构造单元分级及名称</w:t>
            </w:r>
          </w:p>
        </w:tc>
      </w:tr>
      <w:tr w14:paraId="2EBDB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4" w:hRule="atLeast"/>
        </w:trPr>
        <w:tc>
          <w:tcPr>
            <w:tcW w:w="3145" w:type="dxa"/>
            <w:noWrap w:val="0"/>
            <w:vAlign w:val="center"/>
          </w:tcPr>
          <w:p w14:paraId="51208AA9">
            <w:pPr>
              <w:pageBreakBefore w:val="0"/>
              <w:kinsoku/>
              <w:wordWrap/>
              <w:overflowPunct/>
              <w:topLinePunct w:val="0"/>
              <w:autoSpaceDE w:val="0"/>
              <w:autoSpaceDN w:val="0"/>
              <w:bidi w:val="0"/>
              <w:adjustRightInd w:val="0"/>
              <w:jc w:val="center"/>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color w:val="auto"/>
                <w:kern w:val="0"/>
                <w:sz w:val="24"/>
                <w:szCs w:val="24"/>
              </w:rPr>
              <w:t>Ⅰ级</w:t>
            </w:r>
          </w:p>
        </w:tc>
        <w:tc>
          <w:tcPr>
            <w:tcW w:w="3147" w:type="dxa"/>
            <w:noWrap w:val="0"/>
            <w:vAlign w:val="center"/>
          </w:tcPr>
          <w:p w14:paraId="0838BA5A">
            <w:pPr>
              <w:pageBreakBefore w:val="0"/>
              <w:kinsoku/>
              <w:wordWrap/>
              <w:overflowPunct/>
              <w:topLinePunct w:val="0"/>
              <w:autoSpaceDE w:val="0"/>
              <w:autoSpaceDN w:val="0"/>
              <w:bidi w:val="0"/>
              <w:adjustRightInd w:val="0"/>
              <w:jc w:val="center"/>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color w:val="auto"/>
                <w:kern w:val="0"/>
                <w:sz w:val="24"/>
                <w:szCs w:val="24"/>
              </w:rPr>
              <w:t>亚Ⅰ级</w:t>
            </w:r>
          </w:p>
        </w:tc>
        <w:tc>
          <w:tcPr>
            <w:tcW w:w="3148" w:type="dxa"/>
            <w:noWrap w:val="0"/>
            <w:vAlign w:val="center"/>
          </w:tcPr>
          <w:p w14:paraId="247068D6">
            <w:pPr>
              <w:pageBreakBefore w:val="0"/>
              <w:kinsoku/>
              <w:wordWrap/>
              <w:overflowPunct/>
              <w:topLinePunct w:val="0"/>
              <w:autoSpaceDE w:val="0"/>
              <w:autoSpaceDN w:val="0"/>
              <w:bidi w:val="0"/>
              <w:adjustRightInd w:val="0"/>
              <w:jc w:val="center"/>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color w:val="auto"/>
                <w:kern w:val="0"/>
                <w:sz w:val="24"/>
                <w:szCs w:val="24"/>
              </w:rPr>
              <w:t>Ⅱ级</w:t>
            </w:r>
          </w:p>
        </w:tc>
      </w:tr>
      <w:tr w14:paraId="41CB2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2" w:hRule="atLeast"/>
        </w:trPr>
        <w:tc>
          <w:tcPr>
            <w:tcW w:w="3145" w:type="dxa"/>
            <w:noWrap w:val="0"/>
            <w:vAlign w:val="center"/>
          </w:tcPr>
          <w:p w14:paraId="447F521D">
            <w:pPr>
              <w:pageBreakBefore w:val="0"/>
              <w:kinsoku/>
              <w:wordWrap/>
              <w:overflowPunct/>
              <w:topLinePunct w:val="0"/>
              <w:autoSpaceDE w:val="0"/>
              <w:autoSpaceDN w:val="0"/>
              <w:bidi w:val="0"/>
              <w:adjustRightInd w:val="0"/>
              <w:jc w:val="center"/>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color w:val="auto"/>
                <w:kern w:val="0"/>
                <w:sz w:val="24"/>
                <w:szCs w:val="24"/>
              </w:rPr>
              <w:t>兴安岭—内蒙地槽褶皱区</w:t>
            </w:r>
          </w:p>
        </w:tc>
        <w:tc>
          <w:tcPr>
            <w:tcW w:w="3147" w:type="dxa"/>
            <w:noWrap w:val="0"/>
            <w:vAlign w:val="center"/>
          </w:tcPr>
          <w:p w14:paraId="59357BC6">
            <w:pPr>
              <w:pageBreakBefore w:val="0"/>
              <w:kinsoku/>
              <w:wordWrap/>
              <w:overflowPunct/>
              <w:topLinePunct w:val="0"/>
              <w:bidi w:val="0"/>
              <w:spacing w:line="360" w:lineRule="auto"/>
              <w:ind w:firstLine="480" w:firstLineChars="200"/>
              <w:jc w:val="center"/>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color w:val="auto"/>
                <w:kern w:val="0"/>
                <w:sz w:val="24"/>
                <w:szCs w:val="24"/>
              </w:rPr>
              <w:t>大兴安岭地槽褶皱系</w:t>
            </w:r>
          </w:p>
        </w:tc>
        <w:tc>
          <w:tcPr>
            <w:tcW w:w="3148" w:type="dxa"/>
            <w:noWrap w:val="0"/>
            <w:vAlign w:val="center"/>
          </w:tcPr>
          <w:p w14:paraId="49E6AEA8">
            <w:pPr>
              <w:pageBreakBefore w:val="0"/>
              <w:kinsoku/>
              <w:wordWrap/>
              <w:overflowPunct/>
              <w:topLinePunct w:val="0"/>
              <w:autoSpaceDE w:val="0"/>
              <w:autoSpaceDN w:val="0"/>
              <w:bidi w:val="0"/>
              <w:adjustRightInd w:val="0"/>
              <w:jc w:val="center"/>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color w:val="auto"/>
                <w:kern w:val="0"/>
                <w:sz w:val="24"/>
                <w:szCs w:val="24"/>
              </w:rPr>
              <w:t>兴隆沟冒地槽褶皱带</w:t>
            </w:r>
          </w:p>
        </w:tc>
      </w:tr>
    </w:tbl>
    <w:p w14:paraId="695C3590">
      <w:pPr>
        <w:pageBreakBefore w:val="0"/>
        <w:kinsoku/>
        <w:wordWrap/>
        <w:overflowPunct/>
        <w:topLinePunct w:val="0"/>
        <w:bidi w:val="0"/>
        <w:spacing w:line="360" w:lineRule="auto"/>
        <w:ind w:firstLine="562" w:firstLineChars="200"/>
        <w:rPr>
          <w:rFonts w:hint="default" w:ascii="Times New Roman" w:hAnsi="Times New Roman" w:cs="Times New Roman" w:eastAsiaTheme="minorEastAsia"/>
          <w:b/>
          <w:bCs w:val="0"/>
          <w:color w:val="auto"/>
          <w:sz w:val="28"/>
          <w:szCs w:val="28"/>
          <w:highlight w:val="none"/>
          <w:lang w:val="en-US" w:eastAsia="zh-CN"/>
        </w:rPr>
      </w:pPr>
      <w:r>
        <w:rPr>
          <w:rFonts w:hint="default" w:ascii="Times New Roman" w:hAnsi="Times New Roman" w:cs="Times New Roman" w:eastAsiaTheme="minorEastAsia"/>
          <w:b/>
          <w:bCs w:val="0"/>
          <w:color w:val="auto"/>
          <w:sz w:val="28"/>
          <w:szCs w:val="28"/>
          <w:highlight w:val="none"/>
          <w:lang w:val="en-US" w:eastAsia="zh-CN"/>
        </w:rPr>
        <w:t>2、矿体特征</w:t>
      </w:r>
    </w:p>
    <w:p w14:paraId="771EDC0C">
      <w:pPr>
        <w:pageBreakBefore w:val="0"/>
        <w:kinsoku/>
        <w:wordWrap/>
        <w:overflowPunct/>
        <w:topLinePunct w:val="0"/>
        <w:bidi w:val="0"/>
        <w:spacing w:line="360" w:lineRule="auto"/>
        <w:ind w:firstLine="560" w:firstLineChars="200"/>
        <w:rPr>
          <w:rFonts w:hint="default" w:ascii="Times New Roman" w:hAnsi="Times New Roman" w:cs="Times New Roman" w:eastAsiaTheme="minorEastAsia"/>
          <w:bCs/>
          <w:color w:val="auto"/>
          <w:sz w:val="28"/>
          <w:szCs w:val="28"/>
          <w:highlight w:val="none"/>
          <w:lang w:eastAsia="zh-CN"/>
        </w:rPr>
      </w:pPr>
      <w:r>
        <w:rPr>
          <w:rFonts w:hint="default" w:ascii="Times New Roman" w:hAnsi="Times New Roman" w:cs="Times New Roman" w:eastAsiaTheme="minorEastAsia"/>
          <w:bCs/>
          <w:color w:val="auto"/>
          <w:sz w:val="28"/>
          <w:szCs w:val="28"/>
          <w:highlight w:val="none"/>
          <w:lang w:eastAsia="zh-CN"/>
        </w:rPr>
        <w:t>大兴安岭地区呼玛县 JH 项目鸥浦乡配套采石场建筑用凝灰岩矿，矿种为凝灰岩。矿区内仅圈定1个矿体，为单一矿体。矿体赋存于白垩系下统九峰山组地层，矿体平面形态呈不规则面状，整体沿山体连续展布，矿体空间分布范围与拟设采矿权矿区范围基本一致；本项目为露天开采，采场地表实际南北长193m、东西宽130m，矿体平面出露规模受采场境界控制，属于小型建筑石料矿体。</w:t>
      </w:r>
    </w:p>
    <w:p w14:paraId="27FF1830">
      <w:pPr>
        <w:pageBreakBefore w:val="0"/>
        <w:kinsoku/>
        <w:wordWrap/>
        <w:overflowPunct/>
        <w:topLinePunct w:val="0"/>
        <w:bidi w:val="0"/>
        <w:spacing w:line="360" w:lineRule="auto"/>
        <w:ind w:firstLine="560" w:firstLineChars="200"/>
        <w:rPr>
          <w:rFonts w:hint="default" w:ascii="Times New Roman" w:hAnsi="Times New Roman" w:cs="Times New Roman" w:eastAsiaTheme="minorEastAsia"/>
          <w:bCs/>
          <w:color w:val="auto"/>
          <w:sz w:val="28"/>
          <w:szCs w:val="28"/>
          <w:highlight w:val="none"/>
          <w:lang w:eastAsia="zh-CN"/>
        </w:rPr>
      </w:pPr>
      <w:r>
        <w:rPr>
          <w:rFonts w:hint="default" w:ascii="Times New Roman" w:hAnsi="Times New Roman" w:cs="Times New Roman" w:eastAsiaTheme="minorEastAsia"/>
          <w:bCs/>
          <w:color w:val="auto"/>
          <w:sz w:val="28"/>
          <w:szCs w:val="28"/>
          <w:highlight w:val="none"/>
          <w:lang w:eastAsia="zh-CN"/>
        </w:rPr>
        <w:t>矿体呈层状产出，产状与地层产状基本一致，总体产状平缓，岩层连续性较好；受区域构造影响较小，矿区内未见明显断裂错断矿体现象。矿体分布规律受白垩系下统九峰山组地层控制，矿体随山体地形起伏出露，地表连续性好，无明显间断、夹石层，整体分布稳定。</w:t>
      </w:r>
    </w:p>
    <w:p w14:paraId="20BC7756">
      <w:pPr>
        <w:pageBreakBefore w:val="0"/>
        <w:kinsoku/>
        <w:wordWrap/>
        <w:overflowPunct/>
        <w:topLinePunct w:val="0"/>
        <w:bidi w:val="0"/>
        <w:spacing w:line="360" w:lineRule="auto"/>
        <w:ind w:firstLine="560" w:firstLineChars="200"/>
        <w:rPr>
          <w:rFonts w:hint="default" w:ascii="Times New Roman" w:hAnsi="Times New Roman" w:cs="Times New Roman" w:eastAsiaTheme="minorEastAsia"/>
          <w:bCs/>
          <w:color w:val="auto"/>
          <w:sz w:val="28"/>
          <w:szCs w:val="28"/>
          <w:highlight w:val="none"/>
          <w:lang w:eastAsia="zh-CN"/>
        </w:rPr>
      </w:pPr>
      <w:r>
        <w:rPr>
          <w:rFonts w:hint="default" w:ascii="Times New Roman" w:hAnsi="Times New Roman" w:cs="Times New Roman" w:eastAsiaTheme="minorEastAsia"/>
          <w:bCs/>
          <w:color w:val="auto"/>
          <w:sz w:val="28"/>
          <w:szCs w:val="28"/>
          <w:highlight w:val="none"/>
          <w:lang w:eastAsia="zh-CN"/>
        </w:rPr>
        <w:t>顶板岩性：矿体顶板为腐殖土及残坡积层，厚度约 1.0m，主要为含碎石腐殖土、残坡积碎石土</w:t>
      </w:r>
      <w:r>
        <w:rPr>
          <w:rFonts w:hint="eastAsia" w:ascii="Times New Roman" w:hAnsi="Times New Roman" w:cs="Times New Roman"/>
          <w:bCs/>
          <w:color w:val="auto"/>
          <w:sz w:val="28"/>
          <w:szCs w:val="28"/>
          <w:highlight w:val="none"/>
          <w:lang w:eastAsia="zh-CN"/>
        </w:rPr>
        <w:t>。</w:t>
      </w:r>
    </w:p>
    <w:p w14:paraId="203B429A">
      <w:pPr>
        <w:pageBreakBefore w:val="0"/>
        <w:kinsoku/>
        <w:wordWrap/>
        <w:overflowPunct/>
        <w:topLinePunct w:val="0"/>
        <w:bidi w:val="0"/>
        <w:spacing w:line="360" w:lineRule="auto"/>
        <w:ind w:firstLine="560" w:firstLineChars="200"/>
        <w:rPr>
          <w:rFonts w:hint="default" w:ascii="Times New Roman" w:hAnsi="Times New Roman" w:cs="Times New Roman" w:eastAsiaTheme="minorEastAsia"/>
          <w:bCs/>
          <w:color w:val="auto"/>
          <w:sz w:val="28"/>
          <w:szCs w:val="28"/>
          <w:highlight w:val="none"/>
          <w:lang w:eastAsia="zh-CN"/>
        </w:rPr>
      </w:pPr>
      <w:r>
        <w:rPr>
          <w:rFonts w:hint="default" w:ascii="Times New Roman" w:hAnsi="Times New Roman" w:cs="Times New Roman" w:eastAsiaTheme="minorEastAsia"/>
          <w:bCs/>
          <w:color w:val="auto"/>
          <w:sz w:val="28"/>
          <w:szCs w:val="28"/>
          <w:highlight w:val="none"/>
          <w:lang w:eastAsia="zh-CN"/>
        </w:rPr>
        <w:t>底板岩性：矿体底板仍为同层位凝灰岩，岩性与矿体一致，矿石质量稳定，无软弱夹层。</w:t>
      </w:r>
    </w:p>
    <w:p w14:paraId="322DB12E">
      <w:pPr>
        <w:pageBreakBefore w:val="0"/>
        <w:kinsoku/>
        <w:wordWrap/>
        <w:overflowPunct/>
        <w:topLinePunct w:val="0"/>
        <w:bidi w:val="0"/>
        <w:spacing w:line="360" w:lineRule="auto"/>
        <w:ind w:firstLine="560" w:firstLineChars="200"/>
        <w:rPr>
          <w:rFonts w:hint="default" w:ascii="Times New Roman" w:hAnsi="Times New Roman" w:cs="Times New Roman" w:eastAsiaTheme="minorEastAsia"/>
          <w:bCs/>
          <w:color w:val="auto"/>
          <w:sz w:val="28"/>
          <w:szCs w:val="28"/>
          <w:highlight w:val="none"/>
          <w:lang w:eastAsia="zh-CN"/>
        </w:rPr>
      </w:pPr>
      <w:r>
        <w:rPr>
          <w:rFonts w:hint="default" w:ascii="Times New Roman" w:hAnsi="Times New Roman" w:cs="Times New Roman" w:eastAsiaTheme="minorEastAsia"/>
          <w:bCs/>
          <w:color w:val="auto"/>
          <w:sz w:val="28"/>
          <w:szCs w:val="28"/>
          <w:highlight w:val="none"/>
          <w:lang w:eastAsia="zh-CN"/>
        </w:rPr>
        <w:t>矿石岩性为凝灰岩，具凝灰结构、块状构造。矿物组分：晶屑 65%，玻屑 5%，岩屑 15%，火山灰 15%。</w:t>
      </w:r>
    </w:p>
    <w:p w14:paraId="438B01B2">
      <w:pPr>
        <w:pageBreakBefore w:val="0"/>
        <w:kinsoku/>
        <w:wordWrap/>
        <w:overflowPunct/>
        <w:topLinePunct w:val="0"/>
        <w:bidi w:val="0"/>
        <w:spacing w:line="360" w:lineRule="auto"/>
        <w:ind w:firstLine="560" w:firstLineChars="200"/>
        <w:rPr>
          <w:rFonts w:hint="default" w:ascii="Times New Roman" w:hAnsi="Times New Roman" w:cs="Times New Roman" w:eastAsiaTheme="minorEastAsia"/>
          <w:bCs/>
          <w:color w:val="auto"/>
          <w:sz w:val="28"/>
          <w:szCs w:val="28"/>
          <w:highlight w:val="none"/>
          <w:lang w:eastAsia="zh-CN"/>
        </w:rPr>
      </w:pPr>
    </w:p>
    <w:p w14:paraId="73D1D86E">
      <w:pPr>
        <w:pageBreakBefore w:val="0"/>
        <w:kinsoku/>
        <w:wordWrap/>
        <w:overflowPunct/>
        <w:topLinePunct w:val="0"/>
        <w:bidi w:val="0"/>
        <w:spacing w:line="360" w:lineRule="auto"/>
        <w:ind w:firstLine="560" w:firstLineChars="200"/>
        <w:rPr>
          <w:rFonts w:hint="default" w:ascii="Times New Roman" w:hAnsi="Times New Roman" w:cs="Times New Roman" w:eastAsiaTheme="minorEastAsia"/>
          <w:bCs/>
          <w:color w:val="auto"/>
          <w:sz w:val="28"/>
          <w:szCs w:val="28"/>
          <w:highlight w:val="none"/>
          <w:lang w:eastAsia="zh-CN"/>
        </w:rPr>
      </w:pPr>
      <w:r>
        <w:rPr>
          <w:rFonts w:hint="default" w:ascii="Times New Roman" w:hAnsi="Times New Roman" w:cs="Times New Roman" w:eastAsiaTheme="minorEastAsia"/>
          <w:bCs/>
          <w:color w:val="auto"/>
          <w:sz w:val="28"/>
          <w:szCs w:val="28"/>
          <w:highlight w:val="none"/>
          <w:lang w:eastAsia="zh-CN"/>
        </w:rPr>
        <w:t>晶屑：主要由斜长石、碱性长石、石英及黑云母组成，粒度多 0.05～0.2mm。斜长石呈半自形板状，发育聚片双晶，以更 - 中长石为主；晶面较污浊，受粘土矿物、绢云母交代，部分晶面裂隙充填褐铁矿。碱性长石半自形板状，负低突起，普遍土化。石英他形粒状，正低突起，干涉色一级灰白。黑云母多被绿泥石交代，发生褪色并析出铁质；晶屑形态以次棱角状、次圆状为主。</w:t>
      </w:r>
    </w:p>
    <w:p w14:paraId="39E0FDC3">
      <w:pPr>
        <w:pageBreakBefore w:val="0"/>
        <w:kinsoku/>
        <w:wordWrap/>
        <w:overflowPunct/>
        <w:topLinePunct w:val="0"/>
        <w:bidi w:val="0"/>
        <w:spacing w:line="360" w:lineRule="auto"/>
        <w:ind w:firstLine="560" w:firstLineChars="200"/>
        <w:rPr>
          <w:rFonts w:hint="default" w:ascii="Times New Roman" w:hAnsi="Times New Roman" w:cs="Times New Roman" w:eastAsiaTheme="minorEastAsia"/>
          <w:bCs/>
          <w:color w:val="auto"/>
          <w:sz w:val="28"/>
          <w:szCs w:val="28"/>
          <w:highlight w:val="none"/>
          <w:lang w:eastAsia="zh-CN"/>
        </w:rPr>
      </w:pPr>
      <w:r>
        <w:rPr>
          <w:rFonts w:hint="default" w:ascii="Times New Roman" w:hAnsi="Times New Roman" w:cs="Times New Roman" w:eastAsiaTheme="minorEastAsia"/>
          <w:bCs/>
          <w:color w:val="auto"/>
          <w:sz w:val="28"/>
          <w:szCs w:val="28"/>
          <w:highlight w:val="none"/>
          <w:lang w:eastAsia="zh-CN"/>
        </w:rPr>
        <w:t>玻屑：呈不规则它形，已脱玻并被粘土矿物交代，粒度 0.06～0.2mm。</w:t>
      </w:r>
    </w:p>
    <w:p w14:paraId="3D22565F">
      <w:pPr>
        <w:pageBreakBefore w:val="0"/>
        <w:kinsoku/>
        <w:wordWrap/>
        <w:overflowPunct/>
        <w:topLinePunct w:val="0"/>
        <w:bidi w:val="0"/>
        <w:spacing w:line="360" w:lineRule="auto"/>
        <w:ind w:firstLine="560" w:firstLineChars="200"/>
        <w:rPr>
          <w:rFonts w:hint="default" w:ascii="Times New Roman" w:hAnsi="Times New Roman" w:cs="Times New Roman" w:eastAsiaTheme="minorEastAsia"/>
          <w:bCs/>
          <w:color w:val="auto"/>
          <w:sz w:val="28"/>
          <w:szCs w:val="28"/>
          <w:highlight w:val="none"/>
          <w:lang w:eastAsia="zh-CN"/>
        </w:rPr>
      </w:pPr>
      <w:r>
        <w:rPr>
          <w:rFonts w:hint="default" w:ascii="Times New Roman" w:hAnsi="Times New Roman" w:cs="Times New Roman" w:eastAsiaTheme="minorEastAsia"/>
          <w:bCs/>
          <w:color w:val="auto"/>
          <w:sz w:val="28"/>
          <w:szCs w:val="28"/>
          <w:highlight w:val="none"/>
          <w:lang w:eastAsia="zh-CN"/>
        </w:rPr>
        <w:t>岩屑：成分为火山熔岩，粒度 0.05～0.2mm。</w:t>
      </w:r>
    </w:p>
    <w:p w14:paraId="26C12379">
      <w:pPr>
        <w:pageBreakBefore w:val="0"/>
        <w:kinsoku/>
        <w:wordWrap/>
        <w:overflowPunct/>
        <w:topLinePunct w:val="0"/>
        <w:bidi w:val="0"/>
        <w:spacing w:line="360" w:lineRule="auto"/>
        <w:ind w:firstLine="560" w:firstLineChars="200"/>
        <w:rPr>
          <w:rFonts w:hint="default" w:ascii="Times New Roman" w:hAnsi="Times New Roman" w:cs="Times New Roman" w:eastAsiaTheme="minorEastAsia"/>
          <w:bCs/>
          <w:color w:val="auto"/>
          <w:sz w:val="28"/>
          <w:szCs w:val="28"/>
          <w:highlight w:val="none"/>
          <w:lang w:eastAsia="zh-CN"/>
        </w:rPr>
      </w:pPr>
      <w:r>
        <w:rPr>
          <w:rFonts w:hint="default" w:ascii="Times New Roman" w:hAnsi="Times New Roman" w:cs="Times New Roman" w:eastAsiaTheme="minorEastAsia"/>
          <w:bCs/>
          <w:color w:val="auto"/>
          <w:sz w:val="28"/>
          <w:szCs w:val="28"/>
          <w:highlight w:val="none"/>
          <w:lang w:eastAsia="zh-CN"/>
        </w:rPr>
        <w:t>火山灰：为细小火山尘，脱玻转化为长英质隐晶质，被粘土矿物交代。</w:t>
      </w:r>
    </w:p>
    <w:p w14:paraId="7107462B">
      <w:pPr>
        <w:pageBreakBefore w:val="0"/>
        <w:kinsoku/>
        <w:wordWrap/>
        <w:overflowPunct/>
        <w:topLinePunct w:val="0"/>
        <w:bidi w:val="0"/>
        <w:spacing w:line="360" w:lineRule="auto"/>
        <w:ind w:firstLine="560" w:firstLineChars="200"/>
        <w:rPr>
          <w:rFonts w:hint="default" w:ascii="Times New Roman" w:hAnsi="Times New Roman" w:cs="Times New Roman" w:eastAsiaTheme="minorEastAsia"/>
          <w:bCs/>
          <w:color w:val="auto"/>
          <w:sz w:val="28"/>
          <w:szCs w:val="28"/>
          <w:highlight w:val="none"/>
          <w:lang w:eastAsia="zh-CN"/>
        </w:rPr>
      </w:pPr>
      <w:r>
        <w:rPr>
          <w:rFonts w:hint="default" w:ascii="Times New Roman" w:hAnsi="Times New Roman" w:cs="Times New Roman" w:eastAsiaTheme="minorEastAsia"/>
          <w:bCs/>
          <w:color w:val="auto"/>
          <w:sz w:val="28"/>
          <w:szCs w:val="28"/>
          <w:highlight w:val="none"/>
          <w:lang w:eastAsia="zh-CN"/>
        </w:rPr>
        <w:t>矿石岩质坚硬，节理较发育，整体呈块状。本次工作未实施工程勘查控制，仅通过野外实地调查确定矿体特征；矿区腐殖土及残坡积盖层厚度约 1.0m，盖层以下岩石均可作为建筑用石料。</w:t>
      </w:r>
    </w:p>
    <w:p w14:paraId="3C22922D">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33" w:name="_Toc24726"/>
      <w:bookmarkStart w:id="34" w:name="_Toc16602"/>
      <w:bookmarkStart w:id="35" w:name="_Toc167307740"/>
      <w:bookmarkStart w:id="36" w:name="_Toc31764"/>
      <w:bookmarkStart w:id="37" w:name="_Toc8066"/>
      <w:r>
        <w:rPr>
          <w:rFonts w:hint="default" w:ascii="Times New Roman" w:hAnsi="Times New Roman" w:cs="Times New Roman" w:eastAsiaTheme="minorEastAsia"/>
          <w:color w:val="auto"/>
          <w:sz w:val="30"/>
          <w:szCs w:val="30"/>
          <w:highlight w:val="none"/>
          <w:lang w:val="en-US" w:eastAsia="zh-CN"/>
        </w:rPr>
        <w:t>二、矿床开采技术条件</w:t>
      </w:r>
      <w:bookmarkEnd w:id="33"/>
      <w:bookmarkEnd w:id="34"/>
      <w:bookmarkEnd w:id="35"/>
      <w:bookmarkEnd w:id="36"/>
      <w:bookmarkEnd w:id="37"/>
    </w:p>
    <w:p w14:paraId="69F949F6">
      <w:pPr>
        <w:pageBreakBefore w:val="0"/>
        <w:kinsoku/>
        <w:wordWrap/>
        <w:overflowPunct/>
        <w:topLinePunct w:val="0"/>
        <w:bidi w:val="0"/>
        <w:spacing w:line="360" w:lineRule="auto"/>
        <w:ind w:firstLine="562" w:firstLineChars="200"/>
        <w:rPr>
          <w:rFonts w:hint="default" w:ascii="Times New Roman" w:hAnsi="Times New Roman" w:cs="Times New Roman" w:eastAsiaTheme="minorEastAsia"/>
          <w:b/>
          <w:bCs/>
          <w:color w:val="auto"/>
          <w:sz w:val="28"/>
          <w:szCs w:val="28"/>
          <w:highlight w:val="none"/>
          <w:lang w:val="en-US" w:eastAsia="zh-CN"/>
        </w:rPr>
      </w:pPr>
      <w:r>
        <w:rPr>
          <w:rFonts w:hint="default" w:ascii="Times New Roman" w:hAnsi="Times New Roman" w:cs="Times New Roman" w:eastAsiaTheme="minorEastAsia"/>
          <w:b/>
          <w:bCs/>
          <w:color w:val="auto"/>
          <w:sz w:val="28"/>
          <w:szCs w:val="28"/>
          <w:highlight w:val="none"/>
          <w:lang w:val="en-US" w:eastAsia="zh-CN"/>
        </w:rPr>
        <w:t>1、水文地质</w:t>
      </w:r>
    </w:p>
    <w:p w14:paraId="3F4F997B">
      <w:pPr>
        <w:pageBreakBefore w:val="0"/>
        <w:kinsoku/>
        <w:wordWrap/>
        <w:overflowPunct/>
        <w:topLinePunct w:val="0"/>
        <w:bidi w:val="0"/>
        <w:snapToGrid w:val="0"/>
        <w:spacing w:line="360" w:lineRule="auto"/>
        <w:ind w:firstLine="560" w:firstLineChars="200"/>
        <w:jc w:val="both"/>
        <w:rPr>
          <w:rFonts w:hint="default" w:ascii="Times New Roman" w:hAnsi="Times New Roman" w:cs="Times New Roman" w:eastAsiaTheme="minorEastAsia"/>
          <w:bCs/>
          <w:color w:val="auto"/>
          <w:sz w:val="28"/>
          <w:szCs w:val="28"/>
        </w:rPr>
      </w:pPr>
      <w:r>
        <w:rPr>
          <w:rFonts w:hint="default" w:ascii="Times New Roman" w:hAnsi="Times New Roman" w:cs="Times New Roman" w:eastAsiaTheme="minorEastAsia"/>
          <w:bCs/>
          <w:color w:val="auto"/>
          <w:sz w:val="28"/>
          <w:szCs w:val="28"/>
        </w:rPr>
        <w:t>矿区属第四系砂、砾石孔隙水，基岩裂隙水的补给迳流区。地貌单元为丘陵区地形。气候特征为寒温带大陆性季风气候，地下水受大气降水的渗入补给，沿山坡向地势低洼处迳流，以蒸发和泉的形式排泄。</w:t>
      </w:r>
    </w:p>
    <w:p w14:paraId="0B9B7E1F">
      <w:pPr>
        <w:pageBreakBefore w:val="0"/>
        <w:kinsoku/>
        <w:wordWrap/>
        <w:overflowPunct/>
        <w:topLinePunct w:val="0"/>
        <w:bidi w:val="0"/>
        <w:snapToGrid w:val="0"/>
        <w:spacing w:line="360" w:lineRule="auto"/>
        <w:ind w:firstLine="560" w:firstLineChars="200"/>
        <w:jc w:val="both"/>
        <w:rPr>
          <w:rFonts w:hint="default" w:ascii="Times New Roman" w:hAnsi="Times New Roman" w:cs="Times New Roman" w:eastAsiaTheme="minorEastAsia"/>
          <w:bCs/>
          <w:color w:val="auto"/>
          <w:sz w:val="28"/>
          <w:szCs w:val="28"/>
        </w:rPr>
      </w:pPr>
      <w:r>
        <w:rPr>
          <w:rFonts w:hint="default" w:ascii="Times New Roman" w:hAnsi="Times New Roman" w:cs="Times New Roman" w:eastAsiaTheme="minorEastAsia"/>
          <w:bCs/>
          <w:color w:val="auto"/>
          <w:sz w:val="28"/>
          <w:szCs w:val="28"/>
        </w:rPr>
        <w:t>矿区内无地表水体，附近最大河流为黑龙江，位于矿区东面约8km处，矿区附近最低侵蚀基准面坐标：X坐标：5831616、Y坐标：42497569，高程：210m（2000国家大地坐标系，3度带，1985国家高程基准），开采矿体处于侵蚀基准面之上，不受地表水径流影响。</w:t>
      </w:r>
    </w:p>
    <w:p w14:paraId="76625567">
      <w:pPr>
        <w:pageBreakBefore w:val="0"/>
        <w:kinsoku/>
        <w:wordWrap/>
        <w:overflowPunct/>
        <w:topLinePunct w:val="0"/>
        <w:bidi w:val="0"/>
        <w:snapToGrid w:val="0"/>
        <w:spacing w:line="360" w:lineRule="auto"/>
        <w:ind w:firstLine="560" w:firstLineChars="200"/>
        <w:jc w:val="both"/>
        <w:rPr>
          <w:rFonts w:hint="default" w:ascii="Times New Roman" w:hAnsi="Times New Roman" w:cs="Times New Roman" w:eastAsiaTheme="minorEastAsia"/>
          <w:bCs/>
          <w:color w:val="auto"/>
          <w:sz w:val="28"/>
          <w:szCs w:val="28"/>
        </w:rPr>
      </w:pPr>
      <w:r>
        <w:rPr>
          <w:rFonts w:hint="default" w:ascii="Times New Roman" w:hAnsi="Times New Roman" w:cs="Times New Roman" w:eastAsiaTheme="minorEastAsia"/>
          <w:bCs/>
          <w:color w:val="auto"/>
          <w:sz w:val="28"/>
          <w:szCs w:val="28"/>
        </w:rPr>
        <w:t>矿床开采无充水影响，影响矿床开采的充水因素主要为大气降水，矿区地貌条件有利于大气降水的地表径流排泄，不利于渗入补给地下水。矿区及周边广泛分布风化带网状裂隙水，含水空间为基岩风化带网状裂隙，含水层厚度受风化发育深度控制，含水层底板多与风化带下限一致，富水性差。矿山具备自然排水的有利地形，开采时雨水和冰雪融水可自然排放，同时雨季施工需做好矿坑排水工作，矿区的水文地质条件对矿区开采影响不大。</w:t>
      </w:r>
    </w:p>
    <w:p w14:paraId="6CEE76C8">
      <w:pPr>
        <w:snapToGrid w:val="0"/>
        <w:spacing w:line="360" w:lineRule="auto"/>
        <w:ind w:firstLine="560" w:firstLineChars="200"/>
        <w:jc w:val="both"/>
        <w:rPr>
          <w:rFonts w:hint="eastAsia" w:ascii="Times New Roman" w:hAnsi="Times New Roman" w:eastAsia="宋体" w:cs="Times New Roman"/>
          <w:sz w:val="28"/>
          <w:szCs w:val="28"/>
        </w:rPr>
      </w:pPr>
      <w:r>
        <w:rPr>
          <w:rFonts w:hint="eastAsia" w:ascii="Times New Roman" w:hAnsi="Times New Roman" w:eastAsia="宋体" w:cs="Times New Roman"/>
          <w:bCs/>
          <w:sz w:val="28"/>
          <w:szCs w:val="28"/>
        </w:rPr>
        <w:t>根据《矿区水文地质工程地质勘查规范》（GBT12719-2021），矿区水文地质勘探类型属于Ⅰ型，水文地质条件为简单的矿床。</w:t>
      </w:r>
    </w:p>
    <w:p w14:paraId="5FC96B7F">
      <w:pPr>
        <w:pageBreakBefore w:val="0"/>
        <w:kinsoku/>
        <w:wordWrap/>
        <w:overflowPunct/>
        <w:topLinePunct w:val="0"/>
        <w:bidi w:val="0"/>
        <w:spacing w:line="360" w:lineRule="auto"/>
        <w:ind w:firstLine="562" w:firstLineChars="200"/>
        <w:rPr>
          <w:rFonts w:hint="default" w:ascii="Times New Roman" w:hAnsi="Times New Roman" w:cs="Times New Roman" w:eastAsiaTheme="minorEastAsia"/>
          <w:b/>
          <w:bCs/>
          <w:color w:val="auto"/>
          <w:sz w:val="28"/>
          <w:szCs w:val="28"/>
          <w:highlight w:val="none"/>
          <w:lang w:val="en-US" w:eastAsia="zh-CN"/>
        </w:rPr>
      </w:pPr>
      <w:r>
        <w:rPr>
          <w:rFonts w:hint="default" w:ascii="Times New Roman" w:hAnsi="Times New Roman" w:cs="Times New Roman" w:eastAsiaTheme="minorEastAsia"/>
          <w:b/>
          <w:bCs/>
          <w:color w:val="auto"/>
          <w:sz w:val="28"/>
          <w:szCs w:val="28"/>
          <w:highlight w:val="none"/>
          <w:lang w:val="en-US" w:eastAsia="zh-CN"/>
        </w:rPr>
        <w:t>2、工程地质</w:t>
      </w:r>
    </w:p>
    <w:p w14:paraId="37E88887">
      <w:pPr>
        <w:pageBreakBefore w:val="0"/>
        <w:kinsoku/>
        <w:wordWrap/>
        <w:overflowPunct/>
        <w:topLinePunct w:val="0"/>
        <w:bidi w:val="0"/>
        <w:spacing w:line="360" w:lineRule="auto"/>
        <w:ind w:firstLine="560" w:firstLineChars="200"/>
        <w:jc w:val="both"/>
        <w:rPr>
          <w:rFonts w:hint="default" w:ascii="Times New Roman" w:hAnsi="Times New Roman" w:cs="Times New Roman" w:eastAsiaTheme="minorEastAsia"/>
          <w:bCs/>
          <w:color w:val="auto"/>
          <w:sz w:val="28"/>
          <w:szCs w:val="28"/>
          <w:highlight w:val="none"/>
        </w:rPr>
      </w:pPr>
      <w:bookmarkStart w:id="38" w:name="_Toc488226711"/>
      <w:bookmarkStart w:id="39" w:name="_Toc424885893"/>
      <w:r>
        <w:rPr>
          <w:rFonts w:hint="default" w:ascii="Times New Roman" w:hAnsi="Times New Roman" w:cs="Times New Roman" w:eastAsiaTheme="minorEastAsia"/>
          <w:bCs/>
          <w:color w:val="auto"/>
          <w:sz w:val="28"/>
          <w:szCs w:val="28"/>
          <w:highlight w:val="none"/>
        </w:rPr>
        <w:t>本矿山岩性为白垩系九峰山组（K₁j）凝灰岩，属坚硬岩石。矿体上部岩石风化程度较强，节理较发育；下部基岩节理、裂隙相对不发育，岩体完整性较好。矿体平面展布南北长 193m，东西宽 130m；赋存标高 332.5m～297m，上部覆盖层厚度 1.0m，矿体实际可采厚度 34.5m。</w:t>
      </w:r>
    </w:p>
    <w:p w14:paraId="66126FB6">
      <w:pPr>
        <w:pageBreakBefore w:val="0"/>
        <w:kinsoku/>
        <w:wordWrap/>
        <w:overflowPunct/>
        <w:topLinePunct w:val="0"/>
        <w:bidi w:val="0"/>
        <w:spacing w:line="360" w:lineRule="auto"/>
        <w:ind w:firstLine="560" w:firstLineChars="200"/>
        <w:jc w:val="both"/>
        <w:rPr>
          <w:rFonts w:hint="default" w:ascii="Times New Roman" w:hAnsi="Times New Roman" w:cs="Times New Roman" w:eastAsiaTheme="minorEastAsia"/>
          <w:bCs/>
          <w:color w:val="auto"/>
          <w:sz w:val="28"/>
          <w:szCs w:val="28"/>
          <w:highlight w:val="none"/>
        </w:rPr>
      </w:pPr>
      <w:r>
        <w:rPr>
          <w:rFonts w:hint="default" w:ascii="Times New Roman" w:hAnsi="Times New Roman" w:cs="Times New Roman" w:eastAsiaTheme="minorEastAsia"/>
          <w:bCs/>
          <w:color w:val="auto"/>
          <w:sz w:val="28"/>
          <w:szCs w:val="28"/>
          <w:highlight w:val="none"/>
        </w:rPr>
        <w:t>本次设计边坡角 60° 主要采用工程类比法，参考矿区周边同岩性露天采石场开采经验。结合野外地质调查对岩体结构面初步分析：矿区节理裂隙以近陡倾角为主，节理走向与设计边坡走向呈大角度相交，不存在顺坡向贯通性不利结构面，无大型软弱结构面、断层切割岩体；边坡潜在破坏模式以表层风化残坡积层及表层节理切割岩体的局部崩塌、掉块为主，不存在大规模滑坡条件。但上部强风化段、节理密集带岩体完整性下降，若直接采用 60° 边坡存在局部失稳风险，开采过程中对强风化带、节理密集发育区段适当放缓边坡角、减小台阶高度，局部地段可降至 50°～55°。</w:t>
      </w:r>
    </w:p>
    <w:p w14:paraId="6D704880">
      <w:pPr>
        <w:pageBreakBefore w:val="0"/>
        <w:kinsoku/>
        <w:wordWrap/>
        <w:overflowPunct/>
        <w:topLinePunct w:val="0"/>
        <w:bidi w:val="0"/>
        <w:spacing w:line="360" w:lineRule="auto"/>
        <w:ind w:firstLine="560" w:firstLineChars="200"/>
        <w:jc w:val="both"/>
        <w:rPr>
          <w:rFonts w:hint="default" w:ascii="Times New Roman" w:hAnsi="Times New Roman" w:cs="Times New Roman" w:eastAsiaTheme="minorEastAsia"/>
          <w:bCs/>
          <w:color w:val="auto"/>
          <w:sz w:val="28"/>
          <w:szCs w:val="28"/>
          <w:highlight w:val="none"/>
        </w:rPr>
      </w:pPr>
      <w:r>
        <w:rPr>
          <w:rFonts w:hint="default" w:ascii="Times New Roman" w:hAnsi="Times New Roman" w:cs="Times New Roman" w:eastAsiaTheme="minorEastAsia"/>
          <w:bCs/>
          <w:color w:val="auto"/>
          <w:sz w:val="28"/>
          <w:szCs w:val="28"/>
          <w:highlight w:val="none"/>
        </w:rPr>
        <w:t>设计最终形成坡角 60° 的簸箕状采场。随着矿山开挖，人工边坡改变原有岩体应力状态，近地表残坡积层、强风化段易产生局部掉块、滑塌等边坡工程地质问题。矿山开采期间应落实边坡安全防护措施：开采前及开采过程中及时清除边坡浮石、松动危岩；对风化层、节理发育段进行专项处理，严禁超挖、陡挖。</w:t>
      </w:r>
    </w:p>
    <w:p w14:paraId="482B8CC7">
      <w:pPr>
        <w:pageBreakBefore w:val="0"/>
        <w:kinsoku/>
        <w:wordWrap/>
        <w:overflowPunct/>
        <w:topLinePunct w:val="0"/>
        <w:bidi w:val="0"/>
        <w:spacing w:line="360" w:lineRule="auto"/>
        <w:ind w:firstLine="560" w:firstLineChars="200"/>
        <w:jc w:val="both"/>
        <w:rPr>
          <w:rFonts w:hint="default" w:ascii="Times New Roman" w:hAnsi="Times New Roman" w:cs="Times New Roman" w:eastAsiaTheme="minorEastAsia"/>
          <w:bCs/>
          <w:color w:val="auto"/>
          <w:sz w:val="28"/>
          <w:szCs w:val="28"/>
          <w:highlight w:val="none"/>
        </w:rPr>
      </w:pPr>
      <w:r>
        <w:rPr>
          <w:rFonts w:hint="default" w:ascii="Times New Roman" w:hAnsi="Times New Roman" w:cs="Times New Roman" w:eastAsiaTheme="minorEastAsia"/>
          <w:bCs/>
          <w:color w:val="auto"/>
          <w:sz w:val="28"/>
          <w:szCs w:val="28"/>
          <w:highlight w:val="none"/>
        </w:rPr>
        <w:t>边坡监测与边坡巡查制度：建立边坡日常巡查 + 简易变形监测相结合的边坡安全管控体系。</w:t>
      </w:r>
    </w:p>
    <w:p w14:paraId="50D73C26">
      <w:pPr>
        <w:pageBreakBefore w:val="0"/>
        <w:kinsoku/>
        <w:wordWrap/>
        <w:overflowPunct/>
        <w:topLinePunct w:val="0"/>
        <w:bidi w:val="0"/>
        <w:spacing w:line="360" w:lineRule="auto"/>
        <w:ind w:firstLine="560" w:firstLineChars="200"/>
        <w:jc w:val="both"/>
        <w:rPr>
          <w:rFonts w:hint="default" w:ascii="Times New Roman" w:hAnsi="Times New Roman" w:cs="Times New Roman" w:eastAsiaTheme="minorEastAsia"/>
          <w:bCs/>
          <w:color w:val="auto"/>
          <w:sz w:val="28"/>
          <w:szCs w:val="28"/>
          <w:highlight w:val="none"/>
        </w:rPr>
      </w:pPr>
      <w:r>
        <w:rPr>
          <w:rFonts w:hint="default" w:ascii="Times New Roman" w:hAnsi="Times New Roman" w:cs="Times New Roman" w:eastAsiaTheme="minorEastAsia"/>
          <w:bCs/>
          <w:color w:val="auto"/>
          <w:sz w:val="28"/>
          <w:szCs w:val="28"/>
          <w:highlight w:val="none"/>
        </w:rPr>
        <w:t>1</w:t>
      </w:r>
      <w:r>
        <w:rPr>
          <w:rFonts w:hint="eastAsia" w:ascii="Times New Roman" w:hAnsi="Times New Roman" w:cs="Times New Roman"/>
          <w:bCs/>
          <w:color w:val="auto"/>
          <w:sz w:val="28"/>
          <w:szCs w:val="28"/>
          <w:highlight w:val="none"/>
          <w:lang w:eastAsia="zh-CN"/>
        </w:rPr>
        <w:t>）</w:t>
      </w:r>
      <w:r>
        <w:rPr>
          <w:rFonts w:hint="default" w:ascii="Times New Roman" w:hAnsi="Times New Roman" w:cs="Times New Roman" w:eastAsiaTheme="minorEastAsia"/>
          <w:bCs/>
          <w:color w:val="auto"/>
          <w:sz w:val="28"/>
          <w:szCs w:val="28"/>
          <w:highlight w:val="none"/>
        </w:rPr>
        <w:t>边坡巡查：矿山设置专职边坡巡查人员，日常每日巡查1次；雨季、冰雪融化期、爆破作业后加密巡查频次，重点核查边坡有无新裂隙、危石、掉块、渗水、局部变形等迹象，做好巡查台账，发现险情立即停工、撤离人员设备，采取治理措施。</w:t>
      </w:r>
    </w:p>
    <w:p w14:paraId="31407FA5">
      <w:pPr>
        <w:pageBreakBefore w:val="0"/>
        <w:kinsoku/>
        <w:wordWrap/>
        <w:overflowPunct/>
        <w:topLinePunct w:val="0"/>
        <w:bidi w:val="0"/>
        <w:spacing w:line="360" w:lineRule="auto"/>
        <w:ind w:firstLine="560" w:firstLineChars="200"/>
        <w:jc w:val="both"/>
        <w:rPr>
          <w:rFonts w:hint="default" w:ascii="Times New Roman" w:hAnsi="Times New Roman" w:cs="Times New Roman" w:eastAsiaTheme="minorEastAsia"/>
          <w:bCs/>
          <w:color w:val="auto"/>
          <w:sz w:val="28"/>
          <w:szCs w:val="28"/>
          <w:highlight w:val="none"/>
        </w:rPr>
      </w:pPr>
      <w:r>
        <w:rPr>
          <w:rFonts w:hint="default" w:ascii="Times New Roman" w:hAnsi="Times New Roman" w:cs="Times New Roman" w:eastAsiaTheme="minorEastAsia"/>
          <w:bCs/>
          <w:color w:val="auto"/>
          <w:sz w:val="28"/>
          <w:szCs w:val="28"/>
          <w:highlight w:val="none"/>
        </w:rPr>
        <w:t>2</w:t>
      </w:r>
      <w:r>
        <w:rPr>
          <w:rFonts w:hint="eastAsia" w:ascii="Times New Roman" w:hAnsi="Times New Roman" w:cs="Times New Roman"/>
          <w:bCs/>
          <w:color w:val="auto"/>
          <w:sz w:val="28"/>
          <w:szCs w:val="28"/>
          <w:highlight w:val="none"/>
          <w:lang w:eastAsia="zh-CN"/>
        </w:rPr>
        <w:t>）</w:t>
      </w:r>
      <w:r>
        <w:rPr>
          <w:rFonts w:hint="default" w:ascii="Times New Roman" w:hAnsi="Times New Roman" w:cs="Times New Roman" w:eastAsiaTheme="minorEastAsia"/>
          <w:bCs/>
          <w:color w:val="auto"/>
          <w:sz w:val="28"/>
          <w:szCs w:val="28"/>
          <w:highlight w:val="none"/>
        </w:rPr>
        <w:t>边坡监测：在采场边坡关键位置布设简易位移监测点，定期观测边坡位移变化，记录监测数据；发现位移速率异常、裂缝扩展等险情，立即停止开采，组织边坡专项排查。</w:t>
      </w:r>
    </w:p>
    <w:p w14:paraId="02BF813A">
      <w:pPr>
        <w:pageBreakBefore w:val="0"/>
        <w:kinsoku/>
        <w:wordWrap/>
        <w:overflowPunct/>
        <w:topLinePunct w:val="0"/>
        <w:bidi w:val="0"/>
        <w:spacing w:line="360" w:lineRule="auto"/>
        <w:ind w:firstLine="560" w:firstLineChars="200"/>
        <w:jc w:val="both"/>
        <w:rPr>
          <w:rFonts w:hint="default" w:ascii="Times New Roman" w:hAnsi="Times New Roman" w:cs="Times New Roman" w:eastAsiaTheme="minorEastAsia"/>
          <w:bCs/>
          <w:color w:val="auto"/>
          <w:sz w:val="28"/>
          <w:szCs w:val="28"/>
          <w:highlight w:val="none"/>
        </w:rPr>
      </w:pPr>
      <w:r>
        <w:rPr>
          <w:rFonts w:hint="default" w:ascii="Times New Roman" w:hAnsi="Times New Roman" w:cs="Times New Roman" w:eastAsiaTheme="minorEastAsia"/>
          <w:bCs/>
          <w:color w:val="auto"/>
          <w:sz w:val="28"/>
          <w:szCs w:val="28"/>
          <w:highlight w:val="none"/>
        </w:rPr>
        <w:t>3</w:t>
      </w:r>
      <w:r>
        <w:rPr>
          <w:rFonts w:hint="eastAsia" w:ascii="Times New Roman" w:hAnsi="Times New Roman" w:cs="Times New Roman"/>
          <w:bCs/>
          <w:color w:val="auto"/>
          <w:sz w:val="28"/>
          <w:szCs w:val="28"/>
          <w:highlight w:val="none"/>
          <w:lang w:eastAsia="zh-CN"/>
        </w:rPr>
        <w:t>）</w:t>
      </w:r>
      <w:r>
        <w:rPr>
          <w:rFonts w:hint="default" w:ascii="Times New Roman" w:hAnsi="Times New Roman" w:cs="Times New Roman" w:eastAsiaTheme="minorEastAsia"/>
          <w:bCs/>
          <w:color w:val="auto"/>
          <w:sz w:val="28"/>
          <w:szCs w:val="28"/>
          <w:highlight w:val="none"/>
        </w:rPr>
        <w:t>开采过程中，如现场揭露岩体结构、风化程度与前期调查有较大差异，应及时复核边坡稳定性，必要时委托单位开展专项边坡稳定性计算，调整边坡设计参数。</w:t>
      </w:r>
    </w:p>
    <w:p w14:paraId="2BA4307C">
      <w:pPr>
        <w:pageBreakBefore w:val="0"/>
        <w:kinsoku/>
        <w:wordWrap/>
        <w:overflowPunct/>
        <w:topLinePunct w:val="0"/>
        <w:bidi w:val="0"/>
        <w:spacing w:line="360" w:lineRule="auto"/>
        <w:ind w:firstLine="560" w:firstLineChars="200"/>
        <w:jc w:val="both"/>
        <w:rPr>
          <w:rFonts w:hint="default" w:ascii="Times New Roman" w:hAnsi="Times New Roman" w:cs="Times New Roman" w:eastAsiaTheme="minorEastAsia"/>
          <w:bCs/>
          <w:color w:val="auto"/>
          <w:sz w:val="28"/>
          <w:szCs w:val="28"/>
          <w:highlight w:val="none"/>
        </w:rPr>
      </w:pPr>
      <w:r>
        <w:rPr>
          <w:rFonts w:hint="default" w:ascii="Times New Roman" w:hAnsi="Times New Roman" w:cs="Times New Roman" w:eastAsiaTheme="minorEastAsia"/>
          <w:bCs/>
          <w:color w:val="auto"/>
          <w:sz w:val="28"/>
          <w:szCs w:val="28"/>
          <w:highlight w:val="none"/>
        </w:rPr>
        <w:t>依据《矿区水文地质工程地质勘查规范》（GB/T12719-2021），矿区工程地质勘查分类为第二类碎裂岩类，工程地质复杂程度属简单型。</w:t>
      </w:r>
    </w:p>
    <w:p w14:paraId="7269AB42">
      <w:pPr>
        <w:pageBreakBefore w:val="0"/>
        <w:kinsoku/>
        <w:wordWrap/>
        <w:overflowPunct/>
        <w:topLinePunct w:val="0"/>
        <w:bidi w:val="0"/>
        <w:spacing w:line="360" w:lineRule="auto"/>
        <w:ind w:firstLine="562" w:firstLineChars="200"/>
        <w:rPr>
          <w:rFonts w:hint="default" w:ascii="Times New Roman" w:hAnsi="Times New Roman" w:cs="Times New Roman" w:eastAsiaTheme="minorEastAsia"/>
          <w:b/>
          <w:bCs/>
          <w:color w:val="auto"/>
          <w:sz w:val="28"/>
          <w:szCs w:val="28"/>
          <w:highlight w:val="none"/>
          <w:lang w:val="en-US" w:eastAsia="zh-CN"/>
        </w:rPr>
      </w:pPr>
      <w:r>
        <w:rPr>
          <w:rFonts w:hint="default" w:ascii="Times New Roman" w:hAnsi="Times New Roman" w:cs="Times New Roman" w:eastAsiaTheme="minorEastAsia"/>
          <w:b/>
          <w:bCs/>
          <w:color w:val="auto"/>
          <w:sz w:val="28"/>
          <w:szCs w:val="28"/>
          <w:highlight w:val="none"/>
          <w:lang w:val="en-US" w:eastAsia="zh-CN"/>
        </w:rPr>
        <w:t>3、环境地质</w:t>
      </w:r>
    </w:p>
    <w:bookmarkEnd w:id="38"/>
    <w:bookmarkEnd w:id="39"/>
    <w:p w14:paraId="6E4F70E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cs="Times New Roman" w:eastAsiaTheme="minorEastAsia"/>
          <w:bCs/>
          <w:color w:val="auto"/>
          <w:sz w:val="28"/>
          <w:szCs w:val="28"/>
        </w:rPr>
      </w:pPr>
      <w:r>
        <w:rPr>
          <w:rFonts w:hint="default" w:ascii="Times New Roman" w:hAnsi="Times New Roman" w:cs="Times New Roman" w:eastAsiaTheme="minorEastAsia"/>
          <w:bCs/>
          <w:color w:val="auto"/>
          <w:sz w:val="28"/>
          <w:szCs w:val="28"/>
        </w:rPr>
        <w:t>环境地质方面，区域稳定性良好，据《中国地震动参数区划图》（GB18306-2015），呼玛县地震基本烈度为Ⅵ度，地震动峰加速度值0.05g，反应谱特征周期Tg＝0.35s，属地震稳定区，抗震防设烈度6°。矿山地质环境现状中，经现场勘查，项目区位于丘陵区，无崩塌、滑坡、泥石流等突发性地质灾害；但矿山开采对原生地形地貌、植被及土地资源破坏较大，开采后废矿坑需回填腐殖土并加强复垦，恢复自然景观，且开采对周边环境破坏污染较小。地质环境质量方面，依据《矿区水文地质工程地质勘查规范》GB/T12719—2021，本矿床地质环境类型为“第一类”，质量良好，因矿区无污染源，地表水、地下水水质良好，矿石和废石不易分解有害组分。</w:t>
      </w:r>
    </w:p>
    <w:p w14:paraId="6FF45AB0">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40" w:name="_Toc3562"/>
      <w:bookmarkStart w:id="41" w:name="_Toc167307741"/>
      <w:bookmarkStart w:id="42" w:name="_Toc29903"/>
      <w:bookmarkStart w:id="43" w:name="_Toc3867"/>
      <w:bookmarkStart w:id="44" w:name="_Toc25302"/>
      <w:r>
        <w:rPr>
          <w:rFonts w:hint="default" w:ascii="Times New Roman" w:hAnsi="Times New Roman" w:cs="Times New Roman" w:eastAsiaTheme="minorEastAsia"/>
          <w:color w:val="auto"/>
          <w:sz w:val="30"/>
          <w:szCs w:val="30"/>
          <w:highlight w:val="none"/>
          <w:lang w:val="en-US" w:eastAsia="zh-CN"/>
        </w:rPr>
        <w:t>三、矿产资源储量情况</w:t>
      </w:r>
      <w:bookmarkEnd w:id="40"/>
      <w:bookmarkEnd w:id="41"/>
      <w:bookmarkEnd w:id="42"/>
      <w:bookmarkEnd w:id="43"/>
      <w:bookmarkEnd w:id="44"/>
    </w:p>
    <w:p w14:paraId="2DA9462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cs="Times New Roman" w:eastAsiaTheme="minorEastAsia"/>
          <w:color w:val="auto"/>
          <w:sz w:val="28"/>
          <w:szCs w:val="28"/>
          <w:highlight w:val="none"/>
        </w:rPr>
      </w:pPr>
      <w:r>
        <w:rPr>
          <w:rFonts w:hint="default" w:ascii="Times New Roman" w:hAnsi="Times New Roman" w:cs="Times New Roman" w:eastAsiaTheme="minorEastAsia"/>
          <w:color w:val="auto"/>
          <w:sz w:val="28"/>
          <w:szCs w:val="28"/>
          <w:highlight w:val="none"/>
        </w:rPr>
        <w:t>黑龙江广森测绘科技股份有限公司</w:t>
      </w:r>
      <w:r>
        <w:rPr>
          <w:rFonts w:hint="default" w:ascii="Times New Roman" w:hAnsi="Times New Roman" w:cs="Times New Roman" w:eastAsiaTheme="minorEastAsia"/>
          <w:color w:val="auto"/>
          <w:spacing w:val="15"/>
          <w:sz w:val="28"/>
          <w:szCs w:val="24"/>
          <w:lang w:val="en-US" w:eastAsia="zh-CN"/>
        </w:rPr>
        <w:t>2025</w:t>
      </w:r>
      <w:r>
        <w:rPr>
          <w:rFonts w:hint="default" w:ascii="Times New Roman" w:hAnsi="Times New Roman" w:cs="Times New Roman" w:eastAsiaTheme="minorEastAsia"/>
          <w:color w:val="auto"/>
          <w:sz w:val="28"/>
          <w:szCs w:val="24"/>
        </w:rPr>
        <w:t>年</w:t>
      </w:r>
      <w:r>
        <w:rPr>
          <w:rFonts w:hint="default" w:ascii="Times New Roman" w:hAnsi="Times New Roman" w:cs="Times New Roman" w:eastAsiaTheme="minorEastAsia"/>
          <w:color w:val="auto"/>
          <w:sz w:val="28"/>
          <w:szCs w:val="24"/>
          <w:lang w:val="en-US" w:eastAsia="zh-CN"/>
        </w:rPr>
        <w:t>10</w:t>
      </w:r>
      <w:r>
        <w:rPr>
          <w:rFonts w:hint="default" w:ascii="Times New Roman" w:hAnsi="Times New Roman" w:cs="Times New Roman" w:eastAsiaTheme="minorEastAsia"/>
          <w:color w:val="auto"/>
          <w:sz w:val="28"/>
          <w:szCs w:val="24"/>
        </w:rPr>
        <w:t>月提交</w:t>
      </w:r>
      <w:r>
        <w:rPr>
          <w:rFonts w:hint="default" w:ascii="Times New Roman" w:hAnsi="Times New Roman" w:cs="Times New Roman" w:eastAsiaTheme="minorEastAsia"/>
          <w:color w:val="auto"/>
          <w:spacing w:val="-95"/>
          <w:sz w:val="28"/>
          <w:szCs w:val="24"/>
        </w:rPr>
        <w:t xml:space="preserve"> </w:t>
      </w:r>
      <w:r>
        <w:rPr>
          <w:rFonts w:hint="default" w:ascii="Times New Roman" w:hAnsi="Times New Roman" w:cs="Times New Roman" w:eastAsiaTheme="minorEastAsia"/>
          <w:color w:val="auto"/>
          <w:sz w:val="28"/>
          <w:szCs w:val="24"/>
        </w:rPr>
        <w:t>的</w:t>
      </w:r>
      <w:r>
        <w:rPr>
          <w:rFonts w:hint="default" w:ascii="Times New Roman" w:hAnsi="Times New Roman" w:cs="Times New Roman" w:eastAsiaTheme="minorEastAsia"/>
          <w:color w:val="auto"/>
          <w:sz w:val="28"/>
          <w:szCs w:val="28"/>
          <w:highlight w:val="none"/>
        </w:rPr>
        <w:t>《</w:t>
      </w:r>
      <w:r>
        <w:rPr>
          <w:rFonts w:hint="default" w:ascii="Times New Roman" w:hAnsi="Times New Roman" w:cs="Times New Roman" w:eastAsiaTheme="minorEastAsia"/>
          <w:bCs/>
          <w:color w:val="auto"/>
          <w:sz w:val="28"/>
          <w:szCs w:val="28"/>
          <w:highlight w:val="none"/>
          <w:lang w:eastAsia="zh-CN"/>
        </w:rPr>
        <w:t>大兴安岭地区呼玛县JH项目鸥浦乡配套采石场建筑用凝灰岩矿矿产资源储量核实报</w:t>
      </w:r>
      <w:r>
        <w:rPr>
          <w:rFonts w:hint="default" w:ascii="Times New Roman" w:hAnsi="Times New Roman" w:cs="Times New Roman" w:eastAsiaTheme="minorEastAsia"/>
          <w:color w:val="auto"/>
          <w:sz w:val="28"/>
          <w:szCs w:val="28"/>
          <w:highlight w:val="none"/>
          <w:lang w:val="en-US" w:eastAsia="zh-CN"/>
        </w:rPr>
        <w:t>告》，</w:t>
      </w:r>
      <w:r>
        <w:rPr>
          <w:rFonts w:hint="default" w:ascii="Times New Roman" w:hAnsi="Times New Roman" w:cs="Times New Roman" w:eastAsiaTheme="minorEastAsia"/>
          <w:color w:val="auto"/>
          <w:sz w:val="28"/>
          <w:szCs w:val="24"/>
        </w:rPr>
        <w:t>该</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矿</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区</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由</w:t>
      </w:r>
      <w:r>
        <w:rPr>
          <w:rFonts w:hint="default" w:ascii="Times New Roman" w:hAnsi="Times New Roman" w:cs="Times New Roman" w:eastAsiaTheme="minorEastAsia"/>
          <w:color w:val="auto"/>
          <w:spacing w:val="-105"/>
          <w:sz w:val="28"/>
          <w:szCs w:val="24"/>
        </w:rPr>
        <w:t xml:space="preserve"> </w:t>
      </w:r>
      <w:r>
        <w:rPr>
          <w:rFonts w:hint="default" w:ascii="Times New Roman" w:hAnsi="Times New Roman" w:cs="Times New Roman" w:eastAsiaTheme="minorEastAsia"/>
          <w:color w:val="auto"/>
          <w:sz w:val="28"/>
          <w:szCs w:val="24"/>
        </w:rPr>
        <w:t>于</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矿</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体</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稳</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定</w:t>
      </w:r>
      <w:r>
        <w:rPr>
          <w:rFonts w:hint="default" w:ascii="Times New Roman" w:hAnsi="Times New Roman" w:cs="Times New Roman" w:eastAsiaTheme="minorEastAsia"/>
          <w:color w:val="auto"/>
          <w:spacing w:val="-105"/>
          <w:sz w:val="28"/>
          <w:szCs w:val="24"/>
        </w:rPr>
        <w:t xml:space="preserve"> </w:t>
      </w:r>
      <w:r>
        <w:rPr>
          <w:rFonts w:hint="default" w:ascii="Times New Roman" w:hAnsi="Times New Roman" w:cs="Times New Roman" w:eastAsiaTheme="minorEastAsia"/>
          <w:color w:val="auto"/>
          <w:sz w:val="28"/>
          <w:szCs w:val="24"/>
        </w:rPr>
        <w:t>，</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近</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于</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裸</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露</w:t>
      </w:r>
      <w:r>
        <w:rPr>
          <w:rFonts w:hint="default" w:ascii="Times New Roman" w:hAnsi="Times New Roman" w:cs="Times New Roman" w:eastAsiaTheme="minorEastAsia"/>
          <w:color w:val="auto"/>
          <w:spacing w:val="-105"/>
          <w:sz w:val="28"/>
          <w:szCs w:val="24"/>
        </w:rPr>
        <w:t xml:space="preserve"> </w:t>
      </w:r>
      <w:r>
        <w:rPr>
          <w:rFonts w:hint="default" w:ascii="Times New Roman" w:hAnsi="Times New Roman" w:cs="Times New Roman" w:eastAsiaTheme="minorEastAsia"/>
          <w:color w:val="auto"/>
          <w:sz w:val="28"/>
          <w:szCs w:val="24"/>
        </w:rPr>
        <w:t>地</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表</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w:t>
      </w:r>
      <w:r>
        <w:rPr>
          <w:rFonts w:hint="default" w:ascii="Times New Roman" w:hAnsi="Times New Roman" w:cs="Times New Roman" w:eastAsiaTheme="minorEastAsia"/>
          <w:color w:val="auto"/>
          <w:spacing w:val="-105"/>
          <w:sz w:val="28"/>
          <w:szCs w:val="24"/>
        </w:rPr>
        <w:t xml:space="preserve"> </w:t>
      </w:r>
      <w:r>
        <w:rPr>
          <w:rFonts w:hint="default" w:ascii="Times New Roman" w:hAnsi="Times New Roman" w:cs="Times New Roman" w:eastAsiaTheme="minorEastAsia"/>
          <w:color w:val="auto"/>
          <w:sz w:val="28"/>
          <w:szCs w:val="24"/>
        </w:rPr>
        <w:t>出</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露</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较</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好</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w:t>
      </w:r>
      <w:r>
        <w:rPr>
          <w:rFonts w:hint="default" w:ascii="Times New Roman" w:hAnsi="Times New Roman" w:cs="Times New Roman" w:eastAsiaTheme="minorEastAsia"/>
          <w:color w:val="auto"/>
          <w:spacing w:val="-105"/>
          <w:sz w:val="28"/>
          <w:szCs w:val="24"/>
        </w:rPr>
        <w:t xml:space="preserve"> </w:t>
      </w:r>
      <w:r>
        <w:rPr>
          <w:rFonts w:hint="default" w:ascii="Times New Roman" w:hAnsi="Times New Roman" w:cs="Times New Roman" w:eastAsiaTheme="minorEastAsia"/>
          <w:color w:val="auto"/>
          <w:sz w:val="28"/>
          <w:szCs w:val="24"/>
        </w:rPr>
        <w:t>未</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动</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用</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探矿</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工</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程</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w:t>
      </w:r>
      <w:r>
        <w:rPr>
          <w:rFonts w:hint="default" w:ascii="Times New Roman" w:hAnsi="Times New Roman" w:cs="Times New Roman" w:eastAsiaTheme="minorEastAsia"/>
          <w:color w:val="auto"/>
          <w:spacing w:val="-105"/>
          <w:sz w:val="28"/>
          <w:szCs w:val="24"/>
        </w:rPr>
        <w:t xml:space="preserve"> </w:t>
      </w:r>
      <w:r>
        <w:rPr>
          <w:rFonts w:hint="default" w:ascii="Times New Roman" w:hAnsi="Times New Roman" w:cs="Times New Roman" w:eastAsiaTheme="minorEastAsia"/>
          <w:color w:val="auto"/>
          <w:sz w:val="28"/>
          <w:szCs w:val="28"/>
          <w:highlight w:val="none"/>
          <w:lang w:val="en-US" w:eastAsia="zh-CN"/>
        </w:rPr>
        <w:t>评估基准日为2025年8月30日，</w:t>
      </w:r>
      <w:r>
        <w:rPr>
          <w:rFonts w:hint="eastAsia" w:ascii="Times New Roman" w:hAnsi="Times New Roman" w:cs="Times New Roman"/>
          <w:color w:val="auto"/>
          <w:sz w:val="28"/>
          <w:szCs w:val="28"/>
          <w:highlight w:val="none"/>
          <w:lang w:val="en-US" w:eastAsia="zh-CN"/>
        </w:rPr>
        <w:t>矿山至今未开采。拟</w:t>
      </w:r>
      <w:r>
        <w:rPr>
          <w:rFonts w:hint="default" w:ascii="Times New Roman" w:hAnsi="Times New Roman" w:cs="Times New Roman" w:eastAsiaTheme="minorEastAsia"/>
          <w:color w:val="auto"/>
          <w:sz w:val="28"/>
          <w:szCs w:val="28"/>
          <w:highlight w:val="none"/>
        </w:rPr>
        <w:t>开采矿种为</w:t>
      </w:r>
      <w:r>
        <w:rPr>
          <w:rFonts w:hint="default" w:ascii="Times New Roman" w:hAnsi="Times New Roman" w:cs="Times New Roman" w:eastAsiaTheme="minorEastAsia"/>
          <w:color w:val="auto"/>
          <w:sz w:val="28"/>
          <w:szCs w:val="28"/>
          <w:highlight w:val="none"/>
          <w:lang w:eastAsia="zh-CN"/>
        </w:rPr>
        <w:t>建筑用凝灰岩</w:t>
      </w:r>
      <w:r>
        <w:rPr>
          <w:rFonts w:hint="default" w:ascii="Times New Roman" w:hAnsi="Times New Roman" w:cs="Times New Roman" w:eastAsiaTheme="minorEastAsia"/>
          <w:color w:val="auto"/>
          <w:sz w:val="28"/>
          <w:szCs w:val="28"/>
          <w:highlight w:val="none"/>
        </w:rPr>
        <w:t>，开采范围内矿石推断</w:t>
      </w:r>
      <w:r>
        <w:rPr>
          <w:rFonts w:hint="default" w:ascii="Times New Roman" w:hAnsi="Times New Roman" w:cs="Times New Roman" w:eastAsiaTheme="minorEastAsia"/>
          <w:color w:val="auto"/>
          <w:sz w:val="28"/>
          <w:szCs w:val="28"/>
          <w:highlight w:val="none"/>
          <w:lang w:eastAsia="zh-CN"/>
        </w:rPr>
        <w:t>总资源量为353504</w:t>
      </w:r>
      <w:r>
        <w:rPr>
          <w:rFonts w:hint="eastAsia" w:ascii="Times New Roman" w:hAnsi="Times New Roman" w:cs="Times New Roman"/>
          <w:color w:val="auto"/>
          <w:sz w:val="28"/>
          <w:szCs w:val="28"/>
          <w:highlight w:val="none"/>
          <w:lang w:eastAsia="zh-CN"/>
        </w:rPr>
        <w:t>立方米</w:t>
      </w:r>
      <w:r>
        <w:rPr>
          <w:rFonts w:hint="default" w:ascii="Times New Roman" w:hAnsi="Times New Roman" w:cs="Times New Roman" w:eastAsiaTheme="minorEastAsia"/>
          <w:color w:val="auto"/>
          <w:sz w:val="28"/>
          <w:szCs w:val="28"/>
          <w:highlight w:val="none"/>
          <w:lang w:eastAsia="zh-CN"/>
        </w:rPr>
        <w:t>，边坡保留资源量为39405</w:t>
      </w:r>
      <w:r>
        <w:rPr>
          <w:rFonts w:hint="eastAsia" w:ascii="Times New Roman" w:hAnsi="Times New Roman" w:cs="Times New Roman"/>
          <w:color w:val="auto"/>
          <w:sz w:val="28"/>
          <w:szCs w:val="28"/>
          <w:highlight w:val="none"/>
          <w:lang w:eastAsia="zh-CN"/>
        </w:rPr>
        <w:t>立方米</w:t>
      </w:r>
      <w:r>
        <w:rPr>
          <w:rFonts w:hint="default" w:ascii="Times New Roman" w:hAnsi="Times New Roman" w:cs="Times New Roman" w:eastAsiaTheme="minorEastAsia"/>
          <w:color w:val="auto"/>
          <w:sz w:val="28"/>
          <w:szCs w:val="28"/>
          <w:highlight w:val="none"/>
          <w:lang w:eastAsia="zh-CN"/>
        </w:rPr>
        <w:t>，边坡内资源量为314099m</w:t>
      </w:r>
      <w:r>
        <w:rPr>
          <w:rFonts w:hint="default" w:ascii="Times New Roman" w:hAnsi="Times New Roman" w:cs="Times New Roman" w:eastAsiaTheme="minorEastAsia"/>
          <w:color w:val="auto"/>
          <w:sz w:val="28"/>
          <w:szCs w:val="28"/>
          <w:highlight w:val="none"/>
          <w:vertAlign w:val="superscript"/>
          <w:lang w:val="en-US" w:eastAsia="zh-CN"/>
        </w:rPr>
        <w:t>3</w:t>
      </w:r>
      <w:r>
        <w:rPr>
          <w:rFonts w:hint="default" w:ascii="Times New Roman" w:hAnsi="Times New Roman" w:cs="Times New Roman" w:eastAsiaTheme="minorEastAsia"/>
          <w:color w:val="auto"/>
          <w:sz w:val="28"/>
          <w:szCs w:val="28"/>
          <w:highlight w:val="none"/>
          <w:lang w:eastAsia="zh-CN"/>
        </w:rPr>
        <w:t>，</w:t>
      </w:r>
      <w:r>
        <w:rPr>
          <w:rFonts w:hint="default" w:ascii="Times New Roman" w:hAnsi="Times New Roman" w:cs="Times New Roman" w:eastAsiaTheme="minorEastAsia"/>
          <w:color w:val="auto"/>
          <w:kern w:val="2"/>
          <w:sz w:val="28"/>
          <w:szCs w:val="28"/>
          <w:highlight w:val="none"/>
          <w:lang w:val="en-US" w:eastAsia="zh-CN" w:bidi="ar-SA"/>
        </w:rPr>
        <w:t>可采资源量为298394m</w:t>
      </w:r>
      <w:r>
        <w:rPr>
          <w:rFonts w:hint="default" w:ascii="Times New Roman" w:hAnsi="Times New Roman" w:cs="Times New Roman" w:eastAsiaTheme="minorEastAsia"/>
          <w:color w:val="auto"/>
          <w:kern w:val="2"/>
          <w:sz w:val="28"/>
          <w:szCs w:val="28"/>
          <w:highlight w:val="none"/>
          <w:vertAlign w:val="superscript"/>
          <w:lang w:val="en-US" w:eastAsia="zh-CN" w:bidi="ar-SA"/>
        </w:rPr>
        <w:t>3</w:t>
      </w:r>
      <w:r>
        <w:rPr>
          <w:rFonts w:hint="default" w:ascii="Times New Roman" w:hAnsi="Times New Roman" w:cs="Times New Roman" w:eastAsiaTheme="minorEastAsia"/>
          <w:color w:val="auto"/>
          <w:kern w:val="2"/>
          <w:sz w:val="28"/>
          <w:szCs w:val="28"/>
          <w:highlight w:val="none"/>
          <w:lang w:val="en-US" w:eastAsia="zh-CN" w:bidi="ar-SA"/>
        </w:rPr>
        <w:t>（采矿损失率按5%计算，</w:t>
      </w:r>
      <w:r>
        <w:rPr>
          <w:rFonts w:hint="eastAsia" w:ascii="Times New Roman" w:hAnsi="Times New Roman" w:cs="Times New Roman" w:eastAsiaTheme="minorEastAsia"/>
          <w:color w:val="auto"/>
          <w:kern w:val="2"/>
          <w:sz w:val="28"/>
          <w:szCs w:val="28"/>
          <w:highlight w:val="none"/>
          <w:lang w:val="en-US" w:eastAsia="zh-CN" w:bidi="ar-SA"/>
        </w:rPr>
        <w:t>依据</w:t>
      </w:r>
      <w:r>
        <w:rPr>
          <w:rFonts w:hint="default" w:ascii="Times New Roman" w:hAnsi="Times New Roman" w:cs="Times New Roman" w:eastAsiaTheme="minorEastAsia"/>
          <w:color w:val="auto"/>
          <w:kern w:val="2"/>
          <w:sz w:val="28"/>
          <w:szCs w:val="28"/>
          <w:highlight w:val="none"/>
          <w:lang w:val="en-US" w:eastAsia="zh-CN" w:bidi="ar-SA"/>
        </w:rPr>
        <w:t>DZ/T 0462.14-2024《矿产资源 “三率” 指标要求 第 14 部分：饰面石材和建筑用石料矿产》规定的一般指标</w:t>
      </w:r>
      <w:r>
        <w:rPr>
          <w:rFonts w:hint="eastAsia" w:ascii="Times New Roman" w:hAnsi="Times New Roman" w:cs="Times New Roman" w:eastAsiaTheme="minorEastAsia"/>
          <w:color w:val="auto"/>
          <w:kern w:val="2"/>
          <w:sz w:val="28"/>
          <w:szCs w:val="28"/>
          <w:highlight w:val="none"/>
          <w:lang w:val="en-US" w:eastAsia="zh-CN" w:bidi="ar-SA"/>
        </w:rPr>
        <w:t>，</w:t>
      </w:r>
      <w:r>
        <w:rPr>
          <w:rFonts w:hint="default" w:ascii="Times New Roman" w:hAnsi="Times New Roman" w:cs="Times New Roman" w:eastAsiaTheme="minorEastAsia"/>
          <w:color w:val="auto"/>
          <w:kern w:val="2"/>
          <w:sz w:val="28"/>
          <w:szCs w:val="28"/>
          <w:highlight w:val="none"/>
          <w:lang w:val="en-US" w:eastAsia="zh-CN" w:bidi="ar-SA"/>
        </w:rPr>
        <w:t>损失量为15705m</w:t>
      </w:r>
      <w:r>
        <w:rPr>
          <w:rFonts w:hint="default" w:ascii="Times New Roman" w:hAnsi="Times New Roman" w:cs="Times New Roman" w:eastAsiaTheme="minorEastAsia"/>
          <w:color w:val="auto"/>
          <w:kern w:val="2"/>
          <w:sz w:val="28"/>
          <w:szCs w:val="28"/>
          <w:highlight w:val="none"/>
          <w:vertAlign w:val="superscript"/>
          <w:lang w:val="en-US" w:eastAsia="zh-CN" w:bidi="ar-SA"/>
        </w:rPr>
        <w:t>3</w:t>
      </w:r>
      <w:r>
        <w:rPr>
          <w:rFonts w:hint="default" w:ascii="Times New Roman" w:hAnsi="Times New Roman" w:cs="Times New Roman" w:eastAsiaTheme="minorEastAsia"/>
          <w:color w:val="auto"/>
          <w:kern w:val="2"/>
          <w:sz w:val="28"/>
          <w:szCs w:val="28"/>
          <w:highlight w:val="none"/>
          <w:lang w:val="en-US" w:eastAsia="zh-CN" w:bidi="ar-SA"/>
        </w:rPr>
        <w:t>）。</w:t>
      </w:r>
    </w:p>
    <w:p w14:paraId="56D0314F">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4"/>
        </w:rPr>
      </w:pPr>
      <w:r>
        <w:rPr>
          <w:rFonts w:hint="default" w:ascii="Times New Roman" w:hAnsi="Times New Roman" w:cs="Times New Roman" w:eastAsiaTheme="minorEastAsia"/>
          <w:color w:val="auto"/>
          <w:sz w:val="28"/>
          <w:szCs w:val="28"/>
          <w:highlight w:val="none"/>
          <w:lang w:val="en-US" w:eastAsia="zh-CN"/>
        </w:rPr>
        <w:t>2025年10月1日。呼玛县自然资源局组织有关评审专家对该报告进行了函审，</w:t>
      </w:r>
      <w:r>
        <w:rPr>
          <w:rFonts w:hint="default" w:ascii="Times New Roman" w:hAnsi="Times New Roman" w:cs="Times New Roman" w:eastAsiaTheme="minorEastAsia"/>
          <w:color w:val="auto"/>
          <w:sz w:val="28"/>
          <w:szCs w:val="28"/>
          <w:highlight w:val="none"/>
        </w:rPr>
        <w:t>黑龙江广森测绘科技股份有限公司</w:t>
      </w:r>
      <w:r>
        <w:rPr>
          <w:rFonts w:hint="default" w:ascii="Times New Roman" w:hAnsi="Times New Roman" w:cs="Times New Roman" w:eastAsiaTheme="minorEastAsia"/>
          <w:color w:val="auto"/>
          <w:sz w:val="28"/>
          <w:szCs w:val="24"/>
        </w:rPr>
        <w:t>专</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业</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技</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术</w:t>
      </w:r>
      <w:r>
        <w:rPr>
          <w:rFonts w:hint="default" w:ascii="Times New Roman" w:hAnsi="Times New Roman" w:cs="Times New Roman" w:eastAsiaTheme="minorEastAsia"/>
          <w:color w:val="auto"/>
          <w:spacing w:val="-105"/>
          <w:sz w:val="28"/>
          <w:szCs w:val="24"/>
        </w:rPr>
        <w:t xml:space="preserve"> </w:t>
      </w:r>
      <w:r>
        <w:rPr>
          <w:rFonts w:hint="default" w:ascii="Times New Roman" w:hAnsi="Times New Roman" w:cs="Times New Roman" w:eastAsiaTheme="minorEastAsia"/>
          <w:color w:val="auto"/>
          <w:sz w:val="28"/>
          <w:szCs w:val="24"/>
        </w:rPr>
        <w:t>人</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员</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根</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据</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专</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家</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意</w:t>
      </w:r>
      <w:r>
        <w:rPr>
          <w:rFonts w:hint="default" w:ascii="Times New Roman" w:hAnsi="Times New Roman" w:cs="Times New Roman" w:eastAsiaTheme="minorEastAsia"/>
          <w:color w:val="auto"/>
          <w:spacing w:val="-105"/>
          <w:sz w:val="28"/>
          <w:szCs w:val="24"/>
        </w:rPr>
        <w:t xml:space="preserve"> </w:t>
      </w:r>
      <w:r>
        <w:rPr>
          <w:rFonts w:hint="default" w:ascii="Times New Roman" w:hAnsi="Times New Roman" w:cs="Times New Roman" w:eastAsiaTheme="minorEastAsia"/>
          <w:color w:val="auto"/>
          <w:sz w:val="28"/>
          <w:szCs w:val="24"/>
        </w:rPr>
        <w:t>见</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对</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报</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告</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进</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行</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了</w:t>
      </w:r>
      <w:r>
        <w:rPr>
          <w:rFonts w:hint="default" w:ascii="Times New Roman" w:hAnsi="Times New Roman" w:cs="Times New Roman" w:eastAsiaTheme="minorEastAsia"/>
          <w:color w:val="auto"/>
          <w:spacing w:val="-105"/>
          <w:sz w:val="28"/>
          <w:szCs w:val="24"/>
        </w:rPr>
        <w:t xml:space="preserve"> </w:t>
      </w:r>
      <w:r>
        <w:rPr>
          <w:rFonts w:hint="default" w:ascii="Times New Roman" w:hAnsi="Times New Roman" w:cs="Times New Roman" w:eastAsiaTheme="minorEastAsia"/>
          <w:color w:val="auto"/>
          <w:sz w:val="28"/>
          <w:szCs w:val="24"/>
        </w:rPr>
        <w:t>修</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改</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w:t>
      </w:r>
      <w:r>
        <w:rPr>
          <w:rFonts w:hint="default" w:ascii="Times New Roman" w:hAnsi="Times New Roman" w:cs="Times New Roman" w:eastAsiaTheme="minorEastAsia"/>
          <w:color w:val="auto"/>
          <w:sz w:val="28"/>
          <w:szCs w:val="24"/>
          <w:lang w:val="en-US" w:eastAsia="zh-CN"/>
        </w:rPr>
        <w:t>于</w:t>
      </w:r>
      <w:r>
        <w:rPr>
          <w:rFonts w:hint="default" w:ascii="Times New Roman" w:hAnsi="Times New Roman" w:cs="Times New Roman" w:eastAsiaTheme="minorEastAsia"/>
          <w:color w:val="auto"/>
          <w:sz w:val="28"/>
          <w:szCs w:val="28"/>
          <w:highlight w:val="none"/>
          <w:lang w:val="en-US" w:eastAsia="zh-CN"/>
        </w:rPr>
        <w:t>2025年10月10日通过评审。</w:t>
      </w:r>
      <w:r>
        <w:rPr>
          <w:rFonts w:hint="default" w:ascii="Times New Roman" w:hAnsi="Times New Roman" w:cs="Times New Roman" w:eastAsiaTheme="minorEastAsia"/>
          <w:color w:val="auto"/>
          <w:spacing w:val="-23"/>
          <w:sz w:val="28"/>
          <w:szCs w:val="24"/>
        </w:rPr>
        <w:t xml:space="preserve"> </w:t>
      </w:r>
      <w:r>
        <w:rPr>
          <w:rFonts w:hint="default" w:ascii="Times New Roman" w:hAnsi="Times New Roman" w:cs="Times New Roman" w:eastAsiaTheme="minorEastAsia"/>
          <w:color w:val="auto"/>
          <w:spacing w:val="15"/>
          <w:sz w:val="28"/>
          <w:szCs w:val="24"/>
        </w:rPr>
        <w:t>2</w:t>
      </w:r>
      <w:r>
        <w:rPr>
          <w:rFonts w:hint="default" w:ascii="Times New Roman" w:hAnsi="Times New Roman" w:cs="Times New Roman" w:eastAsiaTheme="minorEastAsia"/>
          <w:color w:val="auto"/>
          <w:spacing w:val="17"/>
          <w:sz w:val="28"/>
          <w:szCs w:val="24"/>
        </w:rPr>
        <w:t>0</w:t>
      </w:r>
      <w:r>
        <w:rPr>
          <w:rFonts w:hint="default" w:ascii="Times New Roman" w:hAnsi="Times New Roman" w:cs="Times New Roman" w:eastAsiaTheme="minorEastAsia"/>
          <w:color w:val="auto"/>
          <w:sz w:val="28"/>
          <w:szCs w:val="24"/>
        </w:rPr>
        <w:t>2</w:t>
      </w:r>
      <w:r>
        <w:rPr>
          <w:rFonts w:hint="default" w:ascii="Times New Roman" w:hAnsi="Times New Roman" w:cs="Times New Roman" w:eastAsiaTheme="minorEastAsia"/>
          <w:color w:val="auto"/>
          <w:spacing w:val="-45"/>
          <w:sz w:val="28"/>
          <w:szCs w:val="24"/>
        </w:rPr>
        <w:t xml:space="preserve"> </w:t>
      </w:r>
      <w:r>
        <w:rPr>
          <w:rFonts w:hint="default" w:ascii="Times New Roman" w:hAnsi="Times New Roman" w:cs="Times New Roman" w:eastAsiaTheme="minorEastAsia"/>
          <w:color w:val="auto"/>
          <w:sz w:val="28"/>
          <w:szCs w:val="24"/>
          <w:lang w:val="en-US" w:eastAsia="zh-CN"/>
        </w:rPr>
        <w:t>5</w:t>
      </w:r>
      <w:r>
        <w:rPr>
          <w:rFonts w:hint="default" w:ascii="Times New Roman" w:hAnsi="Times New Roman" w:cs="Times New Roman" w:eastAsiaTheme="minorEastAsia"/>
          <w:color w:val="auto"/>
          <w:sz w:val="28"/>
          <w:szCs w:val="24"/>
        </w:rPr>
        <w:t>年</w:t>
      </w:r>
      <w:r>
        <w:rPr>
          <w:rFonts w:hint="default" w:ascii="Times New Roman" w:hAnsi="Times New Roman" w:cs="Times New Roman" w:eastAsiaTheme="minorEastAsia"/>
          <w:color w:val="auto"/>
          <w:spacing w:val="-23"/>
          <w:sz w:val="28"/>
          <w:szCs w:val="24"/>
          <w:lang w:val="en-US" w:eastAsia="zh-CN"/>
        </w:rPr>
        <w:t>10</w:t>
      </w:r>
      <w:r>
        <w:rPr>
          <w:rFonts w:hint="default" w:ascii="Times New Roman" w:hAnsi="Times New Roman" w:cs="Times New Roman" w:eastAsiaTheme="minorEastAsia"/>
          <w:color w:val="auto"/>
          <w:sz w:val="28"/>
          <w:szCs w:val="24"/>
        </w:rPr>
        <w:t>月</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向</w:t>
      </w:r>
      <w:r>
        <w:rPr>
          <w:rFonts w:hint="default" w:ascii="Times New Roman" w:hAnsi="Times New Roman" w:cs="Times New Roman" w:eastAsiaTheme="minorEastAsia"/>
          <w:color w:val="auto"/>
          <w:spacing w:val="-105"/>
          <w:sz w:val="28"/>
          <w:szCs w:val="24"/>
        </w:rPr>
        <w:t xml:space="preserve"> </w:t>
      </w:r>
      <w:r>
        <w:rPr>
          <w:rFonts w:hint="default" w:ascii="Times New Roman" w:hAnsi="Times New Roman" w:cs="Times New Roman" w:eastAsiaTheme="minorEastAsia"/>
          <w:color w:val="auto"/>
          <w:sz w:val="28"/>
          <w:szCs w:val="24"/>
          <w:lang w:val="en-US" w:eastAsia="zh-CN"/>
        </w:rPr>
        <w:t>呼玛县</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自</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然</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资</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源</w:t>
      </w:r>
      <w:r>
        <w:rPr>
          <w:rFonts w:hint="default" w:ascii="Times New Roman" w:hAnsi="Times New Roman" w:cs="Times New Roman" w:eastAsiaTheme="minorEastAsia"/>
          <w:color w:val="auto"/>
          <w:spacing w:val="-105"/>
          <w:sz w:val="28"/>
          <w:szCs w:val="24"/>
        </w:rPr>
        <w:t xml:space="preserve"> </w:t>
      </w:r>
      <w:r>
        <w:rPr>
          <w:rFonts w:hint="default" w:ascii="Times New Roman" w:hAnsi="Times New Roman" w:cs="Times New Roman" w:eastAsiaTheme="minorEastAsia"/>
          <w:color w:val="auto"/>
          <w:sz w:val="28"/>
          <w:szCs w:val="24"/>
        </w:rPr>
        <w:t>局</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提</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交</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了</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该</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矿</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山《</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关</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于</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申</w:t>
      </w:r>
      <w:r>
        <w:rPr>
          <w:rFonts w:hint="default" w:ascii="Times New Roman" w:hAnsi="Times New Roman" w:cs="Times New Roman" w:eastAsiaTheme="minorEastAsia"/>
          <w:color w:val="auto"/>
          <w:spacing w:val="-105"/>
          <w:sz w:val="28"/>
          <w:szCs w:val="24"/>
        </w:rPr>
        <w:t xml:space="preserve"> </w:t>
      </w:r>
      <w:r>
        <w:rPr>
          <w:rFonts w:hint="default" w:ascii="Times New Roman" w:hAnsi="Times New Roman" w:cs="Times New Roman" w:eastAsiaTheme="minorEastAsia"/>
          <w:color w:val="auto"/>
          <w:sz w:val="28"/>
          <w:szCs w:val="24"/>
        </w:rPr>
        <w:t>请</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矿</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产</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资</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源</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储</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量</w:t>
      </w:r>
      <w:r>
        <w:rPr>
          <w:rFonts w:hint="default" w:ascii="Times New Roman" w:hAnsi="Times New Roman" w:cs="Times New Roman" w:eastAsiaTheme="minorEastAsia"/>
          <w:color w:val="auto"/>
          <w:spacing w:val="-105"/>
          <w:sz w:val="28"/>
          <w:szCs w:val="24"/>
        </w:rPr>
        <w:t xml:space="preserve"> </w:t>
      </w:r>
      <w:r>
        <w:rPr>
          <w:rFonts w:hint="default" w:ascii="Times New Roman" w:hAnsi="Times New Roman" w:cs="Times New Roman" w:eastAsiaTheme="minorEastAsia"/>
          <w:color w:val="auto"/>
          <w:sz w:val="28"/>
          <w:szCs w:val="24"/>
        </w:rPr>
        <w:t>评</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审</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备</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案</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的</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函</w:t>
      </w:r>
      <w:r>
        <w:rPr>
          <w:rFonts w:hint="default" w:ascii="Times New Roman" w:hAnsi="Times New Roman" w:cs="Times New Roman" w:eastAsiaTheme="minorEastAsia"/>
          <w:color w:val="auto"/>
          <w:spacing w:val="-105"/>
          <w:sz w:val="28"/>
          <w:szCs w:val="24"/>
        </w:rPr>
        <w:t xml:space="preserve"> </w:t>
      </w:r>
      <w:r>
        <w:rPr>
          <w:rFonts w:hint="default" w:ascii="Times New Roman" w:hAnsi="Times New Roman" w:cs="Times New Roman" w:eastAsiaTheme="minorEastAsia"/>
          <w:color w:val="auto"/>
          <w:sz w:val="28"/>
          <w:szCs w:val="24"/>
        </w:rPr>
        <w:t>》</w:t>
      </w:r>
      <w:r>
        <w:rPr>
          <w:rFonts w:hint="default" w:ascii="Times New Roman" w:hAnsi="Times New Roman" w:cs="Times New Roman" w:eastAsiaTheme="minorEastAsia"/>
          <w:color w:val="auto"/>
          <w:spacing w:val="-105"/>
          <w:sz w:val="28"/>
          <w:szCs w:val="24"/>
        </w:rPr>
        <w:t xml:space="preserve"> </w:t>
      </w:r>
      <w:r>
        <w:rPr>
          <w:rFonts w:hint="default" w:ascii="Times New Roman" w:hAnsi="Times New Roman" w:cs="Times New Roman" w:eastAsiaTheme="minorEastAsia"/>
          <w:color w:val="auto"/>
          <w:sz w:val="28"/>
          <w:szCs w:val="24"/>
        </w:rPr>
        <w:t>，</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lang w:val="en-US" w:eastAsia="zh-CN"/>
        </w:rPr>
        <w:t>呼玛县</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自</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然</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资</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源</w:t>
      </w:r>
      <w:r>
        <w:rPr>
          <w:rFonts w:hint="default" w:ascii="Times New Roman" w:hAnsi="Times New Roman" w:cs="Times New Roman" w:eastAsiaTheme="minorEastAsia"/>
          <w:color w:val="auto"/>
          <w:spacing w:val="-105"/>
          <w:sz w:val="28"/>
          <w:szCs w:val="24"/>
        </w:rPr>
        <w:t xml:space="preserve"> </w:t>
      </w:r>
      <w:r>
        <w:rPr>
          <w:rFonts w:hint="default" w:ascii="Times New Roman" w:hAnsi="Times New Roman" w:cs="Times New Roman" w:eastAsiaTheme="minorEastAsia"/>
          <w:color w:val="auto"/>
          <w:sz w:val="28"/>
          <w:szCs w:val="24"/>
        </w:rPr>
        <w:t>局予以</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备</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案</w:t>
      </w:r>
      <w:r>
        <w:rPr>
          <w:rFonts w:hint="default" w:ascii="Times New Roman" w:hAnsi="Times New Roman" w:cs="Times New Roman" w:eastAsiaTheme="minorEastAsia"/>
          <w:color w:val="auto"/>
          <w:spacing w:val="-102"/>
          <w:sz w:val="28"/>
          <w:szCs w:val="24"/>
        </w:rPr>
        <w:t xml:space="preserve"> </w:t>
      </w:r>
      <w:r>
        <w:rPr>
          <w:rFonts w:hint="default" w:ascii="Times New Roman" w:hAnsi="Times New Roman" w:cs="Times New Roman" w:eastAsiaTheme="minorEastAsia"/>
          <w:color w:val="auto"/>
          <w:sz w:val="28"/>
          <w:szCs w:val="24"/>
        </w:rPr>
        <w:t>。</w:t>
      </w:r>
    </w:p>
    <w:p w14:paraId="154D327D">
      <w:pPr>
        <w:pStyle w:val="2"/>
        <w:pageBreakBefore w:val="0"/>
        <w:kinsoku/>
        <w:wordWrap/>
        <w:overflowPunct/>
        <w:topLinePunct w:val="0"/>
        <w:bidi w:val="0"/>
        <w:spacing w:beforeLines="50" w:afterLines="50" w:line="360" w:lineRule="auto"/>
        <w:jc w:val="center"/>
        <w:rPr>
          <w:rFonts w:hint="default" w:ascii="黑体" w:hAnsi="黑体" w:eastAsia="黑体" w:cs="黑体"/>
          <w:b w:val="0"/>
          <w:color w:val="auto"/>
          <w:sz w:val="32"/>
          <w:szCs w:val="32"/>
          <w:highlight w:val="none"/>
          <w:lang w:val="en-US" w:eastAsia="zh-CN"/>
        </w:rPr>
      </w:pPr>
      <w:bookmarkStart w:id="45" w:name="_Toc7364"/>
      <w:r>
        <w:rPr>
          <w:rFonts w:hint="default" w:ascii="黑体" w:hAnsi="黑体" w:eastAsia="黑体" w:cs="黑体"/>
          <w:b w:val="0"/>
          <w:color w:val="auto"/>
          <w:sz w:val="32"/>
          <w:szCs w:val="32"/>
          <w:highlight w:val="none"/>
          <w:lang w:val="en-US" w:eastAsia="zh-CN"/>
        </w:rPr>
        <w:t>第三章 开采区域</w:t>
      </w:r>
      <w:bookmarkEnd w:id="45"/>
    </w:p>
    <w:p w14:paraId="0175AD6F">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46" w:name="_Toc11799"/>
      <w:bookmarkStart w:id="47" w:name="_Toc25641"/>
      <w:bookmarkStart w:id="48" w:name="_Toc167307743"/>
      <w:bookmarkStart w:id="49" w:name="_Toc23250"/>
      <w:bookmarkStart w:id="50" w:name="_Toc10340"/>
      <w:r>
        <w:rPr>
          <w:rFonts w:hint="default" w:ascii="Times New Roman" w:hAnsi="Times New Roman" w:cs="Times New Roman" w:eastAsiaTheme="minorEastAsia"/>
          <w:color w:val="auto"/>
          <w:sz w:val="30"/>
          <w:szCs w:val="30"/>
          <w:highlight w:val="none"/>
          <w:lang w:val="en-US" w:eastAsia="zh-CN"/>
        </w:rPr>
        <w:t>一、符合矿产资源规划情况</w:t>
      </w:r>
      <w:bookmarkEnd w:id="46"/>
      <w:bookmarkEnd w:id="47"/>
      <w:bookmarkEnd w:id="48"/>
      <w:bookmarkEnd w:id="49"/>
      <w:bookmarkEnd w:id="50"/>
    </w:p>
    <w:p w14:paraId="4D484E4E">
      <w:pPr>
        <w:pageBreakBefore w:val="0"/>
        <w:kinsoku/>
        <w:wordWrap/>
        <w:overflowPunct/>
        <w:topLinePunct w:val="0"/>
        <w:bidi w:val="0"/>
        <w:spacing w:line="360" w:lineRule="auto"/>
        <w:ind w:firstLine="560" w:firstLineChars="200"/>
        <w:jc w:val="left"/>
        <w:rPr>
          <w:rFonts w:hint="eastAsia" w:ascii="宋体" w:hAnsi="宋体" w:eastAsia="宋体" w:cs="Times New Roman"/>
          <w:color w:val="auto"/>
          <w:sz w:val="28"/>
          <w:szCs w:val="28"/>
          <w:lang w:val="en-US" w:eastAsia="zh-CN"/>
        </w:rPr>
      </w:pPr>
      <w:r>
        <w:rPr>
          <w:rFonts w:hint="default" w:ascii="宋体" w:hAnsi="宋体" w:eastAsia="宋体" w:cs="Times New Roman"/>
          <w:color w:val="auto"/>
          <w:sz w:val="28"/>
          <w:szCs w:val="28"/>
        </w:rPr>
        <w:t>依据呼玛县自然资源局出具的《关于大兴安岭地区呼玛县 JH 项目鸥浦乡配套采石场建筑用凝灰岩矿纳入新一轮矿产资源规划的函》相关内容，按照《中华人民共和国矿产资源法》《矿产资源规划编制实施办法》以及自然资源部 “十五五” 矿产资源规划编制相关工作规定，呼玛县 “十五五” 矿产资源规划正依法履行编制、报批法定程序。 经项目合规审查、多部门联合审核核实，大兴安岭地区呼玛县 JH 项目鸥浦乡配套采石场建筑用凝灰岩矿已明确纳入本县 “十五五” 矿产资源规划编制范围，项目选址符合区域矿产资源总体规划管控要求。</w:t>
      </w:r>
    </w:p>
    <w:p w14:paraId="7FF33DB1">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51" w:name="_Toc24016"/>
      <w:bookmarkStart w:id="52" w:name="_Toc31304"/>
      <w:bookmarkStart w:id="53" w:name="_Toc167307744"/>
      <w:bookmarkStart w:id="54" w:name="_Toc31526"/>
      <w:bookmarkStart w:id="55" w:name="_Toc27553"/>
      <w:r>
        <w:rPr>
          <w:rFonts w:hint="default" w:ascii="Times New Roman" w:hAnsi="Times New Roman" w:cs="Times New Roman" w:eastAsiaTheme="minorEastAsia"/>
          <w:color w:val="auto"/>
          <w:sz w:val="30"/>
          <w:szCs w:val="30"/>
          <w:highlight w:val="none"/>
          <w:lang w:val="en-US" w:eastAsia="zh-CN"/>
        </w:rPr>
        <w:t>二、可供开采矿产资源的范围</w:t>
      </w:r>
      <w:bookmarkEnd w:id="51"/>
      <w:bookmarkEnd w:id="52"/>
      <w:bookmarkEnd w:id="53"/>
      <w:bookmarkEnd w:id="54"/>
      <w:bookmarkEnd w:id="55"/>
    </w:p>
    <w:p w14:paraId="1360C3CF">
      <w:pPr>
        <w:pageBreakBefore w:val="0"/>
        <w:kinsoku/>
        <w:wordWrap/>
        <w:overflowPunct/>
        <w:topLinePunct w:val="0"/>
        <w:bidi w:val="0"/>
        <w:spacing w:line="360" w:lineRule="auto"/>
        <w:ind w:firstLine="560" w:firstLineChars="200"/>
        <w:jc w:val="left"/>
        <w:rPr>
          <w:rFonts w:hint="default" w:ascii="宋体" w:hAnsi="宋体" w:eastAsia="宋体" w:cs="Times New Roman"/>
          <w:color w:val="auto"/>
          <w:sz w:val="28"/>
          <w:szCs w:val="28"/>
        </w:rPr>
      </w:pPr>
      <w:r>
        <w:rPr>
          <w:rFonts w:hint="default" w:ascii="宋体" w:hAnsi="宋体" w:eastAsia="宋体" w:cs="Times New Roman"/>
          <w:color w:val="auto"/>
          <w:sz w:val="28"/>
          <w:szCs w:val="28"/>
        </w:rPr>
        <w:t>根据《大兴安岭地区呼玛县JH项目鸥浦乡配套采石场建筑用凝灰岩矿</w:t>
      </w:r>
      <w:r>
        <w:rPr>
          <w:rFonts w:hint="default" w:ascii="宋体" w:hAnsi="宋体" w:eastAsia="宋体" w:cs="Times New Roman"/>
          <w:color w:val="auto"/>
          <w:sz w:val="28"/>
          <w:szCs w:val="28"/>
          <w:lang w:val="en-US" w:eastAsia="zh-CN"/>
        </w:rPr>
        <w:t>矿产</w:t>
      </w:r>
      <w:r>
        <w:rPr>
          <w:rFonts w:hint="default" w:ascii="宋体" w:hAnsi="宋体" w:eastAsia="宋体" w:cs="Times New Roman"/>
          <w:color w:val="auto"/>
          <w:sz w:val="28"/>
          <w:szCs w:val="28"/>
        </w:rPr>
        <w:t>资源储量核实报告》</w:t>
      </w:r>
      <w:r>
        <w:rPr>
          <w:rFonts w:hint="default" w:ascii="宋体" w:hAnsi="宋体" w:eastAsia="宋体" w:cs="Times New Roman"/>
          <w:color w:val="auto"/>
          <w:sz w:val="28"/>
          <w:szCs w:val="28"/>
          <w:lang w:eastAsia="zh-CN"/>
        </w:rPr>
        <w:t>，</w:t>
      </w:r>
      <w:r>
        <w:rPr>
          <w:rFonts w:hint="default" w:ascii="宋体" w:hAnsi="宋体" w:eastAsia="宋体" w:cs="Times New Roman"/>
          <w:color w:val="auto"/>
          <w:sz w:val="28"/>
          <w:szCs w:val="28"/>
        </w:rPr>
        <w:t>矿产资源储量估算范围拐点坐标（国家2000坐标系）见下表：</w:t>
      </w:r>
    </w:p>
    <w:p w14:paraId="13D95B5F">
      <w:pPr>
        <w:pageBreakBefore w:val="0"/>
        <w:kinsoku/>
        <w:wordWrap/>
        <w:overflowPunct/>
        <w:topLinePunct w:val="0"/>
        <w:bidi w:val="0"/>
        <w:spacing w:line="360" w:lineRule="auto"/>
        <w:ind w:firstLine="560" w:firstLineChars="200"/>
        <w:jc w:val="left"/>
        <w:rPr>
          <w:rFonts w:hint="default" w:ascii="宋体" w:hAnsi="宋体" w:eastAsia="宋体" w:cs="Times New Roman"/>
          <w:color w:val="auto"/>
          <w:sz w:val="28"/>
          <w:szCs w:val="28"/>
        </w:rPr>
      </w:pPr>
    </w:p>
    <w:p w14:paraId="3A9BAF86">
      <w:pPr>
        <w:pageBreakBefore w:val="0"/>
        <w:kinsoku/>
        <w:wordWrap/>
        <w:overflowPunct/>
        <w:topLinePunct w:val="0"/>
        <w:bidi w:val="0"/>
        <w:spacing w:line="360" w:lineRule="auto"/>
        <w:ind w:firstLine="560" w:firstLineChars="200"/>
        <w:jc w:val="left"/>
        <w:rPr>
          <w:rFonts w:hint="default" w:ascii="宋体" w:hAnsi="宋体" w:eastAsia="宋体" w:cs="Times New Roman"/>
          <w:color w:val="auto"/>
          <w:sz w:val="28"/>
          <w:szCs w:val="28"/>
        </w:rPr>
      </w:pPr>
    </w:p>
    <w:p w14:paraId="386E9AC2">
      <w:pPr>
        <w:pageBreakBefore w:val="0"/>
        <w:kinsoku/>
        <w:wordWrap/>
        <w:overflowPunct/>
        <w:topLinePunct w:val="0"/>
        <w:bidi w:val="0"/>
        <w:spacing w:line="360" w:lineRule="auto"/>
        <w:ind w:firstLine="560" w:firstLineChars="200"/>
        <w:jc w:val="left"/>
        <w:rPr>
          <w:rFonts w:hint="default" w:ascii="宋体" w:hAnsi="宋体" w:eastAsia="宋体" w:cs="Times New Roman"/>
          <w:color w:val="auto"/>
          <w:sz w:val="28"/>
          <w:szCs w:val="28"/>
        </w:rPr>
      </w:pPr>
    </w:p>
    <w:p w14:paraId="251DBC3F">
      <w:pPr>
        <w:pageBreakBefore w:val="0"/>
        <w:tabs>
          <w:tab w:val="left" w:pos="750"/>
        </w:tabs>
        <w:kinsoku/>
        <w:wordWrap/>
        <w:overflowPunct/>
        <w:topLinePunct w:val="0"/>
        <w:bidi w:val="0"/>
        <w:spacing w:line="360" w:lineRule="auto"/>
        <w:jc w:val="center"/>
        <w:rPr>
          <w:rFonts w:hint="default" w:ascii="Times New Roman" w:hAnsi="Times New Roman" w:cs="Times New Roman" w:eastAsiaTheme="minorEastAsia"/>
          <w:color w:val="auto"/>
          <w:sz w:val="28"/>
          <w:szCs w:val="28"/>
          <w:highlight w:val="none"/>
        </w:rPr>
      </w:pPr>
      <w:r>
        <w:rPr>
          <w:rStyle w:val="33"/>
          <w:rFonts w:hint="default" w:ascii="Times New Roman" w:hAnsi="Times New Roman" w:cs="Times New Roman" w:eastAsiaTheme="minorEastAsia"/>
          <w:b/>
          <w:bCs/>
          <w:color w:val="auto"/>
          <w:sz w:val="24"/>
          <w:szCs w:val="24"/>
        </w:rPr>
        <w:t>表 3-1</w:t>
      </w:r>
      <w:r>
        <w:rPr>
          <w:rStyle w:val="33"/>
          <w:rFonts w:hint="eastAsia" w:ascii="Times New Roman" w:hAnsi="Times New Roman" w:cs="Times New Roman"/>
          <w:b/>
          <w:bCs/>
          <w:color w:val="auto"/>
          <w:sz w:val="24"/>
          <w:szCs w:val="24"/>
          <w:lang w:val="en-US" w:eastAsia="zh-CN"/>
        </w:rPr>
        <w:t xml:space="preserve">   </w:t>
      </w:r>
      <w:r>
        <w:rPr>
          <w:rStyle w:val="33"/>
          <w:rFonts w:hint="default" w:ascii="Times New Roman" w:hAnsi="Times New Roman" w:cs="Times New Roman" w:eastAsiaTheme="minorEastAsia"/>
          <w:b/>
          <w:bCs/>
          <w:color w:val="auto"/>
          <w:sz w:val="24"/>
          <w:szCs w:val="24"/>
        </w:rPr>
        <w:t>矿区范围拐点坐标表</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7"/>
        <w:gridCol w:w="3493"/>
        <w:gridCol w:w="3799"/>
      </w:tblGrid>
      <w:tr w14:paraId="4454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2" w:hRule="exact"/>
        </w:trPr>
        <w:tc>
          <w:tcPr>
            <w:tcW w:w="720" w:type="pct"/>
            <w:vMerge w:val="restart"/>
            <w:noWrap w:val="0"/>
            <w:vAlign w:val="center"/>
          </w:tcPr>
          <w:p w14:paraId="32D6515D">
            <w:pPr>
              <w:pageBreakBefore w:val="0"/>
              <w:kinsoku/>
              <w:wordWrap/>
              <w:overflowPunct/>
              <w:topLinePunct w:val="0"/>
              <w:bidi w:val="0"/>
              <w:jc w:val="center"/>
              <w:rPr>
                <w:rFonts w:hint="default" w:ascii="Times New Roman" w:hAnsi="Times New Roman" w:cs="Times New Roman" w:eastAsiaTheme="minorEastAsia"/>
                <w:b/>
                <w:color w:val="auto"/>
                <w:sz w:val="24"/>
                <w:highlight w:val="none"/>
              </w:rPr>
            </w:pPr>
            <w:r>
              <w:rPr>
                <w:rFonts w:hint="default" w:ascii="Times New Roman" w:hAnsi="Times New Roman" w:cs="Times New Roman" w:eastAsiaTheme="minorEastAsia"/>
                <w:b/>
                <w:color w:val="auto"/>
                <w:sz w:val="24"/>
                <w:highlight w:val="none"/>
              </w:rPr>
              <w:t>拐点编号</w:t>
            </w:r>
          </w:p>
        </w:tc>
        <w:tc>
          <w:tcPr>
            <w:tcW w:w="4279" w:type="pct"/>
            <w:gridSpan w:val="2"/>
            <w:noWrap w:val="0"/>
            <w:vAlign w:val="center"/>
          </w:tcPr>
          <w:p w14:paraId="3FA7CD34">
            <w:pPr>
              <w:pageBreakBefore w:val="0"/>
              <w:kinsoku/>
              <w:wordWrap/>
              <w:overflowPunct/>
              <w:topLinePunct w:val="0"/>
              <w:bidi w:val="0"/>
              <w:jc w:val="center"/>
              <w:rPr>
                <w:rFonts w:hint="default" w:ascii="Times New Roman" w:hAnsi="Times New Roman" w:cs="Times New Roman" w:eastAsiaTheme="minorEastAsia"/>
                <w:b/>
                <w:color w:val="auto"/>
                <w:sz w:val="24"/>
                <w:highlight w:val="none"/>
              </w:rPr>
            </w:pPr>
            <w:r>
              <w:rPr>
                <w:rFonts w:hint="default" w:ascii="Times New Roman" w:hAnsi="Times New Roman" w:cs="Times New Roman" w:eastAsiaTheme="minorEastAsia"/>
                <w:b/>
                <w:color w:val="auto"/>
                <w:sz w:val="24"/>
                <w:highlight w:val="none"/>
              </w:rPr>
              <w:t>拐点坐标（2000国家大地坐标系）</w:t>
            </w:r>
          </w:p>
        </w:tc>
      </w:tr>
      <w:tr w14:paraId="0014A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exact"/>
        </w:trPr>
        <w:tc>
          <w:tcPr>
            <w:tcW w:w="720" w:type="pct"/>
            <w:vMerge w:val="continue"/>
            <w:noWrap w:val="0"/>
            <w:vAlign w:val="center"/>
          </w:tcPr>
          <w:p w14:paraId="57DB9BC4">
            <w:pPr>
              <w:pageBreakBefore w:val="0"/>
              <w:kinsoku/>
              <w:wordWrap/>
              <w:overflowPunct/>
              <w:topLinePunct w:val="0"/>
              <w:bidi w:val="0"/>
              <w:jc w:val="center"/>
              <w:rPr>
                <w:rFonts w:hint="default" w:ascii="Times New Roman" w:hAnsi="Times New Roman" w:cs="Times New Roman" w:eastAsiaTheme="minorEastAsia"/>
                <w:b/>
                <w:color w:val="auto"/>
                <w:sz w:val="24"/>
                <w:highlight w:val="none"/>
              </w:rPr>
            </w:pPr>
          </w:p>
        </w:tc>
        <w:tc>
          <w:tcPr>
            <w:tcW w:w="2050" w:type="pct"/>
            <w:noWrap w:val="0"/>
            <w:vAlign w:val="center"/>
          </w:tcPr>
          <w:p w14:paraId="4B2F3C00">
            <w:pPr>
              <w:pageBreakBefore w:val="0"/>
              <w:kinsoku/>
              <w:wordWrap/>
              <w:overflowPunct/>
              <w:topLinePunct w:val="0"/>
              <w:bidi w:val="0"/>
              <w:ind w:firstLine="200"/>
              <w:jc w:val="center"/>
              <w:rPr>
                <w:rFonts w:hint="default" w:ascii="Times New Roman" w:hAnsi="Times New Roman" w:cs="Times New Roman" w:eastAsiaTheme="minorEastAsia"/>
                <w:b/>
                <w:color w:val="auto"/>
                <w:spacing w:val="8"/>
                <w:sz w:val="24"/>
                <w:highlight w:val="none"/>
              </w:rPr>
            </w:pPr>
            <w:r>
              <w:rPr>
                <w:rFonts w:hint="default" w:ascii="Times New Roman" w:hAnsi="Times New Roman" w:cs="Times New Roman" w:eastAsiaTheme="minorEastAsia"/>
                <w:b/>
                <w:color w:val="auto"/>
                <w:sz w:val="24"/>
                <w:highlight w:val="none"/>
              </w:rPr>
              <w:t>X</w:t>
            </w:r>
          </w:p>
        </w:tc>
        <w:tc>
          <w:tcPr>
            <w:tcW w:w="2229" w:type="pct"/>
            <w:noWrap w:val="0"/>
            <w:vAlign w:val="center"/>
          </w:tcPr>
          <w:p w14:paraId="1858AFA8">
            <w:pPr>
              <w:pageBreakBefore w:val="0"/>
              <w:kinsoku/>
              <w:wordWrap/>
              <w:overflowPunct/>
              <w:topLinePunct w:val="0"/>
              <w:bidi w:val="0"/>
              <w:ind w:firstLine="200"/>
              <w:jc w:val="center"/>
              <w:rPr>
                <w:rFonts w:hint="default" w:ascii="Times New Roman" w:hAnsi="Times New Roman" w:cs="Times New Roman" w:eastAsiaTheme="minorEastAsia"/>
                <w:b/>
                <w:color w:val="auto"/>
                <w:spacing w:val="8"/>
                <w:sz w:val="24"/>
                <w:highlight w:val="none"/>
              </w:rPr>
            </w:pPr>
            <w:r>
              <w:rPr>
                <w:rFonts w:hint="default" w:ascii="Times New Roman" w:hAnsi="Times New Roman" w:cs="Times New Roman" w:eastAsiaTheme="minorEastAsia"/>
                <w:b/>
                <w:color w:val="auto"/>
                <w:sz w:val="24"/>
                <w:highlight w:val="none"/>
              </w:rPr>
              <w:t>Y</w:t>
            </w:r>
          </w:p>
        </w:tc>
      </w:tr>
      <w:tr w14:paraId="31A4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720" w:type="pct"/>
            <w:noWrap w:val="0"/>
            <w:vAlign w:val="center"/>
          </w:tcPr>
          <w:p w14:paraId="732AED56">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i w:val="0"/>
                <w:iCs w:val="0"/>
                <w:color w:val="auto"/>
                <w:kern w:val="0"/>
                <w:sz w:val="22"/>
                <w:szCs w:val="22"/>
                <w:u w:val="none"/>
                <w:lang w:val="en-US" w:eastAsia="zh-CN" w:bidi="ar"/>
              </w:rPr>
              <w:t>1</w:t>
            </w:r>
          </w:p>
        </w:tc>
        <w:tc>
          <w:tcPr>
            <w:tcW w:w="2050" w:type="pct"/>
            <w:noWrap w:val="0"/>
            <w:vAlign w:val="center"/>
          </w:tcPr>
          <w:p w14:paraId="356D3FAD">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2"/>
                <w:szCs w:val="22"/>
                <w:highlight w:val="none"/>
              </w:rPr>
            </w:pPr>
            <w:r>
              <w:rPr>
                <w:rFonts w:hint="default" w:ascii="Times New Roman" w:hAnsi="Times New Roman" w:cs="Times New Roman" w:eastAsiaTheme="minorEastAsia"/>
                <w:color w:val="auto"/>
                <w:sz w:val="24"/>
                <w:szCs w:val="24"/>
                <w:highlight w:val="none"/>
              </w:rPr>
              <w:t>5834566.995</w:t>
            </w:r>
          </w:p>
        </w:tc>
        <w:tc>
          <w:tcPr>
            <w:tcW w:w="2229" w:type="pct"/>
            <w:noWrap w:val="0"/>
            <w:vAlign w:val="center"/>
          </w:tcPr>
          <w:p w14:paraId="40796555">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2"/>
                <w:szCs w:val="22"/>
                <w:highlight w:val="none"/>
              </w:rPr>
            </w:pPr>
            <w:r>
              <w:rPr>
                <w:rFonts w:hint="default" w:ascii="Times New Roman" w:hAnsi="Times New Roman" w:cs="Times New Roman" w:eastAsiaTheme="minorEastAsia"/>
                <w:color w:val="auto"/>
                <w:sz w:val="24"/>
                <w:szCs w:val="24"/>
                <w:highlight w:val="none"/>
              </w:rPr>
              <w:t>42490275.491</w:t>
            </w:r>
          </w:p>
        </w:tc>
      </w:tr>
      <w:tr w14:paraId="70653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720" w:type="pct"/>
            <w:noWrap w:val="0"/>
            <w:vAlign w:val="center"/>
          </w:tcPr>
          <w:p w14:paraId="744716A5">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i w:val="0"/>
                <w:iCs w:val="0"/>
                <w:color w:val="auto"/>
                <w:kern w:val="0"/>
                <w:sz w:val="22"/>
                <w:szCs w:val="22"/>
                <w:u w:val="none"/>
                <w:lang w:val="en-US" w:eastAsia="zh-CN" w:bidi="ar"/>
              </w:rPr>
              <w:t>2</w:t>
            </w:r>
          </w:p>
        </w:tc>
        <w:tc>
          <w:tcPr>
            <w:tcW w:w="2050" w:type="pct"/>
            <w:noWrap w:val="0"/>
            <w:vAlign w:val="center"/>
          </w:tcPr>
          <w:p w14:paraId="61C54972">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2"/>
                <w:szCs w:val="22"/>
                <w:highlight w:val="none"/>
              </w:rPr>
            </w:pPr>
            <w:r>
              <w:rPr>
                <w:rFonts w:hint="default" w:ascii="Times New Roman" w:hAnsi="Times New Roman" w:cs="Times New Roman" w:eastAsiaTheme="minorEastAsia"/>
                <w:color w:val="auto"/>
                <w:sz w:val="24"/>
                <w:szCs w:val="24"/>
                <w:highlight w:val="none"/>
              </w:rPr>
              <w:t>5834738.697</w:t>
            </w:r>
          </w:p>
        </w:tc>
        <w:tc>
          <w:tcPr>
            <w:tcW w:w="2229" w:type="pct"/>
            <w:noWrap w:val="0"/>
            <w:vAlign w:val="center"/>
          </w:tcPr>
          <w:p w14:paraId="47CDD968">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2"/>
                <w:szCs w:val="22"/>
                <w:highlight w:val="none"/>
              </w:rPr>
            </w:pPr>
            <w:r>
              <w:rPr>
                <w:rFonts w:hint="default" w:ascii="Times New Roman" w:hAnsi="Times New Roman" w:cs="Times New Roman" w:eastAsiaTheme="minorEastAsia"/>
                <w:color w:val="auto"/>
                <w:sz w:val="24"/>
                <w:szCs w:val="24"/>
                <w:highlight w:val="none"/>
              </w:rPr>
              <w:t>42490197.455</w:t>
            </w:r>
          </w:p>
        </w:tc>
      </w:tr>
      <w:tr w14:paraId="46D2D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720" w:type="pct"/>
            <w:noWrap w:val="0"/>
            <w:vAlign w:val="center"/>
          </w:tcPr>
          <w:p w14:paraId="6AE830AB">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i w:val="0"/>
                <w:iCs w:val="0"/>
                <w:color w:val="auto"/>
                <w:kern w:val="0"/>
                <w:sz w:val="22"/>
                <w:szCs w:val="22"/>
                <w:u w:val="none"/>
                <w:lang w:val="en-US" w:eastAsia="zh-CN" w:bidi="ar"/>
              </w:rPr>
              <w:t>3</w:t>
            </w:r>
          </w:p>
        </w:tc>
        <w:tc>
          <w:tcPr>
            <w:tcW w:w="2050" w:type="pct"/>
            <w:noWrap w:val="0"/>
            <w:vAlign w:val="center"/>
          </w:tcPr>
          <w:p w14:paraId="1E7AF12F">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2"/>
                <w:szCs w:val="22"/>
                <w:highlight w:val="none"/>
              </w:rPr>
            </w:pPr>
            <w:r>
              <w:rPr>
                <w:rFonts w:hint="default" w:ascii="Times New Roman" w:hAnsi="Times New Roman" w:cs="Times New Roman" w:eastAsiaTheme="minorEastAsia"/>
                <w:color w:val="auto"/>
                <w:sz w:val="24"/>
                <w:szCs w:val="24"/>
                <w:highlight w:val="none"/>
              </w:rPr>
              <w:t>5834788.589</w:t>
            </w:r>
          </w:p>
        </w:tc>
        <w:tc>
          <w:tcPr>
            <w:tcW w:w="2229" w:type="pct"/>
            <w:noWrap w:val="0"/>
            <w:vAlign w:val="center"/>
          </w:tcPr>
          <w:p w14:paraId="1DB5BFDA">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2"/>
                <w:szCs w:val="22"/>
                <w:highlight w:val="none"/>
              </w:rPr>
            </w:pPr>
            <w:r>
              <w:rPr>
                <w:rFonts w:hint="default" w:ascii="Times New Roman" w:hAnsi="Times New Roman" w:cs="Times New Roman" w:eastAsiaTheme="minorEastAsia"/>
                <w:color w:val="auto"/>
                <w:sz w:val="24"/>
                <w:szCs w:val="24"/>
                <w:highlight w:val="none"/>
              </w:rPr>
              <w:t>42490310.583</w:t>
            </w:r>
          </w:p>
        </w:tc>
      </w:tr>
      <w:tr w14:paraId="0DE46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720" w:type="pct"/>
            <w:noWrap w:val="0"/>
            <w:vAlign w:val="center"/>
          </w:tcPr>
          <w:p w14:paraId="3C1CC9B6">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i w:val="0"/>
                <w:iCs w:val="0"/>
                <w:color w:val="auto"/>
                <w:kern w:val="0"/>
                <w:sz w:val="22"/>
                <w:szCs w:val="22"/>
                <w:u w:val="none"/>
                <w:lang w:val="en-US" w:eastAsia="zh-CN" w:bidi="ar"/>
              </w:rPr>
              <w:t>4</w:t>
            </w:r>
          </w:p>
        </w:tc>
        <w:tc>
          <w:tcPr>
            <w:tcW w:w="2050" w:type="pct"/>
            <w:noWrap w:val="0"/>
            <w:vAlign w:val="center"/>
          </w:tcPr>
          <w:p w14:paraId="386DADCC">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2"/>
                <w:szCs w:val="22"/>
                <w:highlight w:val="none"/>
              </w:rPr>
            </w:pPr>
            <w:r>
              <w:rPr>
                <w:rFonts w:hint="default" w:ascii="Times New Roman" w:hAnsi="Times New Roman" w:cs="Times New Roman" w:eastAsiaTheme="minorEastAsia"/>
                <w:color w:val="auto"/>
                <w:sz w:val="24"/>
                <w:szCs w:val="24"/>
                <w:highlight w:val="none"/>
              </w:rPr>
              <w:t>5834616.037</w:t>
            </w:r>
          </w:p>
        </w:tc>
        <w:tc>
          <w:tcPr>
            <w:tcW w:w="2229" w:type="pct"/>
            <w:noWrap w:val="0"/>
            <w:vAlign w:val="center"/>
          </w:tcPr>
          <w:p w14:paraId="55D30B15">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2"/>
                <w:szCs w:val="22"/>
                <w:highlight w:val="none"/>
              </w:rPr>
            </w:pPr>
            <w:r>
              <w:rPr>
                <w:rFonts w:hint="default" w:ascii="Times New Roman" w:hAnsi="Times New Roman" w:cs="Times New Roman" w:eastAsiaTheme="minorEastAsia"/>
                <w:color w:val="auto"/>
                <w:sz w:val="24"/>
                <w:szCs w:val="24"/>
                <w:highlight w:val="none"/>
              </w:rPr>
              <w:t>42490397.235</w:t>
            </w:r>
          </w:p>
        </w:tc>
      </w:tr>
      <w:tr w14:paraId="02151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5000" w:type="pct"/>
            <w:gridSpan w:val="3"/>
            <w:noWrap w:val="0"/>
            <w:vAlign w:val="center"/>
          </w:tcPr>
          <w:p w14:paraId="584902A3">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2"/>
                <w:szCs w:val="22"/>
                <w:highlight w:val="none"/>
              </w:rPr>
            </w:pPr>
            <w:r>
              <w:rPr>
                <w:rFonts w:hint="default" w:ascii="Times New Roman" w:hAnsi="Times New Roman" w:cs="Times New Roman" w:eastAsiaTheme="minorEastAsia"/>
                <w:color w:val="auto"/>
                <w:sz w:val="24"/>
                <w:szCs w:val="24"/>
                <w:highlight w:val="none"/>
              </w:rPr>
              <w:t>面积：24287.2</w:t>
            </w:r>
            <w:r>
              <w:rPr>
                <w:rFonts w:hint="default" w:ascii="Times New Roman" w:hAnsi="Times New Roman" w:cs="Times New Roman" w:eastAsiaTheme="minorEastAsia"/>
                <w:color w:val="auto"/>
                <w:sz w:val="24"/>
                <w:szCs w:val="24"/>
                <w:highlight w:val="none"/>
                <w:lang w:eastAsia="zh-CN"/>
              </w:rPr>
              <w:t>m²</w:t>
            </w:r>
            <w:r>
              <w:rPr>
                <w:rFonts w:hint="default" w:ascii="Times New Roman" w:hAnsi="Times New Roman" w:cs="Times New Roman" w:eastAsiaTheme="minorEastAsia"/>
                <w:color w:val="auto"/>
                <w:sz w:val="24"/>
                <w:szCs w:val="24"/>
                <w:highlight w:val="none"/>
              </w:rPr>
              <w:t>，开采标高：332.5m—297m。</w:t>
            </w:r>
          </w:p>
        </w:tc>
      </w:tr>
    </w:tbl>
    <w:p w14:paraId="5DAC1812">
      <w:pPr>
        <w:pageBreakBefore w:val="0"/>
        <w:kinsoku/>
        <w:wordWrap/>
        <w:overflowPunct/>
        <w:topLinePunct w:val="0"/>
        <w:bidi w:val="0"/>
        <w:spacing w:line="360" w:lineRule="auto"/>
        <w:ind w:firstLine="600" w:firstLineChars="200"/>
        <w:jc w:val="left"/>
        <w:rPr>
          <w:rFonts w:hint="default" w:ascii="Times New Roman" w:hAnsi="Times New Roman" w:cs="Times New Roman" w:eastAsiaTheme="minorEastAsia"/>
          <w:color w:val="auto"/>
          <w:sz w:val="30"/>
          <w:szCs w:val="30"/>
          <w:highlight w:val="none"/>
          <w:lang w:val="en-US" w:eastAsia="zh-CN"/>
        </w:rPr>
      </w:pPr>
    </w:p>
    <w:p w14:paraId="5971A364">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56" w:name="_Toc17587"/>
      <w:r>
        <w:rPr>
          <w:rFonts w:hint="default" w:ascii="Times New Roman" w:hAnsi="Times New Roman" w:cs="Times New Roman" w:eastAsiaTheme="minorEastAsia"/>
          <w:color w:val="auto"/>
          <w:sz w:val="30"/>
          <w:szCs w:val="30"/>
          <w:highlight w:val="none"/>
          <w:lang w:val="en-US" w:eastAsia="zh-CN"/>
        </w:rPr>
        <w:t>三、采矿用地情况</w:t>
      </w:r>
      <w:bookmarkEnd w:id="56"/>
    </w:p>
    <w:p w14:paraId="2B59AA2A">
      <w:pPr>
        <w:pageBreakBefore w:val="0"/>
        <w:kinsoku/>
        <w:wordWrap/>
        <w:overflowPunct/>
        <w:topLinePunct w:val="0"/>
        <w:bidi w:val="0"/>
        <w:spacing w:line="360" w:lineRule="auto"/>
        <w:ind w:firstLine="560" w:firstLineChars="200"/>
        <w:jc w:val="left"/>
        <w:rPr>
          <w:rFonts w:hint="default" w:ascii="宋体" w:hAnsi="宋体" w:eastAsia="宋体" w:cs="Times New Roman"/>
          <w:color w:val="auto"/>
          <w:sz w:val="28"/>
          <w:szCs w:val="28"/>
          <w:lang w:val="en-US" w:eastAsia="zh-CN"/>
        </w:rPr>
      </w:pPr>
      <w:r>
        <w:rPr>
          <w:rFonts w:hint="eastAsia" w:ascii="宋体" w:hAnsi="宋体" w:eastAsia="宋体" w:cs="Times New Roman"/>
          <w:sz w:val="28"/>
          <w:szCs w:val="28"/>
        </w:rPr>
        <w:t>大兴安岭地区呼玛县JH项目鸥浦乡配套采石场建筑用凝灰岩矿</w:t>
      </w:r>
      <w:r>
        <w:rPr>
          <w:rFonts w:ascii="宋体" w:hAnsi="宋体" w:eastAsia="宋体" w:cs="Times New Roman"/>
          <w:color w:val="000000"/>
          <w:sz w:val="28"/>
          <w:szCs w:val="28"/>
        </w:rPr>
        <w:t>矿区面</w:t>
      </w:r>
      <w:r>
        <w:rPr>
          <w:rFonts w:ascii="宋体" w:hAnsi="宋体" w:eastAsia="宋体" w:cs="Times New Roman"/>
          <w:sz w:val="28"/>
          <w:szCs w:val="28"/>
        </w:rPr>
        <w:t>积</w:t>
      </w:r>
      <w:r>
        <w:rPr>
          <w:rFonts w:hint="eastAsia" w:ascii="宋体" w:hAnsi="宋体" w:eastAsia="宋体" w:cs="Times New Roman"/>
          <w:sz w:val="28"/>
          <w:szCs w:val="28"/>
        </w:rPr>
        <w:t>24287.2</w:t>
      </w:r>
      <w:r>
        <w:rPr>
          <w:rFonts w:ascii="宋体" w:hAnsi="宋体" w:eastAsia="宋体" w:cs="Times New Roman"/>
          <w:sz w:val="28"/>
          <w:szCs w:val="28"/>
        </w:rPr>
        <w:t>m</w:t>
      </w:r>
      <w:r>
        <w:rPr>
          <w:rFonts w:ascii="宋体" w:hAnsi="宋体" w:eastAsia="宋体" w:cs="Times New Roman"/>
          <w:sz w:val="28"/>
          <w:szCs w:val="28"/>
          <w:vertAlign w:val="superscript"/>
        </w:rPr>
        <w:t>2</w:t>
      </w:r>
      <w:r>
        <w:rPr>
          <w:rFonts w:hint="eastAsia" w:ascii="宋体" w:hAnsi="宋体" w:eastAsia="宋体" w:cs="Times New Roman"/>
          <w:sz w:val="28"/>
          <w:szCs w:val="28"/>
          <w:lang w:eastAsia="zh-CN"/>
        </w:rPr>
        <w:t>。</w:t>
      </w:r>
      <w:r>
        <w:rPr>
          <w:rFonts w:hint="eastAsia" w:ascii="宋体" w:hAnsi="宋体" w:eastAsia="宋体" w:cs="Times New Roman"/>
          <w:sz w:val="28"/>
          <w:szCs w:val="28"/>
        </w:rPr>
        <w:t>参照全国土地利用现状调查技术规程、《土地利用现状分类》（GB/T 21010-2017），结合呼玛县自然资源局提供的矿区土地利用现状图</w:t>
      </w:r>
      <w:r>
        <w:rPr>
          <w:rFonts w:hint="eastAsia" w:ascii="宋体" w:hAnsi="宋体" w:eastAsia="宋体" w:cs="Times New Roman"/>
          <w:sz w:val="28"/>
          <w:szCs w:val="28"/>
          <w:lang w:eastAsia="zh-CN"/>
        </w:rPr>
        <w:t>（</w:t>
      </w:r>
      <w:r>
        <w:rPr>
          <w:rFonts w:hint="eastAsia" w:ascii="宋体" w:hAnsi="宋体" w:eastAsia="宋体" w:cs="Times New Roman"/>
          <w:sz w:val="28"/>
          <w:szCs w:val="28"/>
          <w:lang w:val="en-US" w:eastAsia="zh-CN"/>
        </w:rPr>
        <w:t>三调</w:t>
      </w:r>
      <w:r>
        <w:rPr>
          <w:rFonts w:hint="eastAsia" w:ascii="宋体" w:hAnsi="宋体" w:eastAsia="宋体" w:cs="Times New Roman"/>
          <w:sz w:val="28"/>
          <w:szCs w:val="28"/>
          <w:lang w:eastAsia="zh-CN"/>
        </w:rPr>
        <w:t>）</w:t>
      </w:r>
      <w:r>
        <w:rPr>
          <w:rFonts w:hint="eastAsia" w:ascii="宋体" w:hAnsi="宋体" w:eastAsia="宋体" w:cs="Times New Roman"/>
          <w:sz w:val="28"/>
          <w:szCs w:val="28"/>
        </w:rPr>
        <w:t>，获得矿区土地利用现状数据，矿区土地利用类型为灌木林地</w:t>
      </w:r>
      <w:r>
        <w:rPr>
          <w:rFonts w:hint="eastAsia" w:ascii="宋体" w:hAnsi="宋体" w:eastAsia="宋体" w:cs="Times New Roman"/>
          <w:sz w:val="28"/>
          <w:szCs w:val="28"/>
          <w:lang w:eastAsia="zh-CN"/>
        </w:rPr>
        <w:t>，</w:t>
      </w:r>
      <w:r>
        <w:rPr>
          <w:rFonts w:hint="eastAsia" w:ascii="宋体" w:hAnsi="宋体" w:eastAsia="宋体" w:cs="Times New Roman"/>
          <w:sz w:val="28"/>
          <w:szCs w:val="28"/>
          <w:lang w:val="en-US" w:eastAsia="zh-CN"/>
        </w:rPr>
        <w:t>面积为2.4287</w:t>
      </w:r>
      <w:r>
        <w:rPr>
          <w:rFonts w:ascii="Times New Roman" w:hAnsi="Times New Roman" w:eastAsia="宋体" w:cs="Times New Roman"/>
          <w:color w:val="000000"/>
          <w:kern w:val="0"/>
          <w:sz w:val="28"/>
          <w:szCs w:val="28"/>
          <w:lang w:bidi="ar"/>
        </w:rPr>
        <w:t>hm</w:t>
      </w:r>
      <w:r>
        <w:rPr>
          <w:rFonts w:ascii="Times New Roman" w:hAnsi="Times New Roman" w:eastAsia="宋体" w:cs="Times New Roman"/>
          <w:color w:val="000000"/>
          <w:kern w:val="0"/>
          <w:sz w:val="28"/>
          <w:szCs w:val="28"/>
          <w:vertAlign w:val="superscript"/>
          <w:lang w:bidi="ar"/>
        </w:rPr>
        <w:t>2</w:t>
      </w:r>
      <w:r>
        <w:rPr>
          <w:rFonts w:hint="eastAsia" w:ascii="宋体" w:hAnsi="宋体" w:eastAsia="宋体" w:cs="Times New Roman"/>
          <w:sz w:val="28"/>
          <w:szCs w:val="28"/>
        </w:rPr>
        <w:t>。</w:t>
      </w:r>
      <w:r>
        <w:rPr>
          <w:rFonts w:hint="eastAsia" w:ascii="Times New Roman" w:hAnsi="Times New Roman" w:eastAsia="宋体" w:cs="Times New Roman"/>
          <w:sz w:val="28"/>
          <w:szCs w:val="28"/>
          <w:lang w:val="en-US" w:eastAsia="zh-CN"/>
        </w:rPr>
        <w:t>矿区土地</w:t>
      </w:r>
      <w:r>
        <w:rPr>
          <w:rFonts w:ascii="Times New Roman" w:hAnsi="Times New Roman" w:eastAsia="宋体" w:cs="Times New Roman"/>
          <w:sz w:val="28"/>
          <w:szCs w:val="28"/>
        </w:rPr>
        <w:t>权属清楚，无土地权属纠纷。复垦区内土地权为国有土地，属呼玛县</w:t>
      </w:r>
      <w:r>
        <w:rPr>
          <w:rFonts w:hint="eastAsia" w:ascii="Times New Roman" w:hAnsi="Times New Roman" w:eastAsia="宋体" w:cs="Times New Roman"/>
          <w:sz w:val="28"/>
          <w:szCs w:val="28"/>
        </w:rPr>
        <w:t>十八站林业局白银纳森林资源管护区</w:t>
      </w:r>
      <w:r>
        <w:rPr>
          <w:rFonts w:ascii="Times New Roman" w:hAnsi="Times New Roman" w:eastAsia="宋体" w:cs="Times New Roman"/>
          <w:sz w:val="28"/>
          <w:szCs w:val="28"/>
        </w:rPr>
        <w:t>所有。</w:t>
      </w:r>
      <w:r>
        <w:rPr>
          <w:rFonts w:hint="eastAsia" w:ascii="Times New Roman" w:hAnsi="Times New Roman" w:eastAsia="宋体" w:cs="Times New Roman"/>
          <w:sz w:val="28"/>
          <w:szCs w:val="28"/>
          <w:lang w:val="en-US" w:eastAsia="zh-CN"/>
        </w:rPr>
        <w:t>详见图3-1项目区土地利用现状图。</w:t>
      </w:r>
    </w:p>
    <w:p w14:paraId="5E648F61">
      <w:pPr>
        <w:pageBreakBefore w:val="0"/>
        <w:kinsoku/>
        <w:wordWrap/>
        <w:overflowPunct/>
        <w:topLinePunct w:val="0"/>
        <w:bidi w:val="0"/>
        <w:spacing w:line="360" w:lineRule="auto"/>
        <w:ind w:firstLine="560" w:firstLineChars="200"/>
        <w:jc w:val="left"/>
        <w:rPr>
          <w:rFonts w:hint="default" w:ascii="宋体" w:hAnsi="宋体" w:eastAsia="宋体" w:cs="Times New Roman"/>
          <w:color w:val="auto"/>
          <w:sz w:val="28"/>
          <w:szCs w:val="28"/>
        </w:rPr>
      </w:pPr>
      <w:r>
        <w:rPr>
          <w:rFonts w:hint="default" w:ascii="宋体" w:hAnsi="宋体" w:eastAsia="宋体" w:cs="Times New Roman"/>
          <w:color w:val="auto"/>
          <w:sz w:val="28"/>
          <w:szCs w:val="28"/>
        </w:rPr>
        <w:t>矿区现状</w:t>
      </w:r>
      <w:r>
        <w:rPr>
          <w:rFonts w:hint="default" w:ascii="宋体" w:hAnsi="宋体" w:eastAsia="宋体" w:cs="Times New Roman"/>
          <w:color w:val="auto"/>
          <w:sz w:val="28"/>
          <w:szCs w:val="28"/>
          <w:lang w:val="en-US" w:eastAsia="zh-CN"/>
        </w:rPr>
        <w:t>地类为</w:t>
      </w:r>
      <w:r>
        <w:rPr>
          <w:rFonts w:hint="default" w:ascii="宋体" w:hAnsi="宋体" w:eastAsia="宋体" w:cs="Times New Roman"/>
          <w:color w:val="auto"/>
          <w:sz w:val="28"/>
          <w:szCs w:val="28"/>
        </w:rPr>
        <w:t>林地，不涉及耕地。开采需占用林地，将严格依照《森林法》及</w:t>
      </w:r>
      <w:r>
        <w:rPr>
          <w:rFonts w:hint="default" w:ascii="宋体" w:hAnsi="宋体" w:eastAsia="宋体" w:cs="Times New Roman"/>
          <w:color w:val="auto"/>
          <w:sz w:val="28"/>
          <w:szCs w:val="28"/>
          <w:lang w:val="en-US" w:eastAsia="zh-CN"/>
        </w:rPr>
        <w:t>当地</w:t>
      </w:r>
      <w:r>
        <w:rPr>
          <w:rFonts w:hint="default" w:ascii="宋体" w:hAnsi="宋体" w:eastAsia="宋体" w:cs="Times New Roman"/>
          <w:color w:val="auto"/>
          <w:sz w:val="28"/>
          <w:szCs w:val="28"/>
        </w:rPr>
        <w:t>林地审批政策，依法履行使用林地审核手续，落实林地占补平衡、植被恢复相关要求；</w:t>
      </w:r>
      <w:r>
        <w:rPr>
          <w:rFonts w:hint="default" w:ascii="宋体" w:hAnsi="宋体" w:eastAsia="宋体" w:cs="Times New Roman"/>
          <w:color w:val="auto"/>
          <w:sz w:val="28"/>
          <w:szCs w:val="28"/>
          <w:lang w:val="en-US" w:eastAsia="zh-CN"/>
        </w:rPr>
        <w:t>矿山开采占用土地</w:t>
      </w:r>
      <w:r>
        <w:rPr>
          <w:rFonts w:hint="default" w:ascii="宋体" w:hAnsi="宋体" w:eastAsia="宋体" w:cs="Times New Roman"/>
          <w:color w:val="auto"/>
          <w:sz w:val="28"/>
          <w:szCs w:val="28"/>
        </w:rPr>
        <w:t>统一纳入土地复垦范围，坚持节约集约用地，最大限度缩减扰动土地面积。</w:t>
      </w:r>
    </w:p>
    <w:p w14:paraId="11034E11">
      <w:pPr>
        <w:pageBreakBefore w:val="0"/>
        <w:tabs>
          <w:tab w:val="left" w:pos="750"/>
        </w:tabs>
        <w:kinsoku/>
        <w:wordWrap/>
        <w:overflowPunct/>
        <w:topLinePunct w:val="0"/>
        <w:bidi w:val="0"/>
        <w:spacing w:line="360" w:lineRule="auto"/>
        <w:jc w:val="center"/>
        <w:rPr>
          <w:rStyle w:val="33"/>
          <w:rFonts w:hint="default" w:ascii="Times New Roman" w:hAnsi="Times New Roman" w:cs="Times New Roman" w:eastAsiaTheme="minorEastAsia"/>
          <w:color w:val="auto"/>
        </w:rPr>
      </w:pPr>
    </w:p>
    <w:p w14:paraId="121F7A97">
      <w:pPr>
        <w:pageBreakBefore w:val="0"/>
        <w:tabs>
          <w:tab w:val="left" w:pos="750"/>
        </w:tabs>
        <w:kinsoku/>
        <w:wordWrap/>
        <w:overflowPunct/>
        <w:topLinePunct w:val="0"/>
        <w:bidi w:val="0"/>
        <w:spacing w:line="360" w:lineRule="auto"/>
        <w:jc w:val="center"/>
        <w:rPr>
          <w:rStyle w:val="33"/>
          <w:rFonts w:hint="default" w:ascii="Times New Roman" w:hAnsi="Times New Roman" w:cs="Times New Roman" w:eastAsiaTheme="minorEastAsia"/>
          <w:color w:val="auto"/>
        </w:rPr>
      </w:pPr>
    </w:p>
    <w:p w14:paraId="533FA578">
      <w:pPr>
        <w:pageBreakBefore w:val="0"/>
        <w:tabs>
          <w:tab w:val="left" w:pos="750"/>
        </w:tabs>
        <w:kinsoku/>
        <w:wordWrap/>
        <w:overflowPunct/>
        <w:topLinePunct w:val="0"/>
        <w:bidi w:val="0"/>
        <w:spacing w:line="360" w:lineRule="auto"/>
        <w:jc w:val="center"/>
        <w:rPr>
          <w:rStyle w:val="33"/>
          <w:rFonts w:hint="default" w:ascii="Times New Roman" w:hAnsi="Times New Roman" w:cs="Times New Roman" w:eastAsiaTheme="minorEastAsia"/>
          <w:color w:val="auto"/>
        </w:rPr>
      </w:pPr>
    </w:p>
    <w:p w14:paraId="2D1A0FA4">
      <w:pPr>
        <w:pageBreakBefore w:val="0"/>
        <w:tabs>
          <w:tab w:val="left" w:pos="750"/>
        </w:tabs>
        <w:kinsoku/>
        <w:wordWrap/>
        <w:overflowPunct/>
        <w:topLinePunct w:val="0"/>
        <w:bidi w:val="0"/>
        <w:spacing w:line="360" w:lineRule="auto"/>
        <w:jc w:val="center"/>
        <w:rPr>
          <w:rStyle w:val="33"/>
          <w:rFonts w:hint="default" w:ascii="Times New Roman" w:hAnsi="Times New Roman" w:cs="Times New Roman" w:eastAsiaTheme="minorEastAsia"/>
          <w:color w:val="auto"/>
        </w:rPr>
      </w:pPr>
      <w:r>
        <w:drawing>
          <wp:inline distT="0" distB="0" distL="114300" distR="114300">
            <wp:extent cx="5268595" cy="5506720"/>
            <wp:effectExtent l="0" t="0" r="4445" b="1016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4"/>
                    <a:stretch>
                      <a:fillRect/>
                    </a:stretch>
                  </pic:blipFill>
                  <pic:spPr>
                    <a:xfrm>
                      <a:off x="0" y="0"/>
                      <a:ext cx="5268595" cy="5506720"/>
                    </a:xfrm>
                    <a:prstGeom prst="rect">
                      <a:avLst/>
                    </a:prstGeom>
                    <a:noFill/>
                    <a:ln>
                      <a:noFill/>
                    </a:ln>
                  </pic:spPr>
                </pic:pic>
              </a:graphicData>
            </a:graphic>
          </wp:inline>
        </w:drawing>
      </w:r>
    </w:p>
    <w:p w14:paraId="69771704">
      <w:pPr>
        <w:pageBreakBefore w:val="0"/>
        <w:tabs>
          <w:tab w:val="left" w:pos="750"/>
        </w:tabs>
        <w:kinsoku/>
        <w:wordWrap/>
        <w:overflowPunct/>
        <w:topLinePunct w:val="0"/>
        <w:bidi w:val="0"/>
        <w:spacing w:line="360" w:lineRule="auto"/>
        <w:jc w:val="center"/>
        <w:rPr>
          <w:rStyle w:val="33"/>
          <w:rFonts w:hint="default" w:ascii="Times New Roman" w:hAnsi="Times New Roman" w:cs="Times New Roman" w:eastAsiaTheme="minorEastAsia"/>
          <w:color w:val="auto"/>
        </w:rPr>
      </w:pPr>
      <w:r>
        <w:rPr>
          <w:rStyle w:val="33"/>
          <w:rFonts w:hint="default" w:ascii="Times New Roman" w:hAnsi="Times New Roman" w:cs="Times New Roman" w:eastAsiaTheme="minorEastAsia"/>
          <w:color w:val="auto"/>
        </w:rPr>
        <w:t>图</w:t>
      </w:r>
      <w:r>
        <w:rPr>
          <w:rStyle w:val="33"/>
          <w:rFonts w:hint="eastAsia" w:ascii="Times New Roman" w:hAnsi="Times New Roman" w:cs="Times New Roman"/>
          <w:color w:val="auto"/>
          <w:lang w:val="en-US" w:eastAsia="zh-CN"/>
        </w:rPr>
        <w:t>3</w:t>
      </w:r>
      <w:r>
        <w:rPr>
          <w:rStyle w:val="33"/>
          <w:rFonts w:hint="default" w:ascii="Times New Roman" w:hAnsi="Times New Roman" w:cs="Times New Roman" w:eastAsiaTheme="minorEastAsia"/>
          <w:color w:val="auto"/>
        </w:rPr>
        <w:t>-</w:t>
      </w:r>
      <w:r>
        <w:rPr>
          <w:rStyle w:val="33"/>
          <w:rFonts w:hint="eastAsia" w:ascii="Times New Roman" w:hAnsi="Times New Roman" w:cs="Times New Roman"/>
          <w:color w:val="auto"/>
          <w:lang w:val="en-US" w:eastAsia="zh-CN"/>
        </w:rPr>
        <w:t>1</w:t>
      </w:r>
      <w:r>
        <w:rPr>
          <w:rStyle w:val="33"/>
          <w:rFonts w:hint="default" w:ascii="Times New Roman" w:hAnsi="Times New Roman" w:cs="Times New Roman" w:eastAsiaTheme="minorEastAsia"/>
          <w:color w:val="auto"/>
        </w:rPr>
        <w:t xml:space="preserve"> </w:t>
      </w:r>
      <w:r>
        <w:rPr>
          <w:rStyle w:val="33"/>
          <w:rFonts w:hint="eastAsia" w:ascii="Times New Roman" w:hAnsi="Times New Roman" w:cs="Times New Roman"/>
          <w:color w:val="auto"/>
          <w:lang w:val="en-US" w:eastAsia="zh-CN"/>
        </w:rPr>
        <w:t>项目区土地利用现状</w:t>
      </w:r>
      <w:r>
        <w:rPr>
          <w:rStyle w:val="33"/>
          <w:rFonts w:hint="default" w:ascii="Times New Roman" w:hAnsi="Times New Roman" w:cs="Times New Roman"/>
          <w:color w:val="auto"/>
          <w:lang w:val="en-US" w:eastAsia="zh-CN"/>
        </w:rPr>
        <w:t>图</w:t>
      </w:r>
    </w:p>
    <w:p w14:paraId="20F840FB">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57" w:name="_Toc4542"/>
      <w:r>
        <w:rPr>
          <w:rFonts w:hint="default" w:ascii="Times New Roman" w:hAnsi="Times New Roman" w:cs="Times New Roman" w:eastAsiaTheme="minorEastAsia"/>
          <w:color w:val="auto"/>
          <w:sz w:val="30"/>
          <w:szCs w:val="30"/>
          <w:highlight w:val="none"/>
          <w:lang w:val="en-US" w:eastAsia="zh-CN"/>
        </w:rPr>
        <w:t>四、井巷工程设施分布范围或者露天剥离范围</w:t>
      </w:r>
      <w:bookmarkEnd w:id="57"/>
    </w:p>
    <w:p w14:paraId="2210F8ED">
      <w:pPr>
        <w:pageBreakBefore w:val="0"/>
        <w:kinsoku/>
        <w:wordWrap/>
        <w:overflowPunct/>
        <w:topLinePunct w:val="0"/>
        <w:bidi w:val="0"/>
        <w:spacing w:line="360" w:lineRule="auto"/>
        <w:ind w:firstLine="560" w:firstLineChars="200"/>
        <w:jc w:val="left"/>
        <w:rPr>
          <w:rFonts w:hint="default" w:ascii="宋体" w:hAnsi="宋体" w:eastAsia="宋体" w:cs="Times New Roman"/>
          <w:color w:val="auto"/>
          <w:sz w:val="28"/>
          <w:szCs w:val="28"/>
        </w:rPr>
      </w:pPr>
      <w:r>
        <w:rPr>
          <w:rFonts w:hint="default" w:ascii="宋体" w:hAnsi="宋体" w:eastAsia="宋体" w:cs="Times New Roman"/>
          <w:color w:val="auto"/>
          <w:sz w:val="28"/>
          <w:szCs w:val="28"/>
        </w:rPr>
        <w:t>矿区矿体埋藏较浅，矿体上部主要为腐殖土层、残坡积层覆盖，覆盖层平均厚度约1.0m。本矿山采用露天开采方式，露天剥离即为矿体上部表土、松散残坡积覆盖物剥离。露天剥离范围与</w:t>
      </w:r>
      <w:r>
        <w:rPr>
          <w:rFonts w:hint="default" w:ascii="宋体" w:hAnsi="宋体" w:eastAsia="宋体" w:cs="Times New Roman"/>
          <w:color w:val="auto"/>
          <w:sz w:val="28"/>
          <w:szCs w:val="28"/>
          <w:lang w:val="en-US" w:eastAsia="zh-CN"/>
        </w:rPr>
        <w:t>开采区域及</w:t>
      </w:r>
      <w:r>
        <w:rPr>
          <w:rFonts w:hint="default" w:ascii="宋体" w:hAnsi="宋体" w:eastAsia="宋体" w:cs="Times New Roman"/>
          <w:color w:val="auto"/>
          <w:sz w:val="28"/>
          <w:szCs w:val="28"/>
        </w:rPr>
        <w:t>资源储量估算范围一致。详见图</w:t>
      </w:r>
      <w:r>
        <w:rPr>
          <w:rFonts w:hint="default" w:ascii="宋体" w:hAnsi="宋体" w:eastAsia="宋体" w:cs="Times New Roman"/>
          <w:color w:val="auto"/>
          <w:sz w:val="28"/>
          <w:szCs w:val="28"/>
          <w:lang w:val="en-US" w:eastAsia="zh-CN"/>
        </w:rPr>
        <w:t>3</w:t>
      </w:r>
      <w:r>
        <w:rPr>
          <w:rFonts w:hint="default" w:ascii="宋体" w:hAnsi="宋体" w:eastAsia="宋体" w:cs="Times New Roman"/>
          <w:color w:val="auto"/>
          <w:sz w:val="28"/>
          <w:szCs w:val="28"/>
        </w:rPr>
        <w:t>-</w:t>
      </w:r>
      <w:r>
        <w:rPr>
          <w:rFonts w:hint="eastAsia" w:ascii="宋体" w:hAnsi="宋体" w:eastAsia="宋体" w:cs="Times New Roman"/>
          <w:color w:val="auto"/>
          <w:sz w:val="28"/>
          <w:szCs w:val="28"/>
          <w:lang w:val="en-US" w:eastAsia="zh-CN"/>
        </w:rPr>
        <w:t>2</w:t>
      </w:r>
      <w:r>
        <w:rPr>
          <w:rFonts w:hint="default" w:ascii="宋体" w:hAnsi="宋体" w:eastAsia="宋体" w:cs="Times New Roman"/>
          <w:color w:val="auto"/>
          <w:sz w:val="28"/>
          <w:szCs w:val="28"/>
        </w:rPr>
        <w:t>露天剥离范围与</w:t>
      </w:r>
      <w:r>
        <w:rPr>
          <w:rFonts w:hint="default" w:ascii="宋体" w:hAnsi="宋体" w:eastAsia="宋体" w:cs="Times New Roman"/>
          <w:color w:val="auto"/>
          <w:sz w:val="28"/>
          <w:szCs w:val="28"/>
          <w:lang w:val="en-US" w:eastAsia="zh-CN"/>
        </w:rPr>
        <w:t>开采区域及</w:t>
      </w:r>
      <w:r>
        <w:rPr>
          <w:rFonts w:hint="default" w:ascii="宋体" w:hAnsi="宋体" w:eastAsia="宋体" w:cs="Times New Roman"/>
          <w:color w:val="auto"/>
          <w:sz w:val="28"/>
          <w:szCs w:val="28"/>
        </w:rPr>
        <w:t>资源储量估算范围叠合图。</w:t>
      </w:r>
    </w:p>
    <w:p w14:paraId="5CD892C9">
      <w:pPr>
        <w:pStyle w:val="8"/>
        <w:keepNext w:val="0"/>
        <w:keepLines w:val="0"/>
        <w:pageBreakBefore w:val="0"/>
        <w:widowControl w:val="0"/>
        <w:kinsoku/>
        <w:wordWrap/>
        <w:overflowPunct/>
        <w:topLinePunct w:val="0"/>
        <w:autoSpaceDE/>
        <w:autoSpaceDN/>
        <w:bidi w:val="0"/>
        <w:adjustRightInd/>
        <w:snapToGrid/>
        <w:spacing w:beforeLines="0" w:afterLines="0" w:line="425" w:lineRule="auto"/>
        <w:ind w:left="221" w:right="295" w:firstLine="0"/>
        <w:jc w:val="both"/>
        <w:textAlignment w:val="auto"/>
        <w:rPr>
          <w:rFonts w:hint="default" w:ascii="Times New Roman" w:hAnsi="Times New Roman" w:cs="Times New Roman" w:eastAsiaTheme="minorEastAsia"/>
          <w:color w:val="auto"/>
          <w:sz w:val="28"/>
          <w:szCs w:val="24"/>
          <w:lang w:eastAsia="zh-CN"/>
        </w:rPr>
      </w:pPr>
      <w:r>
        <w:rPr>
          <w:rFonts w:hint="default" w:ascii="Times New Roman" w:hAnsi="Times New Roman" w:cs="Times New Roman" w:eastAsiaTheme="minorEastAsia"/>
          <w:color w:val="auto"/>
          <w:sz w:val="28"/>
          <w:szCs w:val="24"/>
          <w:lang w:eastAsia="zh-CN"/>
        </w:rPr>
        <w:drawing>
          <wp:inline distT="0" distB="0" distL="114300" distR="114300">
            <wp:extent cx="5271135" cy="5512435"/>
            <wp:effectExtent l="0" t="0" r="1905" b="4445"/>
            <wp:docPr id="1" name="图片 1" descr="附图 Mode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附图 Model (1)"/>
                    <pic:cNvPicPr>
                      <a:picLocks noChangeAspect="1"/>
                    </pic:cNvPicPr>
                  </pic:nvPicPr>
                  <pic:blipFill>
                    <a:blip r:embed="rId15"/>
                    <a:srcRect t="12983" b="13060"/>
                    <a:stretch>
                      <a:fillRect/>
                    </a:stretch>
                  </pic:blipFill>
                  <pic:spPr>
                    <a:xfrm>
                      <a:off x="0" y="0"/>
                      <a:ext cx="5271135" cy="5512435"/>
                    </a:xfrm>
                    <a:prstGeom prst="rect">
                      <a:avLst/>
                    </a:prstGeom>
                  </pic:spPr>
                </pic:pic>
              </a:graphicData>
            </a:graphic>
          </wp:inline>
        </w:drawing>
      </w:r>
    </w:p>
    <w:p w14:paraId="763F7D0A">
      <w:pPr>
        <w:pageBreakBefore w:val="0"/>
        <w:tabs>
          <w:tab w:val="left" w:pos="750"/>
        </w:tabs>
        <w:kinsoku/>
        <w:wordWrap/>
        <w:overflowPunct/>
        <w:topLinePunct w:val="0"/>
        <w:bidi w:val="0"/>
        <w:spacing w:line="360" w:lineRule="auto"/>
        <w:jc w:val="center"/>
        <w:rPr>
          <w:rStyle w:val="33"/>
          <w:rFonts w:hint="default" w:ascii="Times New Roman" w:hAnsi="Times New Roman" w:cs="Times New Roman" w:eastAsiaTheme="minorEastAsia"/>
          <w:color w:val="auto"/>
        </w:rPr>
      </w:pPr>
      <w:r>
        <w:rPr>
          <w:rStyle w:val="33"/>
          <w:rFonts w:hint="default" w:ascii="Times New Roman" w:hAnsi="Times New Roman" w:cs="Times New Roman" w:eastAsiaTheme="minorEastAsia"/>
          <w:color w:val="auto"/>
        </w:rPr>
        <w:t>图</w:t>
      </w:r>
      <w:r>
        <w:rPr>
          <w:rStyle w:val="33"/>
          <w:rFonts w:hint="eastAsia" w:ascii="Times New Roman" w:hAnsi="Times New Roman" w:cs="Times New Roman"/>
          <w:color w:val="auto"/>
          <w:lang w:val="en-US" w:eastAsia="zh-CN"/>
        </w:rPr>
        <w:t>3</w:t>
      </w:r>
      <w:r>
        <w:rPr>
          <w:rStyle w:val="33"/>
          <w:rFonts w:hint="default" w:ascii="Times New Roman" w:hAnsi="Times New Roman" w:cs="Times New Roman" w:eastAsiaTheme="minorEastAsia"/>
          <w:color w:val="auto"/>
        </w:rPr>
        <w:t>-2 露天剥离范围与开采区域及资源储量估算范围叠合图</w:t>
      </w:r>
    </w:p>
    <w:p w14:paraId="4D9B9727">
      <w:pPr>
        <w:pStyle w:val="8"/>
        <w:pageBreakBefore w:val="0"/>
        <w:kinsoku/>
        <w:wordWrap/>
        <w:overflowPunct/>
        <w:topLinePunct w:val="0"/>
        <w:bidi w:val="0"/>
        <w:spacing w:beforeLines="0" w:afterLines="0" w:line="426" w:lineRule="auto"/>
        <w:ind w:left="224" w:right="295" w:firstLine="638"/>
        <w:jc w:val="both"/>
        <w:rPr>
          <w:rFonts w:hint="default" w:ascii="Times New Roman" w:hAnsi="Times New Roman" w:cs="Times New Roman" w:eastAsiaTheme="minorEastAsia"/>
          <w:color w:val="auto"/>
          <w:sz w:val="28"/>
          <w:szCs w:val="24"/>
        </w:rPr>
      </w:pPr>
    </w:p>
    <w:p w14:paraId="06D30E2D">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58" w:name="_Toc8595"/>
      <w:bookmarkStart w:id="59" w:name="_Toc28102"/>
      <w:bookmarkStart w:id="60" w:name="_Toc18480"/>
      <w:bookmarkStart w:id="61" w:name="_Toc167307746"/>
      <w:bookmarkStart w:id="62" w:name="_Toc10511"/>
      <w:r>
        <w:rPr>
          <w:rFonts w:hint="default" w:ascii="Times New Roman" w:hAnsi="Times New Roman" w:cs="Times New Roman" w:eastAsiaTheme="minorEastAsia"/>
          <w:color w:val="auto"/>
          <w:sz w:val="30"/>
          <w:szCs w:val="30"/>
          <w:highlight w:val="none"/>
          <w:lang w:val="en-US" w:eastAsia="zh-CN"/>
        </w:rPr>
        <w:t>五、与相关禁限区的重叠情况</w:t>
      </w:r>
      <w:bookmarkEnd w:id="58"/>
      <w:bookmarkEnd w:id="59"/>
      <w:bookmarkEnd w:id="60"/>
      <w:bookmarkEnd w:id="61"/>
      <w:bookmarkEnd w:id="62"/>
    </w:p>
    <w:p w14:paraId="68EE08BE">
      <w:pPr>
        <w:pageBreakBefore w:val="0"/>
        <w:kinsoku/>
        <w:wordWrap/>
        <w:overflowPunct/>
        <w:topLinePunct w:val="0"/>
        <w:bidi w:val="0"/>
        <w:spacing w:line="360" w:lineRule="auto"/>
        <w:ind w:firstLine="560" w:firstLineChars="200"/>
        <w:jc w:val="left"/>
        <w:rPr>
          <w:rFonts w:hint="default" w:ascii="宋体" w:hAnsi="宋体" w:eastAsia="宋体" w:cs="Times New Roman"/>
          <w:color w:val="auto"/>
          <w:sz w:val="28"/>
          <w:szCs w:val="28"/>
        </w:rPr>
      </w:pPr>
      <w:r>
        <w:rPr>
          <w:rFonts w:hint="default" w:ascii="宋体" w:hAnsi="宋体" w:eastAsia="宋体" w:cs="Times New Roman"/>
          <w:color w:val="auto"/>
          <w:sz w:val="28"/>
          <w:szCs w:val="28"/>
        </w:rPr>
        <w:t>采矿权矿区范围与《自然资源部关于进一步完善矿产资源勘查开采登记管理的通知》（自然资规〔2023〕4号）中规定的矿产资源勘查开采禁限区的重叠情况无重叠。</w:t>
      </w:r>
    </w:p>
    <w:p w14:paraId="22F8E074">
      <w:pPr>
        <w:pageBreakBefore w:val="0"/>
        <w:kinsoku/>
        <w:wordWrap/>
        <w:overflowPunct/>
        <w:topLinePunct w:val="0"/>
        <w:bidi w:val="0"/>
        <w:spacing w:line="360" w:lineRule="auto"/>
        <w:ind w:firstLine="560" w:firstLineChars="200"/>
        <w:jc w:val="left"/>
        <w:rPr>
          <w:rFonts w:hint="default" w:ascii="宋体" w:hAnsi="宋体" w:eastAsia="宋体" w:cs="Times New Roman"/>
          <w:color w:val="auto"/>
          <w:sz w:val="28"/>
          <w:szCs w:val="28"/>
        </w:rPr>
      </w:pPr>
      <w:r>
        <w:rPr>
          <w:rFonts w:hint="eastAsia" w:ascii="宋体" w:hAnsi="宋体" w:eastAsia="宋体" w:cs="Times New Roman"/>
          <w:color w:val="auto"/>
          <w:sz w:val="28"/>
          <w:szCs w:val="28"/>
          <w:lang w:val="en-US" w:eastAsia="zh-CN"/>
        </w:rPr>
        <w:t>矿区周边</w:t>
      </w:r>
      <w:r>
        <w:rPr>
          <w:rFonts w:hint="default" w:ascii="宋体" w:hAnsi="宋体" w:eastAsia="宋体" w:cs="Times New Roman"/>
          <w:color w:val="auto"/>
          <w:sz w:val="28"/>
          <w:szCs w:val="28"/>
          <w:lang w:val="en-US" w:eastAsia="zh-CN"/>
        </w:rPr>
        <w:t>1km范围内无铁路；500m范围内无水库大坝及电力设施；300m范围内无其他单位生产生活设施、村屯及民宅；200m内无公路渡口和中型以上公路桥梁，100m内无国道、省道、县道，50m内无乡道。</w:t>
      </w:r>
    </w:p>
    <w:p w14:paraId="53893033">
      <w:pPr>
        <w:pageBreakBefore w:val="0"/>
        <w:kinsoku/>
        <w:wordWrap/>
        <w:overflowPunct/>
        <w:topLinePunct w:val="0"/>
        <w:bidi w:val="0"/>
        <w:spacing w:line="360" w:lineRule="auto"/>
        <w:ind w:firstLine="560" w:firstLineChars="200"/>
        <w:jc w:val="left"/>
        <w:rPr>
          <w:rFonts w:hint="default" w:ascii="宋体" w:hAnsi="宋体" w:eastAsia="宋体" w:cs="Times New Roman"/>
          <w:color w:val="auto"/>
          <w:sz w:val="28"/>
          <w:szCs w:val="28"/>
        </w:rPr>
      </w:pPr>
      <w:r>
        <w:rPr>
          <w:rFonts w:hint="default" w:ascii="宋体" w:hAnsi="宋体" w:eastAsia="宋体" w:cs="Times New Roman"/>
          <w:color w:val="auto"/>
          <w:sz w:val="28"/>
          <w:szCs w:val="28"/>
        </w:rPr>
        <w:t>本次申请采矿权的开采区域，不在城镇开发边界范围内，与城镇开发边界无重叠</w:t>
      </w:r>
      <w:r>
        <w:rPr>
          <w:rFonts w:hint="eastAsia" w:ascii="宋体" w:hAnsi="宋体" w:eastAsia="宋体" w:cs="Times New Roman"/>
          <w:color w:val="auto"/>
          <w:sz w:val="28"/>
          <w:szCs w:val="28"/>
          <w:lang w:val="en-US" w:eastAsia="zh-CN"/>
        </w:rPr>
        <w:t>；</w:t>
      </w:r>
      <w:r>
        <w:rPr>
          <w:rFonts w:hint="default" w:ascii="宋体" w:hAnsi="宋体" w:eastAsia="宋体" w:cs="Times New Roman"/>
          <w:color w:val="auto"/>
          <w:sz w:val="28"/>
          <w:szCs w:val="28"/>
        </w:rPr>
        <w:t>不存在与国家确定的永久基本农田、生态保护红线、自然保护地、Ⅰ级和Ⅱ级保护林地、天然林保护重点区域、基本草原、国际重要湿地、国家重要湿地、世界自然（自然文化）遗产地、沙化土地封禁保护区、饮用水水源保护区重叠情况。</w:t>
      </w:r>
    </w:p>
    <w:p w14:paraId="115A3625">
      <w:pPr>
        <w:pageBreakBefore w:val="0"/>
        <w:kinsoku/>
        <w:wordWrap/>
        <w:overflowPunct/>
        <w:topLinePunct w:val="0"/>
        <w:bidi w:val="0"/>
        <w:spacing w:line="360" w:lineRule="auto"/>
        <w:ind w:firstLine="560" w:firstLineChars="200"/>
        <w:jc w:val="left"/>
        <w:rPr>
          <w:rFonts w:hint="default" w:ascii="宋体" w:hAnsi="宋体" w:eastAsia="宋体" w:cs="Times New Roman"/>
          <w:color w:val="auto"/>
          <w:sz w:val="28"/>
          <w:szCs w:val="28"/>
          <w:lang w:val="en-US" w:eastAsia="zh-CN"/>
        </w:rPr>
      </w:pPr>
      <w:r>
        <w:rPr>
          <w:rFonts w:hint="default" w:ascii="宋体" w:hAnsi="宋体" w:eastAsia="宋体" w:cs="Times New Roman"/>
          <w:color w:val="auto"/>
          <w:sz w:val="28"/>
          <w:szCs w:val="28"/>
          <w:lang w:val="en-US" w:eastAsia="zh-CN"/>
        </w:rPr>
        <w:t>申请开采区域不与其他已设矿业权范围重叠。</w:t>
      </w:r>
      <w:bookmarkStart w:id="63" w:name="_Toc23817"/>
      <w:bookmarkStart w:id="64" w:name="_Toc167307747"/>
      <w:bookmarkStart w:id="65" w:name="_Toc22050"/>
      <w:bookmarkStart w:id="66" w:name="_Toc28284"/>
    </w:p>
    <w:p w14:paraId="37B1BD6A">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67" w:name="_Toc27747"/>
      <w:r>
        <w:rPr>
          <w:rFonts w:hint="eastAsia" w:ascii="Times New Roman" w:hAnsi="Times New Roman" w:cs="Times New Roman" w:eastAsiaTheme="minorEastAsia"/>
          <w:color w:val="auto"/>
          <w:sz w:val="30"/>
          <w:szCs w:val="30"/>
          <w:highlight w:val="none"/>
          <w:lang w:val="en-US" w:eastAsia="zh-CN"/>
        </w:rPr>
        <w:t>六、</w:t>
      </w:r>
      <w:r>
        <w:rPr>
          <w:rFonts w:hint="default" w:ascii="Times New Roman" w:hAnsi="Times New Roman" w:cs="Times New Roman" w:eastAsiaTheme="minorEastAsia"/>
          <w:color w:val="auto"/>
          <w:sz w:val="30"/>
          <w:szCs w:val="30"/>
          <w:highlight w:val="none"/>
          <w:lang w:val="en-US" w:eastAsia="zh-CN"/>
        </w:rPr>
        <w:t>申请</w:t>
      </w:r>
      <w:bookmarkEnd w:id="63"/>
      <w:bookmarkEnd w:id="64"/>
      <w:bookmarkEnd w:id="65"/>
      <w:bookmarkEnd w:id="66"/>
      <w:r>
        <w:rPr>
          <w:rFonts w:hint="default" w:ascii="Times New Roman" w:hAnsi="Times New Roman" w:cs="Times New Roman" w:eastAsiaTheme="minorEastAsia"/>
          <w:color w:val="auto"/>
          <w:sz w:val="30"/>
          <w:szCs w:val="30"/>
          <w:highlight w:val="none"/>
          <w:lang w:val="en-US" w:eastAsia="zh-CN"/>
        </w:rPr>
        <w:t>开采区域</w:t>
      </w:r>
      <w:bookmarkEnd w:id="67"/>
    </w:p>
    <w:p w14:paraId="4DC42672">
      <w:pPr>
        <w:pageBreakBefore w:val="0"/>
        <w:kinsoku/>
        <w:wordWrap/>
        <w:overflowPunct/>
        <w:topLinePunct w:val="0"/>
        <w:bidi w:val="0"/>
        <w:spacing w:line="360" w:lineRule="auto"/>
        <w:ind w:firstLine="560" w:firstLineChars="200"/>
        <w:jc w:val="left"/>
        <w:rPr>
          <w:rFonts w:hint="default" w:ascii="宋体" w:hAnsi="宋体" w:eastAsia="宋体" w:cs="Times New Roman"/>
          <w:color w:val="auto"/>
          <w:sz w:val="28"/>
          <w:szCs w:val="28"/>
        </w:rPr>
      </w:pPr>
      <w:r>
        <w:rPr>
          <w:rFonts w:hint="default" w:ascii="宋体" w:hAnsi="宋体" w:eastAsia="宋体" w:cs="Times New Roman"/>
          <w:color w:val="auto"/>
          <w:sz w:val="28"/>
          <w:szCs w:val="28"/>
        </w:rPr>
        <w:t>申请开采区域拐点坐标表见下表：</w:t>
      </w:r>
    </w:p>
    <w:p w14:paraId="1940D9FC">
      <w:pPr>
        <w:pageBreakBefore w:val="0"/>
        <w:tabs>
          <w:tab w:val="left" w:pos="750"/>
        </w:tabs>
        <w:kinsoku/>
        <w:wordWrap/>
        <w:overflowPunct/>
        <w:topLinePunct w:val="0"/>
        <w:bidi w:val="0"/>
        <w:spacing w:line="360" w:lineRule="auto"/>
        <w:jc w:val="center"/>
        <w:rPr>
          <w:rStyle w:val="33"/>
          <w:rFonts w:hint="default" w:ascii="Times New Roman" w:hAnsi="Times New Roman" w:cs="Times New Roman" w:eastAsiaTheme="minorEastAsia"/>
          <w:b/>
          <w:bCs/>
          <w:color w:val="auto"/>
          <w:sz w:val="24"/>
          <w:szCs w:val="24"/>
        </w:rPr>
      </w:pPr>
      <w:r>
        <w:rPr>
          <w:rStyle w:val="33"/>
          <w:rFonts w:hint="default" w:ascii="Times New Roman" w:hAnsi="Times New Roman" w:cs="Times New Roman" w:eastAsiaTheme="minorEastAsia"/>
          <w:b/>
          <w:bCs/>
          <w:color w:val="auto"/>
          <w:sz w:val="24"/>
          <w:szCs w:val="24"/>
        </w:rPr>
        <w:t>表3-</w:t>
      </w:r>
      <w:r>
        <w:rPr>
          <w:rStyle w:val="33"/>
          <w:rFonts w:hint="default" w:ascii="Times New Roman" w:hAnsi="Times New Roman" w:cs="Times New Roman" w:eastAsiaTheme="minorEastAsia"/>
          <w:b/>
          <w:bCs/>
          <w:color w:val="auto"/>
          <w:sz w:val="24"/>
          <w:szCs w:val="24"/>
          <w:lang w:val="en-US" w:eastAsia="zh-CN"/>
        </w:rPr>
        <w:t>2</w:t>
      </w:r>
      <w:r>
        <w:rPr>
          <w:rStyle w:val="33"/>
          <w:rFonts w:hint="eastAsia" w:ascii="Times New Roman" w:hAnsi="Times New Roman" w:cs="Times New Roman"/>
          <w:b/>
          <w:bCs/>
          <w:color w:val="auto"/>
          <w:sz w:val="24"/>
          <w:szCs w:val="24"/>
          <w:lang w:val="en-US" w:eastAsia="zh-CN"/>
        </w:rPr>
        <w:t xml:space="preserve">   </w:t>
      </w:r>
      <w:r>
        <w:rPr>
          <w:rStyle w:val="33"/>
          <w:rFonts w:hint="default" w:ascii="Times New Roman" w:hAnsi="Times New Roman" w:cs="Times New Roman" w:eastAsiaTheme="minorEastAsia"/>
          <w:b/>
          <w:bCs/>
          <w:color w:val="auto"/>
          <w:sz w:val="24"/>
          <w:szCs w:val="24"/>
          <w:lang w:val="en-US" w:eastAsia="zh-CN"/>
        </w:rPr>
        <w:t>申请开采区域</w:t>
      </w:r>
      <w:r>
        <w:rPr>
          <w:rStyle w:val="33"/>
          <w:rFonts w:hint="default" w:ascii="Times New Roman" w:hAnsi="Times New Roman" w:cs="Times New Roman" w:eastAsiaTheme="minorEastAsia"/>
          <w:b/>
          <w:bCs/>
          <w:color w:val="auto"/>
          <w:sz w:val="24"/>
          <w:szCs w:val="24"/>
        </w:rPr>
        <w:t>拐点坐标表</w:t>
      </w:r>
    </w:p>
    <w:tbl>
      <w:tblPr>
        <w:tblStyle w:val="19"/>
        <w:tblW w:w="0" w:type="auto"/>
        <w:tblInd w:w="21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62"/>
        <w:gridCol w:w="3752"/>
        <w:gridCol w:w="3754"/>
      </w:tblGrid>
      <w:tr w14:paraId="6D521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exact"/>
        </w:trPr>
        <w:tc>
          <w:tcPr>
            <w:tcW w:w="1662"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3236A64">
            <w:pPr>
              <w:pStyle w:val="32"/>
              <w:pageBreakBefore w:val="0"/>
              <w:kinsoku/>
              <w:wordWrap/>
              <w:overflowPunct/>
              <w:topLinePunct w:val="0"/>
              <w:bidi w:val="0"/>
              <w:spacing w:before="9" w:beforeLines="0" w:afterLines="0" w:line="280" w:lineRule="exact"/>
              <w:jc w:val="center"/>
              <w:rPr>
                <w:rFonts w:hint="default" w:ascii="Times New Roman" w:hAnsi="Times New Roman" w:cs="Times New Roman" w:eastAsiaTheme="minorEastAsia"/>
                <w:color w:val="auto"/>
                <w:sz w:val="28"/>
                <w:szCs w:val="24"/>
              </w:rPr>
            </w:pPr>
          </w:p>
          <w:p w14:paraId="64D2B4AB">
            <w:pPr>
              <w:pStyle w:val="32"/>
              <w:pageBreakBefore w:val="0"/>
              <w:kinsoku/>
              <w:wordWrap/>
              <w:overflowPunct/>
              <w:topLinePunct w:val="0"/>
              <w:bidi w:val="0"/>
              <w:spacing w:beforeLines="0" w:afterLines="0"/>
              <w:ind w:right="41"/>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1"/>
                <w:szCs w:val="24"/>
              </w:rPr>
              <w:t>点</w:t>
            </w:r>
            <w:r>
              <w:rPr>
                <w:rFonts w:hint="default" w:ascii="Times New Roman" w:hAnsi="Times New Roman" w:cs="Times New Roman" w:eastAsiaTheme="minorEastAsia"/>
                <w:color w:val="auto"/>
                <w:spacing w:val="-70"/>
                <w:sz w:val="21"/>
                <w:szCs w:val="24"/>
              </w:rPr>
              <w:t xml:space="preserve"> </w:t>
            </w:r>
            <w:r>
              <w:rPr>
                <w:rFonts w:hint="default" w:ascii="Times New Roman" w:hAnsi="Times New Roman" w:cs="Times New Roman" w:eastAsiaTheme="minorEastAsia"/>
                <w:color w:val="auto"/>
                <w:sz w:val="21"/>
                <w:szCs w:val="24"/>
              </w:rPr>
              <w:t>号</w:t>
            </w:r>
          </w:p>
        </w:tc>
        <w:tc>
          <w:tcPr>
            <w:tcW w:w="7506"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7717663B">
            <w:pPr>
              <w:pStyle w:val="32"/>
              <w:pageBreakBefore w:val="0"/>
              <w:kinsoku/>
              <w:wordWrap/>
              <w:overflowPunct/>
              <w:topLinePunct w:val="0"/>
              <w:bidi w:val="0"/>
              <w:spacing w:before="11" w:beforeLines="0" w:afterLines="0"/>
              <w:ind w:right="41"/>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pacing w:val="16"/>
                <w:w w:val="95"/>
                <w:sz w:val="21"/>
                <w:szCs w:val="24"/>
              </w:rPr>
              <w:t>2</w:t>
            </w:r>
            <w:r>
              <w:rPr>
                <w:rFonts w:hint="default" w:ascii="Times New Roman" w:hAnsi="Times New Roman" w:cs="Times New Roman" w:eastAsiaTheme="minorEastAsia"/>
                <w:color w:val="auto"/>
                <w:w w:val="95"/>
                <w:sz w:val="21"/>
                <w:szCs w:val="24"/>
              </w:rPr>
              <w:t>0</w:t>
            </w:r>
            <w:r>
              <w:rPr>
                <w:rFonts w:hint="default" w:ascii="Times New Roman" w:hAnsi="Times New Roman" w:cs="Times New Roman" w:eastAsiaTheme="minorEastAsia"/>
                <w:color w:val="auto"/>
                <w:spacing w:val="-30"/>
                <w:w w:val="95"/>
                <w:sz w:val="21"/>
                <w:szCs w:val="24"/>
              </w:rPr>
              <w:t xml:space="preserve"> </w:t>
            </w:r>
            <w:r>
              <w:rPr>
                <w:rFonts w:hint="default" w:ascii="Times New Roman" w:hAnsi="Times New Roman" w:cs="Times New Roman" w:eastAsiaTheme="minorEastAsia"/>
                <w:color w:val="auto"/>
                <w:w w:val="95"/>
                <w:sz w:val="21"/>
                <w:szCs w:val="24"/>
              </w:rPr>
              <w:t>0</w:t>
            </w:r>
            <w:r>
              <w:rPr>
                <w:rFonts w:hint="default" w:ascii="Times New Roman" w:hAnsi="Times New Roman" w:cs="Times New Roman" w:eastAsiaTheme="minorEastAsia"/>
                <w:color w:val="auto"/>
                <w:spacing w:val="-30"/>
                <w:w w:val="95"/>
                <w:sz w:val="21"/>
                <w:szCs w:val="24"/>
              </w:rPr>
              <w:t xml:space="preserve"> </w:t>
            </w:r>
            <w:r>
              <w:rPr>
                <w:rFonts w:hint="default" w:ascii="Times New Roman" w:hAnsi="Times New Roman" w:cs="Times New Roman" w:eastAsiaTheme="minorEastAsia"/>
                <w:color w:val="auto"/>
                <w:w w:val="95"/>
                <w:sz w:val="21"/>
                <w:szCs w:val="24"/>
              </w:rPr>
              <w:t>0</w:t>
            </w:r>
            <w:r>
              <w:rPr>
                <w:rFonts w:hint="default" w:ascii="Times New Roman" w:hAnsi="Times New Roman" w:cs="Times New Roman" w:eastAsiaTheme="minorEastAsia"/>
                <w:color w:val="auto"/>
                <w:spacing w:val="34"/>
                <w:w w:val="95"/>
                <w:sz w:val="21"/>
                <w:szCs w:val="24"/>
              </w:rPr>
              <w:t xml:space="preserve"> </w:t>
            </w:r>
            <w:r>
              <w:rPr>
                <w:rFonts w:hint="default" w:ascii="Times New Roman" w:hAnsi="Times New Roman" w:cs="Times New Roman" w:eastAsiaTheme="minorEastAsia"/>
                <w:color w:val="auto"/>
                <w:w w:val="95"/>
                <w:sz w:val="21"/>
                <w:szCs w:val="24"/>
              </w:rPr>
              <w:t>国</w:t>
            </w:r>
            <w:r>
              <w:rPr>
                <w:rFonts w:hint="default" w:ascii="Times New Roman" w:hAnsi="Times New Roman" w:cs="Times New Roman" w:eastAsiaTheme="minorEastAsia"/>
                <w:color w:val="auto"/>
                <w:spacing w:val="-8"/>
                <w:w w:val="95"/>
                <w:sz w:val="21"/>
                <w:szCs w:val="24"/>
              </w:rPr>
              <w:t xml:space="preserve"> </w:t>
            </w:r>
            <w:r>
              <w:rPr>
                <w:rFonts w:hint="default" w:ascii="Times New Roman" w:hAnsi="Times New Roman" w:cs="Times New Roman" w:eastAsiaTheme="minorEastAsia"/>
                <w:color w:val="auto"/>
                <w:w w:val="95"/>
                <w:sz w:val="21"/>
                <w:szCs w:val="24"/>
              </w:rPr>
              <w:t>家</w:t>
            </w:r>
            <w:r>
              <w:rPr>
                <w:rFonts w:hint="default" w:ascii="Times New Roman" w:hAnsi="Times New Roman" w:cs="Times New Roman" w:eastAsiaTheme="minorEastAsia"/>
                <w:color w:val="auto"/>
                <w:spacing w:val="-12"/>
                <w:w w:val="95"/>
                <w:sz w:val="21"/>
                <w:szCs w:val="24"/>
              </w:rPr>
              <w:t xml:space="preserve"> </w:t>
            </w:r>
            <w:r>
              <w:rPr>
                <w:rFonts w:hint="default" w:ascii="Times New Roman" w:hAnsi="Times New Roman" w:cs="Times New Roman" w:eastAsiaTheme="minorEastAsia"/>
                <w:color w:val="auto"/>
                <w:w w:val="95"/>
                <w:sz w:val="21"/>
                <w:szCs w:val="24"/>
              </w:rPr>
              <w:t>大</w:t>
            </w:r>
            <w:r>
              <w:rPr>
                <w:rFonts w:hint="default" w:ascii="Times New Roman" w:hAnsi="Times New Roman" w:cs="Times New Roman" w:eastAsiaTheme="minorEastAsia"/>
                <w:color w:val="auto"/>
                <w:spacing w:val="-8"/>
                <w:w w:val="95"/>
                <w:sz w:val="21"/>
                <w:szCs w:val="24"/>
              </w:rPr>
              <w:t xml:space="preserve"> </w:t>
            </w:r>
            <w:r>
              <w:rPr>
                <w:rFonts w:hint="default" w:ascii="Times New Roman" w:hAnsi="Times New Roman" w:cs="Times New Roman" w:eastAsiaTheme="minorEastAsia"/>
                <w:color w:val="auto"/>
                <w:w w:val="95"/>
                <w:sz w:val="21"/>
                <w:szCs w:val="24"/>
              </w:rPr>
              <w:t>地</w:t>
            </w:r>
            <w:r>
              <w:rPr>
                <w:rFonts w:hint="default" w:ascii="Times New Roman" w:hAnsi="Times New Roman" w:cs="Times New Roman" w:eastAsiaTheme="minorEastAsia"/>
                <w:color w:val="auto"/>
                <w:spacing w:val="-9"/>
                <w:w w:val="95"/>
                <w:sz w:val="21"/>
                <w:szCs w:val="24"/>
              </w:rPr>
              <w:t xml:space="preserve"> </w:t>
            </w:r>
            <w:r>
              <w:rPr>
                <w:rFonts w:hint="default" w:ascii="Times New Roman" w:hAnsi="Times New Roman" w:cs="Times New Roman" w:eastAsiaTheme="minorEastAsia"/>
                <w:color w:val="auto"/>
                <w:w w:val="95"/>
                <w:sz w:val="21"/>
                <w:szCs w:val="24"/>
              </w:rPr>
              <w:t>坐</w:t>
            </w:r>
            <w:r>
              <w:rPr>
                <w:rFonts w:hint="default" w:ascii="Times New Roman" w:hAnsi="Times New Roman" w:cs="Times New Roman" w:eastAsiaTheme="minorEastAsia"/>
                <w:color w:val="auto"/>
                <w:spacing w:val="-11"/>
                <w:w w:val="95"/>
                <w:sz w:val="21"/>
                <w:szCs w:val="24"/>
              </w:rPr>
              <w:t xml:space="preserve"> </w:t>
            </w:r>
            <w:r>
              <w:rPr>
                <w:rFonts w:hint="default" w:ascii="Times New Roman" w:hAnsi="Times New Roman" w:cs="Times New Roman" w:eastAsiaTheme="minorEastAsia"/>
                <w:color w:val="auto"/>
                <w:w w:val="95"/>
                <w:sz w:val="21"/>
                <w:szCs w:val="24"/>
              </w:rPr>
              <w:t>标</w:t>
            </w:r>
            <w:r>
              <w:rPr>
                <w:rFonts w:hint="default" w:ascii="Times New Roman" w:hAnsi="Times New Roman" w:cs="Times New Roman" w:eastAsiaTheme="minorEastAsia"/>
                <w:color w:val="auto"/>
                <w:spacing w:val="-8"/>
                <w:w w:val="95"/>
                <w:sz w:val="21"/>
                <w:szCs w:val="24"/>
              </w:rPr>
              <w:t xml:space="preserve"> </w:t>
            </w:r>
            <w:r>
              <w:rPr>
                <w:rFonts w:hint="default" w:ascii="Times New Roman" w:hAnsi="Times New Roman" w:cs="Times New Roman" w:eastAsiaTheme="minorEastAsia"/>
                <w:color w:val="auto"/>
                <w:w w:val="95"/>
                <w:sz w:val="21"/>
                <w:szCs w:val="24"/>
              </w:rPr>
              <w:t>系</w:t>
            </w:r>
          </w:p>
        </w:tc>
      </w:tr>
      <w:tr w14:paraId="0A5B7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exact"/>
        </w:trPr>
        <w:tc>
          <w:tcPr>
            <w:tcW w:w="1662"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4D44E3D8">
            <w:pPr>
              <w:pStyle w:val="32"/>
              <w:pageBreakBefore w:val="0"/>
              <w:kinsoku/>
              <w:wordWrap/>
              <w:overflowPunct/>
              <w:topLinePunct w:val="0"/>
              <w:bidi w:val="0"/>
              <w:spacing w:before="11" w:beforeLines="0" w:afterLines="0"/>
              <w:ind w:right="41"/>
              <w:jc w:val="center"/>
              <w:rPr>
                <w:rFonts w:hint="default" w:ascii="Times New Roman" w:hAnsi="Times New Roman" w:cs="Times New Roman" w:eastAsiaTheme="minorEastAsia"/>
                <w:color w:val="auto"/>
                <w:sz w:val="24"/>
                <w:szCs w:val="24"/>
              </w:rPr>
            </w:pPr>
          </w:p>
        </w:tc>
        <w:tc>
          <w:tcPr>
            <w:tcW w:w="37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610653C">
            <w:pPr>
              <w:pStyle w:val="32"/>
              <w:pageBreakBefore w:val="0"/>
              <w:kinsoku/>
              <w:wordWrap/>
              <w:overflowPunct/>
              <w:topLinePunct w:val="0"/>
              <w:bidi w:val="0"/>
              <w:spacing w:before="5" w:beforeLines="0" w:afterLines="0" w:line="120" w:lineRule="exact"/>
              <w:jc w:val="center"/>
              <w:rPr>
                <w:rFonts w:hint="default" w:ascii="Times New Roman" w:hAnsi="Times New Roman" w:cs="Times New Roman" w:eastAsiaTheme="minorEastAsia"/>
                <w:color w:val="auto"/>
                <w:sz w:val="12"/>
                <w:szCs w:val="24"/>
              </w:rPr>
            </w:pPr>
          </w:p>
          <w:p w14:paraId="339D597C">
            <w:pPr>
              <w:pStyle w:val="32"/>
              <w:pageBreakBefore w:val="0"/>
              <w:kinsoku/>
              <w:wordWrap/>
              <w:overflowPunct/>
              <w:topLinePunct w:val="0"/>
              <w:bidi w:val="0"/>
              <w:spacing w:beforeLines="0" w:afterLines="0"/>
              <w:ind w:right="22"/>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1"/>
                <w:szCs w:val="24"/>
              </w:rPr>
              <w:t>X</w:t>
            </w:r>
          </w:p>
        </w:tc>
        <w:tc>
          <w:tcPr>
            <w:tcW w:w="375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2AA1971">
            <w:pPr>
              <w:pStyle w:val="32"/>
              <w:pageBreakBefore w:val="0"/>
              <w:kinsoku/>
              <w:wordWrap/>
              <w:overflowPunct/>
              <w:topLinePunct w:val="0"/>
              <w:bidi w:val="0"/>
              <w:spacing w:before="5" w:beforeLines="0" w:afterLines="0" w:line="120" w:lineRule="exact"/>
              <w:jc w:val="center"/>
              <w:rPr>
                <w:rFonts w:hint="default" w:ascii="Times New Roman" w:hAnsi="Times New Roman" w:cs="Times New Roman" w:eastAsiaTheme="minorEastAsia"/>
                <w:color w:val="auto"/>
                <w:sz w:val="12"/>
                <w:szCs w:val="24"/>
              </w:rPr>
            </w:pPr>
          </w:p>
          <w:p w14:paraId="49B9F677">
            <w:pPr>
              <w:pStyle w:val="32"/>
              <w:pageBreakBefore w:val="0"/>
              <w:kinsoku/>
              <w:wordWrap/>
              <w:overflowPunct/>
              <w:topLinePunct w:val="0"/>
              <w:bidi w:val="0"/>
              <w:spacing w:beforeLines="0" w:afterLines="0"/>
              <w:ind w:right="21"/>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1"/>
                <w:szCs w:val="24"/>
              </w:rPr>
              <w:t>Y</w:t>
            </w:r>
          </w:p>
        </w:tc>
      </w:tr>
      <w:tr w14:paraId="5A21C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exact"/>
        </w:trPr>
        <w:tc>
          <w:tcPr>
            <w:tcW w:w="166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DE05BC3">
            <w:pPr>
              <w:pStyle w:val="32"/>
              <w:pageBreakBefore w:val="0"/>
              <w:kinsoku/>
              <w:wordWrap/>
              <w:overflowPunct/>
              <w:topLinePunct w:val="0"/>
              <w:bidi w:val="0"/>
              <w:spacing w:before="4" w:beforeLines="0" w:afterLines="0" w:line="120" w:lineRule="exact"/>
              <w:jc w:val="center"/>
              <w:rPr>
                <w:rFonts w:hint="default" w:ascii="Times New Roman" w:hAnsi="Times New Roman" w:cs="Times New Roman" w:eastAsiaTheme="minorEastAsia"/>
                <w:color w:val="auto"/>
                <w:sz w:val="12"/>
                <w:szCs w:val="24"/>
              </w:rPr>
            </w:pPr>
          </w:p>
          <w:p w14:paraId="3D7DD329">
            <w:pPr>
              <w:pStyle w:val="32"/>
              <w:pageBreakBefore w:val="0"/>
              <w:kinsoku/>
              <w:wordWrap/>
              <w:overflowPunct/>
              <w:topLinePunct w:val="0"/>
              <w:bidi w:val="0"/>
              <w:spacing w:beforeLines="0" w:afterLines="0"/>
              <w:ind w:left="743" w:right="765"/>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1"/>
                <w:szCs w:val="24"/>
              </w:rPr>
              <w:t>1</w:t>
            </w:r>
          </w:p>
        </w:tc>
        <w:tc>
          <w:tcPr>
            <w:tcW w:w="37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86ED7C6">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highlight w:val="none"/>
              </w:rPr>
              <w:t>5834566.99</w:t>
            </w:r>
          </w:p>
        </w:tc>
        <w:tc>
          <w:tcPr>
            <w:tcW w:w="375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1E3E800">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highlight w:val="none"/>
              </w:rPr>
              <w:t>42490275.49</w:t>
            </w:r>
          </w:p>
        </w:tc>
      </w:tr>
      <w:tr w14:paraId="294C9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exact"/>
        </w:trPr>
        <w:tc>
          <w:tcPr>
            <w:tcW w:w="166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F1C0D2E">
            <w:pPr>
              <w:pStyle w:val="32"/>
              <w:pageBreakBefore w:val="0"/>
              <w:kinsoku/>
              <w:wordWrap/>
              <w:overflowPunct/>
              <w:topLinePunct w:val="0"/>
              <w:bidi w:val="0"/>
              <w:spacing w:before="6" w:beforeLines="0" w:afterLines="0" w:line="120" w:lineRule="exact"/>
              <w:jc w:val="center"/>
              <w:rPr>
                <w:rFonts w:hint="default" w:ascii="Times New Roman" w:hAnsi="Times New Roman" w:cs="Times New Roman" w:eastAsiaTheme="minorEastAsia"/>
                <w:color w:val="auto"/>
                <w:sz w:val="12"/>
                <w:szCs w:val="24"/>
              </w:rPr>
            </w:pPr>
          </w:p>
          <w:p w14:paraId="18C296E6">
            <w:pPr>
              <w:pStyle w:val="32"/>
              <w:pageBreakBefore w:val="0"/>
              <w:kinsoku/>
              <w:wordWrap/>
              <w:overflowPunct/>
              <w:topLinePunct w:val="0"/>
              <w:bidi w:val="0"/>
              <w:spacing w:beforeLines="0" w:afterLines="0"/>
              <w:ind w:left="743" w:right="765"/>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1"/>
                <w:szCs w:val="24"/>
              </w:rPr>
              <w:t>2</w:t>
            </w:r>
          </w:p>
        </w:tc>
        <w:tc>
          <w:tcPr>
            <w:tcW w:w="37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4DA650A">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highlight w:val="none"/>
              </w:rPr>
              <w:t>5834738.69</w:t>
            </w:r>
          </w:p>
        </w:tc>
        <w:tc>
          <w:tcPr>
            <w:tcW w:w="375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00EEA12">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highlight w:val="none"/>
              </w:rPr>
              <w:t>42490197.45</w:t>
            </w:r>
          </w:p>
        </w:tc>
      </w:tr>
      <w:tr w14:paraId="70CF5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exact"/>
        </w:trPr>
        <w:tc>
          <w:tcPr>
            <w:tcW w:w="166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2051AD6">
            <w:pPr>
              <w:pStyle w:val="32"/>
              <w:pageBreakBefore w:val="0"/>
              <w:kinsoku/>
              <w:wordWrap/>
              <w:overflowPunct/>
              <w:topLinePunct w:val="0"/>
              <w:bidi w:val="0"/>
              <w:spacing w:before="5" w:beforeLines="0" w:afterLines="0" w:line="120" w:lineRule="exact"/>
              <w:jc w:val="center"/>
              <w:rPr>
                <w:rFonts w:hint="default" w:ascii="Times New Roman" w:hAnsi="Times New Roman" w:cs="Times New Roman" w:eastAsiaTheme="minorEastAsia"/>
                <w:color w:val="auto"/>
                <w:sz w:val="12"/>
                <w:szCs w:val="24"/>
              </w:rPr>
            </w:pPr>
          </w:p>
          <w:p w14:paraId="2E301C50">
            <w:pPr>
              <w:pStyle w:val="32"/>
              <w:pageBreakBefore w:val="0"/>
              <w:kinsoku/>
              <w:wordWrap/>
              <w:overflowPunct/>
              <w:topLinePunct w:val="0"/>
              <w:bidi w:val="0"/>
              <w:spacing w:beforeLines="0" w:afterLines="0"/>
              <w:ind w:left="743" w:right="765"/>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1"/>
                <w:szCs w:val="24"/>
              </w:rPr>
              <w:t>3</w:t>
            </w:r>
          </w:p>
        </w:tc>
        <w:tc>
          <w:tcPr>
            <w:tcW w:w="37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7815438">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highlight w:val="none"/>
              </w:rPr>
              <w:t>5834788.58</w:t>
            </w:r>
          </w:p>
        </w:tc>
        <w:tc>
          <w:tcPr>
            <w:tcW w:w="375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EA4746C">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highlight w:val="none"/>
              </w:rPr>
              <w:t>42490310.58</w:t>
            </w:r>
          </w:p>
        </w:tc>
      </w:tr>
      <w:tr w14:paraId="778F1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exact"/>
        </w:trPr>
        <w:tc>
          <w:tcPr>
            <w:tcW w:w="166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2F2D4A7">
            <w:pPr>
              <w:pStyle w:val="32"/>
              <w:pageBreakBefore w:val="0"/>
              <w:kinsoku/>
              <w:wordWrap/>
              <w:overflowPunct/>
              <w:topLinePunct w:val="0"/>
              <w:bidi w:val="0"/>
              <w:spacing w:before="4" w:beforeLines="0" w:afterLines="0" w:line="120" w:lineRule="exact"/>
              <w:jc w:val="center"/>
              <w:rPr>
                <w:rFonts w:hint="default" w:ascii="Times New Roman" w:hAnsi="Times New Roman" w:cs="Times New Roman" w:eastAsiaTheme="minorEastAsia"/>
                <w:color w:val="auto"/>
                <w:sz w:val="12"/>
                <w:szCs w:val="24"/>
              </w:rPr>
            </w:pPr>
          </w:p>
          <w:p w14:paraId="0BFA6DF0">
            <w:pPr>
              <w:pStyle w:val="32"/>
              <w:pageBreakBefore w:val="0"/>
              <w:kinsoku/>
              <w:wordWrap/>
              <w:overflowPunct/>
              <w:topLinePunct w:val="0"/>
              <w:bidi w:val="0"/>
              <w:spacing w:beforeLines="0" w:afterLines="0"/>
              <w:ind w:left="743" w:right="765"/>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1"/>
                <w:szCs w:val="24"/>
              </w:rPr>
              <w:t>4</w:t>
            </w:r>
          </w:p>
        </w:tc>
        <w:tc>
          <w:tcPr>
            <w:tcW w:w="37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48A29E9">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highlight w:val="none"/>
              </w:rPr>
              <w:t>5834616.03</w:t>
            </w:r>
          </w:p>
        </w:tc>
        <w:tc>
          <w:tcPr>
            <w:tcW w:w="375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6B57BD2">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highlight w:val="none"/>
              </w:rPr>
              <w:t>42490397.23</w:t>
            </w:r>
          </w:p>
        </w:tc>
      </w:tr>
      <w:tr w14:paraId="5DFCC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exact"/>
        </w:trPr>
        <w:tc>
          <w:tcPr>
            <w:tcW w:w="166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4F11EC8">
            <w:pPr>
              <w:pStyle w:val="32"/>
              <w:pageBreakBefore w:val="0"/>
              <w:kinsoku/>
              <w:wordWrap/>
              <w:overflowPunct/>
              <w:topLinePunct w:val="0"/>
              <w:bidi w:val="0"/>
              <w:spacing w:before="39" w:beforeLines="0" w:afterLines="0"/>
              <w:ind w:left="328"/>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1"/>
                <w:szCs w:val="24"/>
              </w:rPr>
              <w:t>矿</w:t>
            </w:r>
            <w:r>
              <w:rPr>
                <w:rFonts w:hint="default" w:ascii="Times New Roman" w:hAnsi="Times New Roman" w:cs="Times New Roman" w:eastAsiaTheme="minorEastAsia"/>
                <w:color w:val="auto"/>
                <w:spacing w:val="-68"/>
                <w:sz w:val="21"/>
                <w:szCs w:val="24"/>
              </w:rPr>
              <w:t xml:space="preserve"> </w:t>
            </w:r>
            <w:r>
              <w:rPr>
                <w:rFonts w:hint="default" w:ascii="Times New Roman" w:hAnsi="Times New Roman" w:cs="Times New Roman" w:eastAsiaTheme="minorEastAsia"/>
                <w:color w:val="auto"/>
                <w:sz w:val="21"/>
                <w:szCs w:val="24"/>
              </w:rPr>
              <w:t>区</w:t>
            </w:r>
            <w:r>
              <w:rPr>
                <w:rFonts w:hint="default" w:ascii="Times New Roman" w:hAnsi="Times New Roman" w:cs="Times New Roman" w:eastAsiaTheme="minorEastAsia"/>
                <w:color w:val="auto"/>
                <w:spacing w:val="-70"/>
                <w:sz w:val="21"/>
                <w:szCs w:val="24"/>
              </w:rPr>
              <w:t xml:space="preserve"> </w:t>
            </w:r>
            <w:r>
              <w:rPr>
                <w:rFonts w:hint="default" w:ascii="Times New Roman" w:hAnsi="Times New Roman" w:cs="Times New Roman" w:eastAsiaTheme="minorEastAsia"/>
                <w:color w:val="auto"/>
                <w:sz w:val="21"/>
                <w:szCs w:val="24"/>
              </w:rPr>
              <w:t>面</w:t>
            </w:r>
            <w:r>
              <w:rPr>
                <w:rFonts w:hint="default" w:ascii="Times New Roman" w:hAnsi="Times New Roman" w:cs="Times New Roman" w:eastAsiaTheme="minorEastAsia"/>
                <w:color w:val="auto"/>
                <w:spacing w:val="-68"/>
                <w:sz w:val="21"/>
                <w:szCs w:val="24"/>
              </w:rPr>
              <w:t xml:space="preserve"> </w:t>
            </w:r>
            <w:r>
              <w:rPr>
                <w:rFonts w:hint="default" w:ascii="Times New Roman" w:hAnsi="Times New Roman" w:cs="Times New Roman" w:eastAsiaTheme="minorEastAsia"/>
                <w:color w:val="auto"/>
                <w:sz w:val="21"/>
                <w:szCs w:val="24"/>
              </w:rPr>
              <w:t>积</w:t>
            </w:r>
          </w:p>
        </w:tc>
        <w:tc>
          <w:tcPr>
            <w:tcW w:w="7506"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2FC0FD02">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highlight w:val="none"/>
              </w:rPr>
              <w:t>面 积 ：</w:t>
            </w:r>
            <w:r>
              <w:rPr>
                <w:rFonts w:hint="eastAsia" w:ascii="Times New Roman" w:hAnsi="Times New Roman" w:cs="Times New Roman"/>
                <w:color w:val="auto"/>
                <w:sz w:val="24"/>
                <w:szCs w:val="24"/>
                <w:highlight w:val="none"/>
                <w:lang w:val="en-US" w:eastAsia="zh-CN"/>
              </w:rPr>
              <w:t>24287.2m</w:t>
            </w:r>
            <w:r>
              <w:rPr>
                <w:rFonts w:hint="eastAsia" w:ascii="Times New Roman" w:hAnsi="Times New Roman" w:cs="Times New Roman"/>
                <w:color w:val="auto"/>
                <w:sz w:val="24"/>
                <w:szCs w:val="24"/>
                <w:highlight w:val="none"/>
                <w:vertAlign w:val="superscript"/>
                <w:lang w:val="en-US" w:eastAsia="zh-CN"/>
              </w:rPr>
              <w:t>2</w:t>
            </w:r>
          </w:p>
        </w:tc>
      </w:tr>
      <w:tr w14:paraId="60753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exact"/>
        </w:trPr>
        <w:tc>
          <w:tcPr>
            <w:tcW w:w="166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B2C5BD7">
            <w:pPr>
              <w:pStyle w:val="32"/>
              <w:pageBreakBefore w:val="0"/>
              <w:kinsoku/>
              <w:wordWrap/>
              <w:overflowPunct/>
              <w:topLinePunct w:val="0"/>
              <w:bidi w:val="0"/>
              <w:spacing w:before="41" w:beforeLines="0" w:afterLines="0"/>
              <w:ind w:left="328"/>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1"/>
                <w:szCs w:val="24"/>
              </w:rPr>
              <w:t>开</w:t>
            </w:r>
            <w:r>
              <w:rPr>
                <w:rFonts w:hint="default" w:ascii="Times New Roman" w:hAnsi="Times New Roman" w:cs="Times New Roman" w:eastAsiaTheme="minorEastAsia"/>
                <w:color w:val="auto"/>
                <w:spacing w:val="-68"/>
                <w:sz w:val="21"/>
                <w:szCs w:val="24"/>
              </w:rPr>
              <w:t xml:space="preserve"> </w:t>
            </w:r>
            <w:r>
              <w:rPr>
                <w:rFonts w:hint="default" w:ascii="Times New Roman" w:hAnsi="Times New Roman" w:cs="Times New Roman" w:eastAsiaTheme="minorEastAsia"/>
                <w:color w:val="auto"/>
                <w:sz w:val="21"/>
                <w:szCs w:val="24"/>
              </w:rPr>
              <w:t>采</w:t>
            </w:r>
            <w:r>
              <w:rPr>
                <w:rFonts w:hint="default" w:ascii="Times New Roman" w:hAnsi="Times New Roman" w:cs="Times New Roman" w:eastAsiaTheme="minorEastAsia"/>
                <w:color w:val="auto"/>
                <w:spacing w:val="-70"/>
                <w:sz w:val="21"/>
                <w:szCs w:val="24"/>
              </w:rPr>
              <w:t xml:space="preserve"> </w:t>
            </w:r>
            <w:r>
              <w:rPr>
                <w:rFonts w:hint="default" w:ascii="Times New Roman" w:hAnsi="Times New Roman" w:cs="Times New Roman" w:eastAsiaTheme="minorEastAsia"/>
                <w:color w:val="auto"/>
                <w:sz w:val="21"/>
                <w:szCs w:val="24"/>
              </w:rPr>
              <w:t>标</w:t>
            </w:r>
            <w:r>
              <w:rPr>
                <w:rFonts w:hint="default" w:ascii="Times New Roman" w:hAnsi="Times New Roman" w:cs="Times New Roman" w:eastAsiaTheme="minorEastAsia"/>
                <w:color w:val="auto"/>
                <w:spacing w:val="-68"/>
                <w:sz w:val="21"/>
                <w:szCs w:val="24"/>
              </w:rPr>
              <w:t xml:space="preserve"> </w:t>
            </w:r>
            <w:r>
              <w:rPr>
                <w:rFonts w:hint="default" w:ascii="Times New Roman" w:hAnsi="Times New Roman" w:cs="Times New Roman" w:eastAsiaTheme="minorEastAsia"/>
                <w:color w:val="auto"/>
                <w:sz w:val="21"/>
                <w:szCs w:val="24"/>
              </w:rPr>
              <w:t>高</w:t>
            </w:r>
          </w:p>
        </w:tc>
        <w:tc>
          <w:tcPr>
            <w:tcW w:w="7506"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38BD3FFA">
            <w:pPr>
              <w:pStyle w:val="32"/>
              <w:pageBreakBefore w:val="0"/>
              <w:kinsoku/>
              <w:wordWrap/>
              <w:overflowPunct/>
              <w:topLinePunct w:val="0"/>
              <w:bidi w:val="0"/>
              <w:spacing w:before="41" w:beforeLines="0" w:afterLines="0"/>
              <w:ind w:right="21"/>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highlight w:val="none"/>
              </w:rPr>
              <w:t>332.5m—297m</w:t>
            </w:r>
          </w:p>
        </w:tc>
      </w:tr>
      <w:tr w14:paraId="73583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exact"/>
        </w:trPr>
        <w:tc>
          <w:tcPr>
            <w:tcW w:w="166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1116BAC">
            <w:pPr>
              <w:pStyle w:val="32"/>
              <w:pageBreakBefore w:val="0"/>
              <w:kinsoku/>
              <w:wordWrap/>
              <w:overflowPunct/>
              <w:topLinePunct w:val="0"/>
              <w:bidi w:val="0"/>
              <w:spacing w:before="41" w:beforeLines="0" w:afterLines="0"/>
              <w:jc w:val="center"/>
              <w:rPr>
                <w:rFonts w:hint="default" w:ascii="Times New Roman" w:hAnsi="Times New Roman" w:cs="Times New Roman" w:eastAsiaTheme="minorEastAsia"/>
                <w:color w:val="auto"/>
                <w:sz w:val="21"/>
                <w:szCs w:val="24"/>
              </w:rPr>
            </w:pPr>
            <w:r>
              <w:rPr>
                <w:rFonts w:hint="default" w:ascii="Times New Roman" w:hAnsi="Times New Roman" w:cs="Times New Roman" w:eastAsiaTheme="minorEastAsia"/>
                <w:color w:val="auto"/>
                <w:sz w:val="21"/>
                <w:szCs w:val="24"/>
                <w:lang w:val="en-US" w:eastAsia="zh-CN"/>
              </w:rPr>
              <w:t>露天剥离标高</w:t>
            </w:r>
          </w:p>
        </w:tc>
        <w:tc>
          <w:tcPr>
            <w:tcW w:w="7506"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64EE30B9">
            <w:pPr>
              <w:pStyle w:val="32"/>
              <w:pageBreakBefore w:val="0"/>
              <w:kinsoku/>
              <w:wordWrap/>
              <w:overflowPunct/>
              <w:topLinePunct w:val="0"/>
              <w:bidi w:val="0"/>
              <w:spacing w:before="41" w:beforeLines="0" w:afterLines="0"/>
              <w:ind w:right="21"/>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332.5m—297m</w:t>
            </w:r>
          </w:p>
        </w:tc>
      </w:tr>
    </w:tbl>
    <w:p w14:paraId="5FAB52F1">
      <w:pPr>
        <w:pageBreakBefore w:val="0"/>
        <w:widowControl w:val="0"/>
        <w:numPr>
          <w:ilvl w:val="0"/>
          <w:numId w:val="0"/>
        </w:numPr>
        <w:kinsoku/>
        <w:wordWrap/>
        <w:overflowPunct/>
        <w:topLinePunct w:val="0"/>
        <w:bidi w:val="0"/>
        <w:jc w:val="both"/>
        <w:rPr>
          <w:rFonts w:hint="default" w:ascii="Times New Roman" w:hAnsi="Times New Roman" w:cs="Times New Roman" w:eastAsiaTheme="minorEastAsia"/>
          <w:color w:val="auto"/>
          <w:lang w:val="en-US" w:eastAsia="zh-CN"/>
        </w:rPr>
      </w:pPr>
    </w:p>
    <w:p w14:paraId="40B14933">
      <w:pPr>
        <w:pStyle w:val="2"/>
        <w:pageBreakBefore w:val="0"/>
        <w:kinsoku/>
        <w:wordWrap/>
        <w:overflowPunct/>
        <w:topLinePunct w:val="0"/>
        <w:bidi w:val="0"/>
        <w:spacing w:beforeLines="50" w:afterLines="50" w:line="360" w:lineRule="auto"/>
        <w:jc w:val="center"/>
        <w:rPr>
          <w:rFonts w:hint="default" w:ascii="黑体" w:hAnsi="黑体" w:eastAsia="黑体" w:cs="黑体"/>
          <w:b w:val="0"/>
          <w:color w:val="auto"/>
          <w:sz w:val="32"/>
          <w:szCs w:val="32"/>
          <w:highlight w:val="none"/>
          <w:lang w:val="en-US" w:eastAsia="zh-CN"/>
        </w:rPr>
      </w:pPr>
      <w:bookmarkStart w:id="68" w:name="_Toc25566"/>
      <w:r>
        <w:rPr>
          <w:rFonts w:hint="eastAsia" w:ascii="黑体" w:hAnsi="黑体" w:eastAsia="黑体" w:cs="黑体"/>
          <w:b w:val="0"/>
          <w:color w:val="auto"/>
          <w:sz w:val="32"/>
          <w:szCs w:val="32"/>
          <w:highlight w:val="none"/>
          <w:lang w:val="en-US" w:eastAsia="zh-CN"/>
        </w:rPr>
        <w:t xml:space="preserve">第四章 </w:t>
      </w:r>
      <w:r>
        <w:rPr>
          <w:rFonts w:hint="default" w:ascii="黑体" w:hAnsi="黑体" w:eastAsia="黑体" w:cs="黑体"/>
          <w:b w:val="0"/>
          <w:color w:val="auto"/>
          <w:sz w:val="32"/>
          <w:szCs w:val="32"/>
          <w:highlight w:val="none"/>
          <w:lang w:val="en-US" w:eastAsia="zh-CN"/>
        </w:rPr>
        <w:t>矿产资源开采与综合利用</w:t>
      </w:r>
      <w:bookmarkEnd w:id="68"/>
    </w:p>
    <w:p w14:paraId="32C5EDB5">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69" w:name="_Toc21118"/>
      <w:bookmarkStart w:id="70" w:name="_Toc25714"/>
      <w:bookmarkStart w:id="71" w:name="_Toc24866"/>
      <w:bookmarkStart w:id="72" w:name="_Toc23166"/>
      <w:bookmarkStart w:id="73" w:name="_Toc167307749"/>
      <w:r>
        <w:rPr>
          <w:rFonts w:hint="default" w:ascii="Times New Roman" w:hAnsi="Times New Roman" w:cs="Times New Roman" w:eastAsiaTheme="minorEastAsia"/>
          <w:color w:val="auto"/>
          <w:sz w:val="30"/>
          <w:szCs w:val="30"/>
          <w:highlight w:val="none"/>
          <w:lang w:val="en-US" w:eastAsia="zh-CN"/>
        </w:rPr>
        <w:t>一、开采矿种</w:t>
      </w:r>
      <w:bookmarkEnd w:id="69"/>
      <w:bookmarkEnd w:id="70"/>
      <w:bookmarkEnd w:id="71"/>
      <w:bookmarkEnd w:id="72"/>
      <w:bookmarkEnd w:id="73"/>
    </w:p>
    <w:p w14:paraId="4EAC7FB9">
      <w:pPr>
        <w:pageBreakBefore w:val="0"/>
        <w:kinsoku/>
        <w:wordWrap/>
        <w:overflowPunct/>
        <w:topLinePunct w:val="0"/>
        <w:bidi w:val="0"/>
        <w:spacing w:line="360" w:lineRule="auto"/>
        <w:ind w:firstLine="560" w:firstLineChars="200"/>
        <w:jc w:val="left"/>
        <w:rPr>
          <w:rFonts w:hint="eastAsia" w:ascii="宋体" w:hAnsi="宋体" w:eastAsia="宋体" w:cs="Times New Roman"/>
          <w:b/>
          <w:bCs w:val="0"/>
          <w:color w:val="auto"/>
          <w:sz w:val="28"/>
          <w:szCs w:val="28"/>
          <w:lang w:val="en-US" w:eastAsia="zh-CN"/>
        </w:rPr>
      </w:pPr>
      <w:r>
        <w:rPr>
          <w:rFonts w:hint="default" w:ascii="宋体" w:hAnsi="宋体" w:eastAsia="宋体" w:cs="Times New Roman"/>
          <w:color w:val="auto"/>
          <w:sz w:val="28"/>
          <w:szCs w:val="28"/>
        </w:rPr>
        <w:t>根据《大兴安岭地区呼玛县JH项目鸥浦乡配套采石场建筑用凝灰岩矿</w:t>
      </w:r>
      <w:r>
        <w:rPr>
          <w:rFonts w:hint="default" w:ascii="宋体" w:hAnsi="宋体" w:eastAsia="宋体" w:cs="Times New Roman"/>
          <w:color w:val="auto"/>
          <w:sz w:val="28"/>
          <w:szCs w:val="28"/>
          <w:lang w:val="en-US" w:eastAsia="zh-CN"/>
        </w:rPr>
        <w:t>矿产</w:t>
      </w:r>
      <w:r>
        <w:rPr>
          <w:rFonts w:hint="default" w:ascii="宋体" w:hAnsi="宋体" w:eastAsia="宋体" w:cs="Times New Roman"/>
          <w:color w:val="auto"/>
          <w:sz w:val="28"/>
          <w:szCs w:val="28"/>
        </w:rPr>
        <w:t>资源储量核实报告》</w:t>
      </w:r>
      <w:r>
        <w:rPr>
          <w:rFonts w:hint="eastAsia" w:ascii="宋体" w:hAnsi="宋体" w:eastAsia="宋体" w:cs="Times New Roman"/>
          <w:color w:val="auto"/>
          <w:sz w:val="28"/>
          <w:szCs w:val="28"/>
          <w:lang w:eastAsia="zh-CN"/>
        </w:rPr>
        <w:t>，</w:t>
      </w:r>
      <w:r>
        <w:rPr>
          <w:rFonts w:hint="eastAsia"/>
          <w:color w:val="auto"/>
          <w:sz w:val="28"/>
          <w:szCs w:val="24"/>
        </w:rPr>
        <w:t>开</w:t>
      </w:r>
      <w:r>
        <w:rPr>
          <w:rFonts w:hint="eastAsia"/>
          <w:color w:val="auto"/>
          <w:spacing w:val="-90"/>
          <w:sz w:val="28"/>
          <w:szCs w:val="24"/>
        </w:rPr>
        <w:t xml:space="preserve"> </w:t>
      </w:r>
      <w:r>
        <w:rPr>
          <w:rFonts w:hint="eastAsia"/>
          <w:color w:val="auto"/>
          <w:sz w:val="28"/>
          <w:szCs w:val="24"/>
        </w:rPr>
        <w:t>采区</w:t>
      </w:r>
      <w:r>
        <w:rPr>
          <w:rFonts w:hint="eastAsia"/>
          <w:color w:val="auto"/>
          <w:spacing w:val="-102"/>
          <w:sz w:val="28"/>
          <w:szCs w:val="24"/>
        </w:rPr>
        <w:t xml:space="preserve"> </w:t>
      </w:r>
      <w:r>
        <w:rPr>
          <w:rFonts w:hint="eastAsia"/>
          <w:color w:val="auto"/>
          <w:sz w:val="28"/>
          <w:szCs w:val="24"/>
        </w:rPr>
        <w:t>域</w:t>
      </w:r>
      <w:r>
        <w:rPr>
          <w:rFonts w:hint="eastAsia"/>
          <w:color w:val="auto"/>
          <w:spacing w:val="-105"/>
          <w:sz w:val="28"/>
          <w:szCs w:val="24"/>
        </w:rPr>
        <w:t xml:space="preserve"> </w:t>
      </w:r>
      <w:r>
        <w:rPr>
          <w:rFonts w:hint="eastAsia"/>
          <w:color w:val="auto"/>
          <w:sz w:val="28"/>
          <w:szCs w:val="24"/>
        </w:rPr>
        <w:t>内</w:t>
      </w:r>
      <w:r>
        <w:rPr>
          <w:rFonts w:hint="eastAsia"/>
          <w:color w:val="auto"/>
          <w:spacing w:val="-102"/>
          <w:sz w:val="28"/>
          <w:szCs w:val="24"/>
        </w:rPr>
        <w:t xml:space="preserve"> </w:t>
      </w:r>
      <w:r>
        <w:rPr>
          <w:rFonts w:hint="eastAsia"/>
          <w:color w:val="auto"/>
          <w:sz w:val="28"/>
          <w:szCs w:val="24"/>
        </w:rPr>
        <w:t>岩</w:t>
      </w:r>
      <w:r>
        <w:rPr>
          <w:rFonts w:hint="eastAsia"/>
          <w:color w:val="auto"/>
          <w:spacing w:val="-102"/>
          <w:sz w:val="28"/>
          <w:szCs w:val="24"/>
        </w:rPr>
        <w:t xml:space="preserve"> </w:t>
      </w:r>
      <w:r>
        <w:rPr>
          <w:rFonts w:hint="eastAsia"/>
          <w:color w:val="auto"/>
          <w:sz w:val="28"/>
          <w:szCs w:val="24"/>
        </w:rPr>
        <w:t>性</w:t>
      </w:r>
      <w:r>
        <w:rPr>
          <w:rFonts w:hint="eastAsia"/>
          <w:color w:val="auto"/>
          <w:spacing w:val="-102"/>
          <w:sz w:val="28"/>
          <w:szCs w:val="24"/>
        </w:rPr>
        <w:t xml:space="preserve"> </w:t>
      </w:r>
      <w:r>
        <w:rPr>
          <w:rFonts w:hint="eastAsia"/>
          <w:color w:val="auto"/>
          <w:sz w:val="28"/>
          <w:szCs w:val="24"/>
        </w:rPr>
        <w:t>单</w:t>
      </w:r>
      <w:r>
        <w:rPr>
          <w:rFonts w:hint="eastAsia"/>
          <w:color w:val="auto"/>
          <w:spacing w:val="-105"/>
          <w:sz w:val="28"/>
          <w:szCs w:val="24"/>
        </w:rPr>
        <w:t xml:space="preserve"> </w:t>
      </w:r>
      <w:r>
        <w:rPr>
          <w:rFonts w:hint="eastAsia"/>
          <w:color w:val="auto"/>
          <w:sz w:val="28"/>
          <w:szCs w:val="24"/>
        </w:rPr>
        <w:t>一</w:t>
      </w:r>
      <w:r>
        <w:rPr>
          <w:rFonts w:hint="eastAsia"/>
          <w:color w:val="auto"/>
          <w:spacing w:val="-100"/>
          <w:sz w:val="28"/>
          <w:szCs w:val="24"/>
        </w:rPr>
        <w:t xml:space="preserve"> </w:t>
      </w:r>
      <w:r>
        <w:rPr>
          <w:rFonts w:hint="eastAsia"/>
          <w:color w:val="auto"/>
          <w:sz w:val="28"/>
          <w:szCs w:val="24"/>
        </w:rPr>
        <w:t>，</w:t>
      </w:r>
      <w:r>
        <w:rPr>
          <w:rFonts w:hint="eastAsia"/>
          <w:color w:val="auto"/>
          <w:spacing w:val="-105"/>
          <w:sz w:val="28"/>
          <w:szCs w:val="24"/>
        </w:rPr>
        <w:t xml:space="preserve"> </w:t>
      </w:r>
      <w:r>
        <w:rPr>
          <w:rFonts w:hint="eastAsia"/>
          <w:color w:val="auto"/>
          <w:sz w:val="28"/>
          <w:szCs w:val="24"/>
        </w:rPr>
        <w:t>开</w:t>
      </w:r>
      <w:r>
        <w:rPr>
          <w:rFonts w:hint="eastAsia"/>
          <w:color w:val="auto"/>
          <w:spacing w:val="-102"/>
          <w:sz w:val="28"/>
          <w:szCs w:val="24"/>
        </w:rPr>
        <w:t xml:space="preserve"> </w:t>
      </w:r>
      <w:r>
        <w:rPr>
          <w:rFonts w:hint="eastAsia"/>
          <w:color w:val="auto"/>
          <w:sz w:val="28"/>
          <w:szCs w:val="24"/>
        </w:rPr>
        <w:t>采</w:t>
      </w:r>
      <w:r>
        <w:rPr>
          <w:rFonts w:hint="eastAsia"/>
          <w:color w:val="auto"/>
          <w:spacing w:val="-102"/>
          <w:sz w:val="28"/>
          <w:szCs w:val="24"/>
        </w:rPr>
        <w:t xml:space="preserve"> </w:t>
      </w:r>
      <w:r>
        <w:rPr>
          <w:rFonts w:hint="eastAsia"/>
          <w:color w:val="auto"/>
          <w:sz w:val="28"/>
          <w:szCs w:val="24"/>
        </w:rPr>
        <w:t>矿</w:t>
      </w:r>
      <w:r>
        <w:rPr>
          <w:rFonts w:hint="eastAsia"/>
          <w:color w:val="auto"/>
          <w:spacing w:val="-102"/>
          <w:sz w:val="28"/>
          <w:szCs w:val="24"/>
        </w:rPr>
        <w:t xml:space="preserve"> </w:t>
      </w:r>
      <w:r>
        <w:rPr>
          <w:rFonts w:hint="eastAsia"/>
          <w:color w:val="auto"/>
          <w:sz w:val="28"/>
          <w:szCs w:val="24"/>
        </w:rPr>
        <w:t>种</w:t>
      </w:r>
      <w:r>
        <w:rPr>
          <w:rFonts w:hint="eastAsia"/>
          <w:color w:val="auto"/>
          <w:spacing w:val="-105"/>
          <w:sz w:val="28"/>
          <w:szCs w:val="24"/>
        </w:rPr>
        <w:t xml:space="preserve"> </w:t>
      </w:r>
      <w:r>
        <w:rPr>
          <w:rFonts w:hint="eastAsia"/>
          <w:color w:val="auto"/>
          <w:sz w:val="28"/>
          <w:szCs w:val="24"/>
        </w:rPr>
        <w:t>为</w:t>
      </w:r>
      <w:r>
        <w:rPr>
          <w:rFonts w:hint="eastAsia"/>
          <w:color w:val="auto"/>
          <w:spacing w:val="-102"/>
          <w:sz w:val="28"/>
          <w:szCs w:val="24"/>
        </w:rPr>
        <w:t xml:space="preserve"> </w:t>
      </w:r>
      <w:r>
        <w:rPr>
          <w:rFonts w:hint="eastAsia"/>
          <w:color w:val="auto"/>
          <w:sz w:val="28"/>
          <w:szCs w:val="24"/>
        </w:rPr>
        <w:t>建</w:t>
      </w:r>
      <w:r>
        <w:rPr>
          <w:rFonts w:hint="eastAsia"/>
          <w:color w:val="auto"/>
          <w:spacing w:val="-102"/>
          <w:sz w:val="28"/>
          <w:szCs w:val="24"/>
        </w:rPr>
        <w:t xml:space="preserve"> </w:t>
      </w:r>
      <w:r>
        <w:rPr>
          <w:rFonts w:hint="eastAsia" w:ascii="宋体" w:hAnsi="宋体" w:eastAsia="宋体" w:cs="Times New Roman"/>
          <w:color w:val="auto"/>
          <w:sz w:val="28"/>
          <w:szCs w:val="28"/>
        </w:rPr>
        <w:t>筑用凝灰岩</w:t>
      </w:r>
      <w:r>
        <w:rPr>
          <w:rFonts w:hint="eastAsia" w:ascii="宋体" w:hAnsi="宋体" w:eastAsia="宋体" w:cs="Times New Roman"/>
          <w:color w:val="auto"/>
          <w:sz w:val="28"/>
          <w:szCs w:val="28"/>
          <w:lang w:eastAsia="zh-CN"/>
        </w:rPr>
        <w:t>，</w:t>
      </w:r>
      <w:r>
        <w:rPr>
          <w:rFonts w:hint="eastAsia" w:ascii="宋体" w:hAnsi="宋体" w:eastAsia="宋体" w:cs="Times New Roman"/>
          <w:color w:val="auto"/>
          <w:sz w:val="28"/>
          <w:szCs w:val="28"/>
          <w:lang w:val="en-US" w:eastAsia="zh-CN"/>
        </w:rPr>
        <w:t>无</w:t>
      </w:r>
      <w:r>
        <w:rPr>
          <w:rFonts w:hint="eastAsia" w:ascii="宋体" w:hAnsi="宋体" w:eastAsia="宋体" w:cs="Times New Roman"/>
          <w:color w:val="auto"/>
          <w:sz w:val="28"/>
          <w:szCs w:val="28"/>
        </w:rPr>
        <w:t>共</w:t>
      </w:r>
      <w:r>
        <w:rPr>
          <w:rFonts w:hint="eastAsia" w:ascii="宋体" w:hAnsi="宋体" w:eastAsia="宋体" w:cs="Times New Roman"/>
          <w:color w:val="auto"/>
          <w:sz w:val="28"/>
          <w:szCs w:val="28"/>
          <w:lang w:val="en-US" w:eastAsia="zh-CN"/>
        </w:rPr>
        <w:t>生、</w:t>
      </w:r>
      <w:r>
        <w:rPr>
          <w:rFonts w:hint="eastAsia" w:ascii="宋体" w:hAnsi="宋体" w:eastAsia="宋体" w:cs="Times New Roman"/>
          <w:color w:val="auto"/>
          <w:sz w:val="28"/>
          <w:szCs w:val="28"/>
        </w:rPr>
        <w:t>伴生</w:t>
      </w:r>
      <w:r>
        <w:rPr>
          <w:rFonts w:hint="eastAsia" w:ascii="宋体" w:hAnsi="宋体" w:eastAsia="宋体" w:cs="Times New Roman"/>
          <w:color w:val="auto"/>
          <w:sz w:val="28"/>
          <w:szCs w:val="28"/>
          <w:lang w:val="en-US" w:eastAsia="zh-CN"/>
        </w:rPr>
        <w:t>矿产</w:t>
      </w:r>
      <w:r>
        <w:rPr>
          <w:rFonts w:hint="eastAsia" w:ascii="宋体" w:hAnsi="宋体" w:eastAsia="宋体" w:cs="Times New Roman"/>
          <w:color w:val="auto"/>
          <w:sz w:val="28"/>
          <w:szCs w:val="28"/>
          <w:lang w:eastAsia="zh-CN"/>
        </w:rPr>
        <w:t>。</w:t>
      </w:r>
    </w:p>
    <w:p w14:paraId="67410813">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74" w:name="_Toc17704"/>
      <w:bookmarkStart w:id="75" w:name="_Toc167307750"/>
      <w:bookmarkStart w:id="76" w:name="_Toc22266"/>
      <w:bookmarkStart w:id="77" w:name="_Toc8683"/>
      <w:bookmarkStart w:id="78" w:name="_Toc1664"/>
      <w:r>
        <w:rPr>
          <w:rFonts w:hint="default" w:ascii="Times New Roman" w:hAnsi="Times New Roman" w:cs="Times New Roman" w:eastAsiaTheme="minorEastAsia"/>
          <w:color w:val="auto"/>
          <w:sz w:val="30"/>
          <w:szCs w:val="30"/>
          <w:highlight w:val="none"/>
          <w:lang w:val="en-US" w:eastAsia="zh-CN"/>
        </w:rPr>
        <w:t>二、开采方式</w:t>
      </w:r>
      <w:bookmarkEnd w:id="74"/>
      <w:bookmarkEnd w:id="75"/>
      <w:bookmarkEnd w:id="76"/>
      <w:bookmarkEnd w:id="77"/>
      <w:bookmarkEnd w:id="78"/>
    </w:p>
    <w:p w14:paraId="64CE5A4C">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本矿区矿体埋藏浅，水文、工程、环境地质条件简单，适宜采用露天开采方式。矿体位于区域侵蚀基准面以上，无地表水影响，矿区地下水富水性弱，自然排水条件良好，矿坑充水因素简单。矿区岩性单一，岩体整体稳定，采场边坡稳定性好，工程地质条件属简单型。区域地震烈度低，地质环境质量良好，无不良地质灾害隐患，露天开采安全可行、技术合理。为减少生态损毁，开采严格控制作业范围，规范边坡开挖、做好防护排水，及时清理弃渣，同步开展表土剥离养护，开采后及时回填复垦、恢复植被，有效降低开发对地质环境、土地及植被的破坏。</w:t>
      </w:r>
    </w:p>
    <w:p w14:paraId="44F12247">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eastAsia" w:cs="Times New Roman" w:eastAsiaTheme="minorEastAsia"/>
          <w:color w:val="auto"/>
          <w:sz w:val="28"/>
          <w:szCs w:val="28"/>
          <w:highlight w:val="none"/>
          <w:lang w:val="en-US" w:eastAsia="zh-CN"/>
        </w:rPr>
        <w:t>综上所述，本设计采用开采方式为</w:t>
      </w:r>
      <w:r>
        <w:rPr>
          <w:rFonts w:hint="default" w:ascii="Times New Roman" w:hAnsi="Times New Roman" w:cs="Times New Roman" w:eastAsiaTheme="minorEastAsia"/>
          <w:color w:val="auto"/>
          <w:sz w:val="28"/>
          <w:szCs w:val="28"/>
          <w:highlight w:val="none"/>
          <w:lang w:val="en-US" w:eastAsia="zh-CN"/>
        </w:rPr>
        <w:t>露天开采</w:t>
      </w:r>
      <w:r>
        <w:rPr>
          <w:rFonts w:hint="eastAsia" w:cs="Times New Roman" w:eastAsiaTheme="minorEastAsia"/>
          <w:color w:val="auto"/>
          <w:sz w:val="28"/>
          <w:szCs w:val="28"/>
          <w:highlight w:val="none"/>
          <w:lang w:val="en-US" w:eastAsia="zh-CN"/>
        </w:rPr>
        <w:t>。</w:t>
      </w:r>
    </w:p>
    <w:p w14:paraId="67CBA68B">
      <w:pPr>
        <w:pageBreakBefore w:val="0"/>
        <w:kinsoku/>
        <w:wordWrap/>
        <w:overflowPunct/>
        <w:topLinePunct w:val="0"/>
        <w:bidi w:val="0"/>
        <w:spacing w:line="360" w:lineRule="auto"/>
        <w:ind w:firstLine="562" w:firstLineChars="200"/>
        <w:rPr>
          <w:rFonts w:hint="eastAsia" w:ascii="Times New Roman" w:hAnsi="Times New Roman" w:cs="Times New Roman" w:eastAsiaTheme="minorEastAsia"/>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1、</w:t>
      </w:r>
      <w:r>
        <w:rPr>
          <w:rFonts w:hint="eastAsia" w:ascii="Times New Roman" w:hAnsi="Times New Roman" w:cs="Times New Roman" w:eastAsiaTheme="minorEastAsia"/>
          <w:b/>
          <w:bCs/>
          <w:color w:val="auto"/>
          <w:sz w:val="28"/>
          <w:szCs w:val="28"/>
          <w:highlight w:val="none"/>
          <w:lang w:val="en-US" w:eastAsia="zh-CN"/>
        </w:rPr>
        <w:t>破岩方式</w:t>
      </w:r>
    </w:p>
    <w:p w14:paraId="6C3C15A6">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cs="Times New Roman" w:eastAsiaTheme="minorEastAsia"/>
          <w:color w:val="auto"/>
          <w:sz w:val="28"/>
          <w:szCs w:val="28"/>
          <w:highlight w:val="none"/>
          <w:lang w:val="en-US" w:eastAsia="zh-CN"/>
        </w:rPr>
      </w:pPr>
      <w:r>
        <w:rPr>
          <w:rFonts w:hint="eastAsia" w:cs="Times New Roman" w:eastAsiaTheme="minorEastAsia"/>
          <w:color w:val="auto"/>
          <w:sz w:val="28"/>
          <w:szCs w:val="28"/>
          <w:highlight w:val="none"/>
          <w:lang w:val="en-US" w:eastAsia="zh-CN"/>
        </w:rPr>
        <w:t>本矿区位于大兴安岭呼玛县林区，开采矿体为建筑用凝灰岩，依据区域地质勘查资料，矿区新鲜完整凝灰岩岩质致密坚硬、节理裂隙较不发育，岩体完整性较好，岩石单轴饱和抗压强度 60～85MPa，按岩体坚硬程度划分属于较硬岩～坚硬岩；表层岩体风化程度不一，风化层强度显著降低。</w:t>
      </w:r>
    </w:p>
    <w:p w14:paraId="63D8679A">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cs="Times New Roman" w:eastAsiaTheme="minorEastAsia"/>
          <w:color w:val="auto"/>
          <w:sz w:val="28"/>
          <w:szCs w:val="28"/>
          <w:highlight w:val="none"/>
          <w:lang w:val="en-US" w:eastAsia="zh-CN"/>
        </w:rPr>
      </w:pPr>
      <w:r>
        <w:rPr>
          <w:rFonts w:hint="eastAsia" w:cs="Times New Roman" w:eastAsiaTheme="minorEastAsia"/>
          <w:color w:val="auto"/>
          <w:sz w:val="28"/>
          <w:szCs w:val="28"/>
          <w:highlight w:val="none"/>
          <w:lang w:val="en-US" w:eastAsia="zh-CN"/>
        </w:rPr>
        <w:t>综合岩体力学特性、呼玛当地林区防火管控政策、环保降噪降尘要求，本矿采用静态机械破碎破岩工艺。施工采取分层差异化开挖：表层风化岩层岩体破碎、强度较低，采用挖掘机直接挖装作业；下部完整坚硬凝灰岩岩体，无法直接挖掘，采用液压破碎锤实施静态破碎作业。破碎合格石料经挖掘机铲装、汽车转运至破碎筛分车间深加工。</w:t>
      </w:r>
    </w:p>
    <w:p w14:paraId="14103B5C">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cs="Times New Roman" w:eastAsiaTheme="minorEastAsia"/>
          <w:color w:val="auto"/>
          <w:sz w:val="28"/>
          <w:szCs w:val="28"/>
          <w:highlight w:val="none"/>
          <w:lang w:val="en-US" w:eastAsia="zh-CN"/>
        </w:rPr>
      </w:pPr>
      <w:r>
        <w:rPr>
          <w:rFonts w:hint="eastAsia" w:cs="Times New Roman" w:eastAsiaTheme="minorEastAsia"/>
          <w:color w:val="auto"/>
          <w:sz w:val="28"/>
          <w:szCs w:val="28"/>
          <w:highlight w:val="none"/>
          <w:lang w:val="en-US" w:eastAsia="zh-CN"/>
        </w:rPr>
        <w:t>方案合理性论述：完整凝灰岩属坚硬岩体，若采用单纯挖掘机开挖难以奏效；对比爆破、静态膨胀剂、液压破碎锤三种工艺，爆破受林区安全与防火政策限制不予采用；静态膨胀剂施工效率低，难以匹配露天矿山持续开采规模；选用液压破碎锤静态破碎，工艺成熟，无爆破振动、飞石安全隐患，作业噪声、扬尘可通过洒水抑尘、限时作业等环保措施有效管控，契合呼玛林区露天矿山生态保护、安全生产相关管控要求。该破岩方式与本矿区凝灰岩岩体硬度条件相适配，兼顾开采效率、安全风险防控与区域生态环保要求，方案选择具备充分技术可行性与合规合理性。</w:t>
      </w:r>
    </w:p>
    <w:p w14:paraId="3A70ED88">
      <w:pPr>
        <w:pageBreakBefore w:val="0"/>
        <w:kinsoku/>
        <w:wordWrap/>
        <w:overflowPunct/>
        <w:topLinePunct w:val="0"/>
        <w:bidi w:val="0"/>
        <w:spacing w:line="360" w:lineRule="auto"/>
        <w:ind w:firstLine="562" w:firstLineChars="200"/>
        <w:rPr>
          <w:rFonts w:hint="default" w:ascii="Times New Roman" w:hAnsi="Times New Roman" w:cs="Times New Roman" w:eastAsiaTheme="minorEastAsia"/>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2</w:t>
      </w:r>
      <w:r>
        <w:rPr>
          <w:rFonts w:hint="eastAsia" w:ascii="Times New Roman" w:hAnsi="Times New Roman" w:cs="Times New Roman" w:eastAsiaTheme="minorEastAsia"/>
          <w:b/>
          <w:bCs/>
          <w:color w:val="auto"/>
          <w:sz w:val="28"/>
          <w:szCs w:val="28"/>
          <w:highlight w:val="none"/>
          <w:lang w:val="en-US" w:eastAsia="zh-CN"/>
        </w:rPr>
        <w:t>、</w:t>
      </w:r>
      <w:r>
        <w:rPr>
          <w:rFonts w:hint="default" w:ascii="Times New Roman" w:hAnsi="Times New Roman" w:cs="Times New Roman" w:eastAsiaTheme="minorEastAsia"/>
          <w:b/>
          <w:bCs/>
          <w:color w:val="auto"/>
          <w:sz w:val="28"/>
          <w:szCs w:val="28"/>
          <w:highlight w:val="none"/>
          <w:lang w:val="en-US" w:eastAsia="zh-CN"/>
        </w:rPr>
        <w:t>矿区开采顺序初步考虑</w:t>
      </w:r>
    </w:p>
    <w:p w14:paraId="3411362F">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结合矿区丘陵地形特征、矿体赋存特点及露天开采工艺要求，本矿山采用沿山坡由高向低、自上而下分段台阶式开采顺序。整体遵循先剥离、后采矿的作业原则，优先完成采场顶部覆盖层剥离作业，再开展矿体台阶采掘施工。</w:t>
      </w:r>
    </w:p>
    <w:p w14:paraId="09696645">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本次开采共设置3个终了开采平台，首采平台标高+321m，接续开采平台标高+309m，底部平台标高+297m。设计单台阶高度6m，开采终了每2个台阶并段，并段后台阶高度12m，平台间高差12m。开采过程自上而下逐级推进、逐台阶平整作业，各台阶依次轮流开采，作业流程有序衔接，可有效保障开采作业安全，适配公路开拓、汽车运输的开采方案，整体开采工艺简单、作业效率高、生产连续性强。</w:t>
      </w:r>
    </w:p>
    <w:p w14:paraId="5C849C77">
      <w:pPr>
        <w:pageBreakBefore w:val="0"/>
        <w:kinsoku/>
        <w:wordWrap/>
        <w:overflowPunct/>
        <w:topLinePunct w:val="0"/>
        <w:bidi w:val="0"/>
        <w:spacing w:line="360" w:lineRule="auto"/>
        <w:ind w:firstLine="562" w:firstLineChars="200"/>
        <w:rPr>
          <w:rFonts w:hint="default" w:ascii="Times New Roman" w:hAnsi="Times New Roman" w:cs="Times New Roman" w:eastAsiaTheme="minorEastAsia"/>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3</w:t>
      </w:r>
      <w:r>
        <w:rPr>
          <w:rFonts w:hint="eastAsia" w:ascii="Times New Roman" w:hAnsi="Times New Roman" w:cs="Times New Roman" w:eastAsiaTheme="minorEastAsia"/>
          <w:b/>
          <w:bCs/>
          <w:color w:val="auto"/>
          <w:sz w:val="28"/>
          <w:szCs w:val="28"/>
          <w:highlight w:val="none"/>
          <w:lang w:val="en-US" w:eastAsia="zh-CN"/>
        </w:rPr>
        <w:t>、</w:t>
      </w:r>
      <w:r>
        <w:rPr>
          <w:rFonts w:hint="default" w:ascii="Times New Roman" w:hAnsi="Times New Roman" w:cs="Times New Roman" w:eastAsiaTheme="minorEastAsia"/>
          <w:b/>
          <w:bCs/>
          <w:color w:val="auto"/>
          <w:sz w:val="28"/>
          <w:szCs w:val="28"/>
          <w:highlight w:val="none"/>
          <w:lang w:val="en-US" w:eastAsia="zh-CN"/>
        </w:rPr>
        <w:t>露天开采境界</w:t>
      </w:r>
    </w:p>
    <w:p w14:paraId="566F0A46">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eastAsia" w:cs="Times New Roman" w:eastAsiaTheme="minorEastAsia"/>
          <w:color w:val="auto"/>
          <w:sz w:val="28"/>
          <w:szCs w:val="28"/>
          <w:highlight w:val="none"/>
          <w:lang w:val="en-US" w:eastAsia="zh-CN"/>
        </w:rPr>
        <w:t>1）</w:t>
      </w:r>
      <w:r>
        <w:rPr>
          <w:rFonts w:hint="default" w:ascii="Times New Roman" w:hAnsi="Times New Roman" w:cs="Times New Roman" w:eastAsiaTheme="minorEastAsia"/>
          <w:color w:val="auto"/>
          <w:sz w:val="28"/>
          <w:szCs w:val="28"/>
          <w:highlight w:val="none"/>
          <w:lang w:val="en-US" w:eastAsia="zh-CN"/>
        </w:rPr>
        <w:t>境界圈定原则与方法</w:t>
      </w:r>
    </w:p>
    <w:p w14:paraId="5F38B95F">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本次露天开采境界严格遵循安全生产、节约集约利用矿产资源与土地资源的总体原则，结合矿体埋藏浅、地形平缓、地质条件简单的特点进行圈定。一是以资源充分利用为核心，最大限度回收矿体资源，减少矿石资源浪费；二是严控开采扰动范围，避免超范围开挖，减少土地、植被损毁；三是贴合地形地貌条件，保证采场边坡稳定、开采运输安全，适配露天台阶开采工艺。</w:t>
      </w:r>
    </w:p>
    <w:p w14:paraId="359892F1">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境界圈定采用地形适配法与边坡参数控制法，结合矿体赋存边界、地形高程及规范安全参数，自上而下圈定开采境界。以地表向下平均剥离1.0m腐殖土、残坡积等不可利用覆盖层作为矿山顶部开采境界，按照60°终了边坡角逐级控制台阶边界，形成规整的分段式开采境界。</w:t>
      </w:r>
    </w:p>
    <w:p w14:paraId="655DADDD">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eastAsia" w:cs="Times New Roman" w:eastAsiaTheme="minorEastAsia"/>
          <w:color w:val="auto"/>
          <w:sz w:val="28"/>
          <w:szCs w:val="28"/>
          <w:highlight w:val="none"/>
          <w:lang w:val="en-US" w:eastAsia="zh-CN"/>
        </w:rPr>
        <w:t>2）</w:t>
      </w:r>
      <w:r>
        <w:rPr>
          <w:rFonts w:hint="default" w:ascii="Times New Roman" w:hAnsi="Times New Roman" w:cs="Times New Roman" w:eastAsiaTheme="minorEastAsia"/>
          <w:color w:val="auto"/>
          <w:sz w:val="28"/>
          <w:szCs w:val="28"/>
          <w:highlight w:val="none"/>
          <w:lang w:val="en-US" w:eastAsia="zh-CN"/>
        </w:rPr>
        <w:t xml:space="preserve"> 经济合理剥采比</w:t>
      </w:r>
    </w:p>
    <w:p w14:paraId="69B1AFF7">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矿区矿体上部仅存在平均1.0m厚的覆盖层，无厚大废石夹层，开采剥离量小。经核算，本矿区剥采比为0.08:1（m³/m³），远低于露天矿山经济合理剥采比限值，开采剥离成本低、资源开发经济效益显著，境界圈定具备良好的经济合理性。</w:t>
      </w:r>
    </w:p>
    <w:p w14:paraId="767CDA4B">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eastAsia" w:cs="Times New Roman" w:eastAsiaTheme="minorEastAsia"/>
          <w:color w:val="auto"/>
          <w:sz w:val="28"/>
          <w:szCs w:val="28"/>
          <w:highlight w:val="none"/>
          <w:lang w:val="en-US" w:eastAsia="zh-CN"/>
        </w:rPr>
        <w:t>3）</w:t>
      </w:r>
      <w:r>
        <w:rPr>
          <w:rFonts w:hint="default" w:ascii="Times New Roman" w:hAnsi="Times New Roman" w:cs="Times New Roman" w:eastAsiaTheme="minorEastAsia"/>
          <w:color w:val="auto"/>
          <w:sz w:val="28"/>
          <w:szCs w:val="28"/>
          <w:highlight w:val="none"/>
          <w:lang w:val="en-US" w:eastAsia="zh-CN"/>
        </w:rPr>
        <w:t>最终开采境界参数</w:t>
      </w:r>
    </w:p>
    <w:p w14:paraId="665DF63C">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本次圈定的最优露天开采境界各项参数科学合理，具体如下：矿区开采标高区间为332.5m～297m，扣除1.0m上部覆盖层，实际开采深度34.5m；采场地表</w:t>
      </w:r>
      <w:r>
        <w:rPr>
          <w:rFonts w:hint="eastAsia" w:ascii="Times New Roman" w:hAnsi="Times New Roman" w:cs="Times New Roman" w:eastAsiaTheme="minorEastAsia"/>
          <w:color w:val="auto"/>
          <w:sz w:val="28"/>
          <w:szCs w:val="28"/>
          <w:highlight w:val="none"/>
          <w:lang w:val="en-US" w:eastAsia="zh-CN"/>
        </w:rPr>
        <w:t>实际南北长193m、东西宽130m</w:t>
      </w:r>
      <w:r>
        <w:rPr>
          <w:rFonts w:hint="default" w:ascii="Times New Roman" w:hAnsi="Times New Roman" w:cs="Times New Roman" w:eastAsiaTheme="minorEastAsia"/>
          <w:color w:val="auto"/>
          <w:sz w:val="28"/>
          <w:szCs w:val="28"/>
          <w:highlight w:val="none"/>
          <w:lang w:val="en-US" w:eastAsia="zh-CN"/>
        </w:rPr>
        <w:t>，采场底部南北长</w:t>
      </w:r>
      <w:r>
        <w:rPr>
          <w:rFonts w:hint="eastAsia" w:ascii="Times New Roman" w:hAnsi="Times New Roman" w:cs="Times New Roman" w:eastAsiaTheme="minorEastAsia"/>
          <w:color w:val="auto"/>
          <w:sz w:val="28"/>
          <w:szCs w:val="28"/>
          <w:highlight w:val="none"/>
          <w:lang w:val="en-US" w:eastAsia="zh-CN"/>
        </w:rPr>
        <w:t>193</w:t>
      </w:r>
      <w:r>
        <w:rPr>
          <w:rFonts w:hint="default" w:ascii="Times New Roman" w:hAnsi="Times New Roman" w:cs="Times New Roman" w:eastAsiaTheme="minorEastAsia"/>
          <w:color w:val="auto"/>
          <w:sz w:val="28"/>
          <w:szCs w:val="28"/>
          <w:highlight w:val="none"/>
          <w:lang w:val="en-US" w:eastAsia="zh-CN"/>
        </w:rPr>
        <w:t>m、东西宽</w:t>
      </w:r>
      <w:r>
        <w:rPr>
          <w:rFonts w:hint="eastAsia" w:ascii="Times New Roman" w:hAnsi="Times New Roman" w:cs="Times New Roman" w:eastAsiaTheme="minorEastAsia"/>
          <w:color w:val="auto"/>
          <w:sz w:val="28"/>
          <w:szCs w:val="28"/>
          <w:highlight w:val="none"/>
          <w:lang w:val="en-US" w:eastAsia="zh-CN"/>
        </w:rPr>
        <w:t>105</w:t>
      </w:r>
      <w:r>
        <w:rPr>
          <w:rFonts w:hint="default" w:ascii="Times New Roman" w:hAnsi="Times New Roman" w:cs="Times New Roman" w:eastAsiaTheme="minorEastAsia"/>
          <w:color w:val="auto"/>
          <w:sz w:val="28"/>
          <w:szCs w:val="28"/>
          <w:highlight w:val="none"/>
          <w:lang w:val="en-US" w:eastAsia="zh-CN"/>
        </w:rPr>
        <w:t>m；开采终了边坡角为60°，安全平台、清扫平台宽度均为8m，最小底盘宽度</w:t>
      </w:r>
      <w:r>
        <w:rPr>
          <w:rFonts w:hint="eastAsia" w:ascii="Times New Roman" w:hAnsi="Times New Roman" w:cs="Times New Roman" w:eastAsiaTheme="minorEastAsia"/>
          <w:color w:val="auto"/>
          <w:sz w:val="28"/>
          <w:szCs w:val="28"/>
          <w:highlight w:val="none"/>
          <w:lang w:val="en-US" w:eastAsia="zh-CN"/>
        </w:rPr>
        <w:t>＞</w:t>
      </w:r>
      <w:r>
        <w:rPr>
          <w:rFonts w:hint="default" w:ascii="Times New Roman" w:hAnsi="Times New Roman" w:cs="Times New Roman" w:eastAsiaTheme="minorEastAsia"/>
          <w:color w:val="auto"/>
          <w:sz w:val="28"/>
          <w:szCs w:val="28"/>
          <w:highlight w:val="none"/>
          <w:lang w:val="en-US" w:eastAsia="zh-CN"/>
        </w:rPr>
        <w:t>40m；共形成32</w:t>
      </w:r>
      <w:r>
        <w:rPr>
          <w:rFonts w:hint="eastAsia" w:cs="Times New Roman" w:eastAsiaTheme="minorEastAsia"/>
          <w:color w:val="auto"/>
          <w:sz w:val="28"/>
          <w:szCs w:val="28"/>
          <w:highlight w:val="none"/>
          <w:lang w:val="en-US" w:eastAsia="zh-CN"/>
        </w:rPr>
        <w:t>1</w:t>
      </w:r>
      <w:r>
        <w:rPr>
          <w:rFonts w:hint="default" w:ascii="Times New Roman" w:hAnsi="Times New Roman" w:cs="Times New Roman" w:eastAsiaTheme="minorEastAsia"/>
          <w:color w:val="auto"/>
          <w:sz w:val="28"/>
          <w:szCs w:val="28"/>
          <w:highlight w:val="none"/>
          <w:lang w:val="en-US" w:eastAsia="zh-CN"/>
        </w:rPr>
        <w:t>m、</w:t>
      </w:r>
      <w:r>
        <w:rPr>
          <w:rFonts w:hint="eastAsia" w:cs="Times New Roman" w:eastAsiaTheme="minorEastAsia"/>
          <w:color w:val="auto"/>
          <w:sz w:val="28"/>
          <w:szCs w:val="28"/>
          <w:highlight w:val="none"/>
          <w:lang w:val="en-US" w:eastAsia="zh-CN"/>
        </w:rPr>
        <w:t>309</w:t>
      </w:r>
      <w:r>
        <w:rPr>
          <w:rFonts w:hint="default" w:ascii="Times New Roman" w:hAnsi="Times New Roman" w:cs="Times New Roman" w:eastAsiaTheme="minorEastAsia"/>
          <w:color w:val="auto"/>
          <w:sz w:val="28"/>
          <w:szCs w:val="28"/>
          <w:highlight w:val="none"/>
          <w:lang w:val="en-US" w:eastAsia="zh-CN"/>
        </w:rPr>
        <w:t>m、297m三个规整开采</w:t>
      </w:r>
      <w:r>
        <w:rPr>
          <w:rFonts w:hint="eastAsia" w:cs="Times New Roman" w:eastAsiaTheme="minorEastAsia"/>
          <w:color w:val="auto"/>
          <w:sz w:val="28"/>
          <w:szCs w:val="28"/>
          <w:highlight w:val="none"/>
          <w:lang w:val="en-US" w:eastAsia="zh-CN"/>
        </w:rPr>
        <w:t>平台</w:t>
      </w:r>
      <w:r>
        <w:rPr>
          <w:rFonts w:hint="default" w:ascii="Times New Roman" w:hAnsi="Times New Roman" w:cs="Times New Roman" w:eastAsiaTheme="minorEastAsia"/>
          <w:color w:val="auto"/>
          <w:sz w:val="28"/>
          <w:szCs w:val="28"/>
          <w:highlight w:val="none"/>
          <w:lang w:val="en-US" w:eastAsia="zh-CN"/>
        </w:rPr>
        <w:t>，整体境界形态规整、安全储备充足、资源利用率高。</w:t>
      </w:r>
    </w:p>
    <w:p w14:paraId="187F9685">
      <w:pPr>
        <w:pageBreakBefore w:val="0"/>
        <w:kinsoku/>
        <w:wordWrap/>
        <w:overflowPunct/>
        <w:topLinePunct w:val="0"/>
        <w:bidi w:val="0"/>
        <w:spacing w:line="360" w:lineRule="auto"/>
        <w:ind w:firstLine="562" w:firstLineChars="200"/>
        <w:rPr>
          <w:rFonts w:hint="default" w:ascii="Times New Roman" w:hAnsi="Times New Roman" w:cs="Times New Roman" w:eastAsiaTheme="minorEastAsia"/>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4</w:t>
      </w:r>
      <w:r>
        <w:rPr>
          <w:rFonts w:hint="eastAsia" w:ascii="Times New Roman" w:hAnsi="Times New Roman" w:cs="Times New Roman" w:eastAsiaTheme="minorEastAsia"/>
          <w:b/>
          <w:bCs/>
          <w:color w:val="auto"/>
          <w:sz w:val="28"/>
          <w:szCs w:val="28"/>
          <w:highlight w:val="none"/>
          <w:lang w:val="en-US" w:eastAsia="zh-CN"/>
        </w:rPr>
        <w:t>、</w:t>
      </w:r>
      <w:r>
        <w:rPr>
          <w:rFonts w:hint="default" w:ascii="Times New Roman" w:hAnsi="Times New Roman" w:cs="Times New Roman" w:eastAsiaTheme="minorEastAsia"/>
          <w:b/>
          <w:bCs/>
          <w:color w:val="auto"/>
          <w:sz w:val="28"/>
          <w:szCs w:val="28"/>
          <w:highlight w:val="none"/>
          <w:lang w:val="en-US" w:eastAsia="zh-CN"/>
        </w:rPr>
        <w:t>开采回采率</w:t>
      </w:r>
    </w:p>
    <w:p w14:paraId="43441400">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本矿山采用台阶轮流机械挖掘采矿方法，工艺成熟、开采可控性强，设计矿石回采率可达95%以上，矿石损失率低，符合国家露天开采指标规范要求。结合圈定开采境界内资源赋存情况，本次设计充分利用境界内探明资源量，剔除表层不可利用覆盖层，最大限度回收可利用矿石资源，精准核算设计可采储量，资源利用程度高。</w:t>
      </w:r>
    </w:p>
    <w:p w14:paraId="19003F1B">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为保障开采回采率稳定达标，制定专项管控措施：一是严格按照设计境界、台阶参数规范开采，严禁随意留设矿体、超挖乱采；二是采用机械化精准采掘作业，减少开采过程中的矿体残留与人为损失；三是优化台阶轮流开采工艺，保证各台阶矿体完整回收；四是加强现场生产技术管理，动态核对矿体边界，及时调整开采方案，确保矿山开采回采率持续满足国家标准，实现矿产资源集约高效利用。</w:t>
      </w:r>
    </w:p>
    <w:p w14:paraId="2E04A9B0">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79" w:name="_Toc12500"/>
      <w:bookmarkStart w:id="80" w:name="_Toc8981"/>
      <w:bookmarkStart w:id="81" w:name="_Toc13237"/>
      <w:bookmarkStart w:id="82" w:name="_Toc167307751"/>
      <w:bookmarkStart w:id="83" w:name="_Toc16616"/>
      <w:r>
        <w:rPr>
          <w:rFonts w:hint="default" w:ascii="Times New Roman" w:hAnsi="Times New Roman" w:cs="Times New Roman" w:eastAsiaTheme="minorEastAsia"/>
          <w:color w:val="auto"/>
          <w:sz w:val="30"/>
          <w:szCs w:val="30"/>
          <w:highlight w:val="none"/>
          <w:lang w:val="en-US" w:eastAsia="zh-CN"/>
        </w:rPr>
        <w:t>三、机械设备选型</w:t>
      </w:r>
      <w:bookmarkEnd w:id="79"/>
    </w:p>
    <w:p w14:paraId="6246CC37">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结合矿山6.0万</w:t>
      </w:r>
      <w:r>
        <w:rPr>
          <w:rFonts w:hint="eastAsia" w:cs="Times New Roman" w:eastAsiaTheme="minorEastAsia"/>
          <w:color w:val="auto"/>
          <w:sz w:val="28"/>
          <w:szCs w:val="28"/>
          <w:highlight w:val="none"/>
          <w:lang w:val="en-US" w:eastAsia="zh-CN"/>
        </w:rPr>
        <w:t>立方米</w:t>
      </w:r>
      <w:r>
        <w:rPr>
          <w:rFonts w:hint="default" w:ascii="Times New Roman" w:hAnsi="Times New Roman" w:cs="Times New Roman" w:eastAsiaTheme="minorEastAsia"/>
          <w:color w:val="auto"/>
          <w:sz w:val="28"/>
          <w:szCs w:val="28"/>
          <w:highlight w:val="none"/>
          <w:lang w:val="en-US" w:eastAsia="zh-CN"/>
        </w:rPr>
        <w:t>/年生产规模、台阶开采工艺及高寒作业工况，选用成熟、节能、适配林区作业的成套机械设备，选型遵循“安全高效、低噪低尘、适配寒区、便于运维”原则，具体设备配置如下：</w:t>
      </w:r>
    </w:p>
    <w:p w14:paraId="2190E7C4">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采掘设备：</w:t>
      </w:r>
      <w:r>
        <w:rPr>
          <w:rFonts w:hint="eastAsia" w:cs="Times New Roman" w:eastAsiaTheme="minorEastAsia"/>
          <w:color w:val="auto"/>
          <w:sz w:val="28"/>
          <w:szCs w:val="28"/>
          <w:highlight w:val="none"/>
          <w:lang w:val="en-US" w:eastAsia="zh-CN"/>
        </w:rPr>
        <w:t>按</w:t>
      </w:r>
      <w:r>
        <w:rPr>
          <w:rFonts w:hint="default" w:ascii="Times New Roman" w:hAnsi="Times New Roman" w:cs="Times New Roman" w:eastAsiaTheme="minorEastAsia"/>
          <w:color w:val="auto"/>
          <w:sz w:val="28"/>
          <w:szCs w:val="28"/>
          <w:highlight w:val="none"/>
          <w:lang w:val="en-US" w:eastAsia="zh-CN"/>
        </w:rPr>
        <w:t>开采台阶高度10m，作业平台最小宽度 8m，配备2台PC220 型履带式挖掘机（国产备选 XE215DA、SY215C），负责表土剥离、矿体开挖、石料铲装；配备1台液压破碎锤，针对坚硬岩体静态破岩作业，保障林区开采安全。</w:t>
      </w:r>
    </w:p>
    <w:p w14:paraId="6963653A">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破碎筛分设备：配置一套移动式破碎筛分一体机，包含初级颚式破碎机、二级反击式破碎机、振动筛分设备，可生产不同规格建筑碎石、机制骨料，满足工程用料标准。</w:t>
      </w:r>
    </w:p>
    <w:p w14:paraId="21495AAF">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运输设备：配备3台自卸式工程运输车，负责矿石、剥离土、废石场内转运，车辆密闭运输，防止扬尘抛洒。</w:t>
      </w:r>
    </w:p>
    <w:p w14:paraId="18A21395">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辅助环保设备：配备2台洒水降尘车、1台移动式雾炮机、设备降噪防护罩，配套排水沟、沉淀池环保设施。</w:t>
      </w:r>
    </w:p>
    <w:p w14:paraId="0278E32D">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运维安全设备：配备应急救援工具、边坡监测设备、消防器材、夜间照明设备，满足高寒林区矿山安全生产运维需求。</w:t>
      </w:r>
    </w:p>
    <w:p w14:paraId="33BF0988">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所有设备均定期检修保养，适配北方低温、冻土作业环境，杜绝设备带病作业，保障生产连续性与安全性。</w:t>
      </w:r>
    </w:p>
    <w:p w14:paraId="3CA64EB8">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84" w:name="_Toc25866"/>
      <w:r>
        <w:rPr>
          <w:rFonts w:hint="eastAsia" w:ascii="Times New Roman" w:hAnsi="Times New Roman" w:cs="Times New Roman" w:eastAsiaTheme="minorEastAsia"/>
          <w:color w:val="auto"/>
          <w:sz w:val="30"/>
          <w:szCs w:val="30"/>
          <w:highlight w:val="none"/>
          <w:lang w:val="en-US" w:eastAsia="zh-CN"/>
        </w:rPr>
        <w:t>四</w:t>
      </w:r>
      <w:r>
        <w:rPr>
          <w:rFonts w:hint="default" w:ascii="Times New Roman" w:hAnsi="Times New Roman" w:cs="Times New Roman" w:eastAsiaTheme="minorEastAsia"/>
          <w:color w:val="auto"/>
          <w:sz w:val="30"/>
          <w:szCs w:val="30"/>
          <w:highlight w:val="none"/>
          <w:lang w:val="en-US" w:eastAsia="zh-CN"/>
        </w:rPr>
        <w:t>、</w:t>
      </w:r>
      <w:bookmarkEnd w:id="80"/>
      <w:bookmarkEnd w:id="81"/>
      <w:bookmarkEnd w:id="82"/>
      <w:bookmarkEnd w:id="83"/>
      <w:r>
        <w:rPr>
          <w:rFonts w:hint="default" w:ascii="Times New Roman" w:hAnsi="Times New Roman" w:cs="Times New Roman" w:eastAsiaTheme="minorEastAsia"/>
          <w:color w:val="auto"/>
          <w:sz w:val="30"/>
          <w:szCs w:val="30"/>
          <w:highlight w:val="none"/>
          <w:lang w:val="en-US" w:eastAsia="zh-CN"/>
        </w:rPr>
        <w:t>拟建生产规模与产品市场分析</w:t>
      </w:r>
      <w:bookmarkEnd w:id="84"/>
    </w:p>
    <w:p w14:paraId="6339EB82">
      <w:pPr>
        <w:pageBreakBefore w:val="0"/>
        <w:kinsoku/>
        <w:wordWrap/>
        <w:overflowPunct/>
        <w:topLinePunct w:val="0"/>
        <w:bidi w:val="0"/>
        <w:spacing w:line="360" w:lineRule="auto"/>
        <w:ind w:firstLine="562" w:firstLineChars="200"/>
        <w:rPr>
          <w:rFonts w:hint="default" w:ascii="Times New Roman" w:hAnsi="Times New Roman" w:cs="Times New Roman" w:eastAsiaTheme="minorEastAsia"/>
          <w:b/>
          <w:bCs/>
          <w:color w:val="auto"/>
          <w:sz w:val="28"/>
          <w:szCs w:val="28"/>
          <w:highlight w:val="none"/>
          <w:lang w:val="en-US" w:eastAsia="zh-CN"/>
        </w:rPr>
      </w:pPr>
      <w:r>
        <w:rPr>
          <w:rFonts w:hint="eastAsia" w:ascii="Times New Roman" w:hAnsi="Times New Roman" w:cs="Times New Roman" w:eastAsiaTheme="minorEastAsia"/>
          <w:b/>
          <w:bCs/>
          <w:color w:val="auto"/>
          <w:sz w:val="28"/>
          <w:szCs w:val="28"/>
          <w:highlight w:val="none"/>
          <w:lang w:val="en-US" w:eastAsia="zh-CN"/>
        </w:rPr>
        <w:t>1、</w:t>
      </w:r>
      <w:r>
        <w:rPr>
          <w:rFonts w:hint="default" w:ascii="Times New Roman" w:hAnsi="Times New Roman" w:cs="Times New Roman" w:eastAsiaTheme="minorEastAsia"/>
          <w:b/>
          <w:bCs/>
          <w:color w:val="auto"/>
          <w:sz w:val="28"/>
          <w:szCs w:val="28"/>
          <w:highlight w:val="none"/>
          <w:lang w:val="en-US" w:eastAsia="zh-CN"/>
        </w:rPr>
        <w:t>生产规模确定依据及初步考虑</w:t>
      </w:r>
    </w:p>
    <w:p w14:paraId="42FC07CB">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本次矿山拟建生产规模按照区域市场需求及矿山自身开采能力两大核心因素综合分析、统筹确定。</w:t>
      </w:r>
    </w:p>
    <w:p w14:paraId="2EBDE423">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一是市场需求方面。本矿山为呼玛县JH项目鸥浦乡专项配套采石场，矿产品主要供给JH重点工程项目土建施工、路基填筑、防护工程用料，同时保障鸥浦对俄经贸园区基础设施建设、辖区乡村道路升级改造、矿山生态修复及本地民用基建砂石需求。区域近年无大规模新增合规砂石料场，就近合规建材供给缺口明显，市场消纳稳定、需求持续可控，无产品滞销风险，为本矿山规模化、连续性生产提供了可靠的市场支撑。</w:t>
      </w:r>
    </w:p>
    <w:p w14:paraId="0A287135">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二是矿山开采能力方面。本矿区矿体赋存条件简单，岩性均匀、覆盖层薄、剥采比小，地质条件适合露天规模化台阶式开采；矿区可采资源量充足，资源基础可靠。同时矿山规划配套成熟的露天采掘、破碎筛分、运输成套设备，配备专业采矿、安全、测绘技术人员，开采工艺成熟、生产体系完善，具备连续、稳定、标准化的砂石生产能力。结合矿区资源条件、设备配置及安全生产、生态环保管控要求，综合核算矿山合理产能。</w:t>
      </w:r>
    </w:p>
    <w:p w14:paraId="0B6D27DE">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综合以上市场需求及矿山开采能力分析，本次确定矿山设计生产规模为6.0</w:t>
      </w:r>
      <w:r>
        <w:rPr>
          <w:rFonts w:hint="eastAsia" w:cs="Times New Roman" w:eastAsiaTheme="minorEastAsia"/>
          <w:color w:val="auto"/>
          <w:sz w:val="28"/>
          <w:szCs w:val="28"/>
          <w:highlight w:val="none"/>
          <w:lang w:val="en-US" w:eastAsia="zh-CN"/>
        </w:rPr>
        <w:t>万立方米/年</w:t>
      </w:r>
      <w:r>
        <w:rPr>
          <w:rFonts w:hint="default" w:ascii="Times New Roman" w:hAnsi="Times New Roman" w:cs="Times New Roman" w:eastAsiaTheme="minorEastAsia"/>
          <w:color w:val="auto"/>
          <w:sz w:val="28"/>
          <w:szCs w:val="28"/>
          <w:highlight w:val="none"/>
          <w:lang w:val="en-US" w:eastAsia="zh-CN"/>
        </w:rPr>
        <w:t>。该生产规模既匹配区域实际用料需求，又充分适配矿山资源禀赋、开采装备及技术管理能力，生产规模设置科学合理、经济可行，符合矿山合规开发及绿色生产要求。</w:t>
      </w:r>
    </w:p>
    <w:p w14:paraId="10C6E08F">
      <w:pPr>
        <w:pageBreakBefore w:val="0"/>
        <w:kinsoku/>
        <w:wordWrap/>
        <w:overflowPunct/>
        <w:topLinePunct w:val="0"/>
        <w:bidi w:val="0"/>
        <w:spacing w:line="360" w:lineRule="auto"/>
        <w:ind w:firstLine="562" w:firstLineChars="200"/>
        <w:rPr>
          <w:rFonts w:hint="default" w:ascii="Times New Roman" w:hAnsi="Times New Roman" w:cs="Times New Roman" w:eastAsiaTheme="minorEastAsia"/>
          <w:b/>
          <w:bCs/>
          <w:color w:val="auto"/>
          <w:sz w:val="28"/>
          <w:szCs w:val="28"/>
          <w:highlight w:val="none"/>
          <w:lang w:val="en-US" w:eastAsia="zh-CN"/>
        </w:rPr>
      </w:pPr>
      <w:r>
        <w:rPr>
          <w:rFonts w:hint="eastAsia" w:ascii="Times New Roman" w:hAnsi="Times New Roman" w:cs="Times New Roman" w:eastAsiaTheme="minorEastAsia"/>
          <w:b/>
          <w:bCs/>
          <w:color w:val="auto"/>
          <w:sz w:val="28"/>
          <w:szCs w:val="28"/>
          <w:highlight w:val="none"/>
          <w:lang w:val="en-US" w:eastAsia="zh-CN"/>
        </w:rPr>
        <w:t>2、</w:t>
      </w:r>
      <w:r>
        <w:rPr>
          <w:rFonts w:hint="default" w:ascii="Times New Roman" w:hAnsi="Times New Roman" w:cs="Times New Roman" w:eastAsiaTheme="minorEastAsia"/>
          <w:b/>
          <w:bCs/>
          <w:color w:val="auto"/>
          <w:sz w:val="28"/>
          <w:szCs w:val="28"/>
          <w:highlight w:val="none"/>
          <w:lang w:val="en-US" w:eastAsia="zh-CN"/>
        </w:rPr>
        <w:t>服务年限估算</w:t>
      </w:r>
    </w:p>
    <w:p w14:paraId="5E0635E6">
      <w:pPr>
        <w:pStyle w:val="8"/>
        <w:keepNext w:val="0"/>
        <w:keepLines w:val="0"/>
        <w:pageBreakBefore w:val="0"/>
        <w:widowControl w:val="0"/>
        <w:kinsoku/>
        <w:wordWrap/>
        <w:overflowPunct/>
        <w:topLinePunct/>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根据</w:t>
      </w:r>
      <w:r>
        <w:rPr>
          <w:rFonts w:hint="eastAsia" w:cs="Times New Roman" w:eastAsiaTheme="minorEastAsia"/>
          <w:color w:val="auto"/>
          <w:sz w:val="28"/>
          <w:szCs w:val="28"/>
          <w:highlight w:val="none"/>
          <w:lang w:val="en-US" w:eastAsia="zh-CN"/>
        </w:rPr>
        <w:t>矿山</w:t>
      </w:r>
      <w:r>
        <w:rPr>
          <w:rFonts w:hint="default" w:ascii="Times New Roman" w:hAnsi="Times New Roman" w:cs="Times New Roman" w:eastAsiaTheme="minorEastAsia"/>
          <w:color w:val="auto"/>
          <w:sz w:val="28"/>
          <w:szCs w:val="28"/>
          <w:highlight w:val="none"/>
          <w:lang w:val="en-US" w:eastAsia="zh-CN"/>
        </w:rPr>
        <w:t>资源量核实成果，矿山推断总资源量353504</w:t>
      </w:r>
      <w:r>
        <w:rPr>
          <w:rFonts w:hint="eastAsia" w:cs="Times New Roman" w:eastAsiaTheme="minorEastAsia"/>
          <w:color w:val="auto"/>
          <w:sz w:val="28"/>
          <w:szCs w:val="28"/>
          <w:highlight w:val="none"/>
          <w:lang w:val="en-US" w:eastAsia="zh-CN"/>
        </w:rPr>
        <w:t>立方米</w:t>
      </w:r>
      <w:r>
        <w:rPr>
          <w:rFonts w:hint="default" w:ascii="Times New Roman" w:hAnsi="Times New Roman" w:cs="Times New Roman" w:eastAsiaTheme="minorEastAsia"/>
          <w:color w:val="auto"/>
          <w:sz w:val="28"/>
          <w:szCs w:val="28"/>
          <w:highlight w:val="none"/>
          <w:lang w:val="en-US" w:eastAsia="zh-CN"/>
        </w:rPr>
        <w:t>，其中边坡保留资源量39405</w:t>
      </w:r>
      <w:r>
        <w:rPr>
          <w:rFonts w:hint="eastAsia" w:cs="Times New Roman" w:eastAsiaTheme="minorEastAsia"/>
          <w:color w:val="auto"/>
          <w:sz w:val="28"/>
          <w:szCs w:val="28"/>
          <w:highlight w:val="none"/>
          <w:lang w:val="en-US" w:eastAsia="zh-CN"/>
        </w:rPr>
        <w:t>立方米</w:t>
      </w:r>
      <w:r>
        <w:rPr>
          <w:rFonts w:hint="default" w:ascii="Times New Roman" w:hAnsi="Times New Roman" w:cs="Times New Roman" w:eastAsiaTheme="minorEastAsia"/>
          <w:color w:val="auto"/>
          <w:sz w:val="28"/>
          <w:szCs w:val="28"/>
          <w:highlight w:val="none"/>
          <w:lang w:val="en-US" w:eastAsia="zh-CN"/>
        </w:rPr>
        <w:t>，边坡内可利用资源量314099</w:t>
      </w:r>
      <w:r>
        <w:rPr>
          <w:rFonts w:hint="eastAsia" w:cs="Times New Roman" w:eastAsiaTheme="minorEastAsia"/>
          <w:color w:val="auto"/>
          <w:sz w:val="28"/>
          <w:szCs w:val="28"/>
          <w:highlight w:val="none"/>
          <w:lang w:val="en-US" w:eastAsia="zh-CN"/>
        </w:rPr>
        <w:t>立方米</w:t>
      </w:r>
      <w:r>
        <w:rPr>
          <w:rFonts w:hint="default" w:ascii="Times New Roman" w:hAnsi="Times New Roman" w:cs="Times New Roman" w:eastAsiaTheme="minorEastAsia"/>
          <w:color w:val="auto"/>
          <w:sz w:val="28"/>
          <w:szCs w:val="28"/>
          <w:highlight w:val="none"/>
          <w:lang w:val="en-US" w:eastAsia="zh-CN"/>
        </w:rPr>
        <w:t>。结合露天开采工艺特点，考虑正常采矿损失，本次按采矿损失率5%核算可采</w:t>
      </w:r>
      <w:r>
        <w:rPr>
          <w:rFonts w:hint="eastAsia" w:asciiTheme="minorEastAsia" w:hAnsiTheme="minorEastAsia" w:eastAsiaTheme="minorEastAsia" w:cstheme="minorEastAsia"/>
          <w:color w:val="auto"/>
          <w:sz w:val="28"/>
          <w:szCs w:val="28"/>
          <w:highlight w:val="none"/>
          <w:lang w:val="en-US" w:eastAsia="zh-CN"/>
        </w:rPr>
        <w:t>储量，剔除开采损失量15705立方米后，矿山设计可采资源量为298394m</w:t>
      </w:r>
      <w:r>
        <w:rPr>
          <w:rFonts w:hint="eastAsia" w:asciiTheme="minorEastAsia" w:hAnsiTheme="minorEastAsia" w:eastAsiaTheme="minorEastAsia" w:cstheme="minorEastAsia"/>
          <w:color w:val="auto"/>
          <w:sz w:val="28"/>
          <w:szCs w:val="28"/>
          <w:highlight w:val="none"/>
          <w:vertAlign w:val="superscript"/>
          <w:lang w:val="en-US" w:eastAsia="zh-CN"/>
        </w:rPr>
        <w:t>3</w:t>
      </w:r>
      <w:r>
        <w:rPr>
          <w:rFonts w:hint="default" w:ascii="Times New Roman" w:hAnsi="Times New Roman" w:cs="Times New Roman" w:eastAsiaTheme="minorEastAsia"/>
          <w:color w:val="auto"/>
          <w:sz w:val="28"/>
          <w:szCs w:val="28"/>
          <w:highlight w:val="none"/>
          <w:lang w:val="en-US" w:eastAsia="zh-CN"/>
        </w:rPr>
        <w:t>。</w:t>
      </w:r>
    </w:p>
    <w:p w14:paraId="301CA236">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按照贫化率为0</w:t>
      </w:r>
      <w:r>
        <w:rPr>
          <w:rFonts w:hint="eastAsia" w:cs="Times New Roman" w:eastAsiaTheme="minorEastAsia"/>
          <w:color w:val="auto"/>
          <w:sz w:val="28"/>
          <w:szCs w:val="28"/>
          <w:highlight w:val="none"/>
          <w:lang w:val="en-US" w:eastAsia="zh-CN"/>
        </w:rPr>
        <w:t>、</w:t>
      </w:r>
      <w:r>
        <w:rPr>
          <w:rFonts w:hint="default" w:ascii="Times New Roman" w:hAnsi="Times New Roman" w:cs="Times New Roman" w:eastAsiaTheme="minorEastAsia"/>
          <w:color w:val="auto"/>
          <w:sz w:val="28"/>
          <w:szCs w:val="28"/>
          <w:highlight w:val="none"/>
          <w:lang w:val="en-US" w:eastAsia="zh-CN"/>
        </w:rPr>
        <w:t>设计年生产能力6.0</w:t>
      </w:r>
      <w:r>
        <w:rPr>
          <w:rFonts w:hint="eastAsia" w:cs="Times New Roman" w:eastAsiaTheme="minorEastAsia"/>
          <w:color w:val="auto"/>
          <w:sz w:val="28"/>
          <w:szCs w:val="28"/>
          <w:highlight w:val="none"/>
          <w:lang w:val="en-US" w:eastAsia="zh-CN"/>
        </w:rPr>
        <w:t>万立方米/年，</w:t>
      </w:r>
      <w:r>
        <w:rPr>
          <w:rFonts w:hint="default" w:ascii="Times New Roman" w:hAnsi="Times New Roman" w:cs="Times New Roman" w:eastAsiaTheme="minorEastAsia"/>
          <w:color w:val="auto"/>
          <w:sz w:val="28"/>
          <w:szCs w:val="28"/>
          <w:highlight w:val="none"/>
          <w:lang w:val="en-US" w:eastAsia="zh-CN"/>
        </w:rPr>
        <w:t>计算矿山服务年限：</w:t>
      </w:r>
    </w:p>
    <w:p w14:paraId="162F59AC">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计算公式：T=Q÷A</w:t>
      </w:r>
    </w:p>
    <w:p w14:paraId="3DFD3F12">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式中：T——矿山服务年限（a）；</w:t>
      </w:r>
    </w:p>
    <w:p w14:paraId="6647DAA3">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Q——设计可采资源量（</w:t>
      </w:r>
      <w:r>
        <w:rPr>
          <w:rFonts w:hint="eastAsia" w:cs="Times New Roman" w:eastAsiaTheme="minorEastAsia"/>
          <w:color w:val="auto"/>
          <w:sz w:val="28"/>
          <w:szCs w:val="28"/>
          <w:highlight w:val="none"/>
          <w:lang w:val="en-US" w:eastAsia="zh-CN"/>
        </w:rPr>
        <w:t>立方米</w:t>
      </w:r>
      <w:r>
        <w:rPr>
          <w:rFonts w:hint="default" w:ascii="Times New Roman" w:hAnsi="Times New Roman" w:cs="Times New Roman" w:eastAsiaTheme="minorEastAsia"/>
          <w:color w:val="auto"/>
          <w:sz w:val="28"/>
          <w:szCs w:val="28"/>
          <w:highlight w:val="none"/>
          <w:lang w:val="en-US" w:eastAsia="zh-CN"/>
        </w:rPr>
        <w:t>）；</w:t>
      </w:r>
    </w:p>
    <w:p w14:paraId="71C5FACF">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A——矿山年生产能力（</w:t>
      </w:r>
      <w:r>
        <w:rPr>
          <w:rFonts w:hint="eastAsia" w:cs="Times New Roman" w:eastAsiaTheme="minorEastAsia"/>
          <w:color w:val="auto"/>
          <w:sz w:val="28"/>
          <w:szCs w:val="28"/>
          <w:highlight w:val="none"/>
          <w:lang w:val="en-US" w:eastAsia="zh-CN"/>
        </w:rPr>
        <w:t>立方米</w:t>
      </w:r>
      <w:r>
        <w:rPr>
          <w:rFonts w:hint="default" w:ascii="Times New Roman" w:hAnsi="Times New Roman" w:cs="Times New Roman" w:eastAsiaTheme="minorEastAsia"/>
          <w:color w:val="auto"/>
          <w:sz w:val="28"/>
          <w:szCs w:val="28"/>
          <w:highlight w:val="none"/>
          <w:lang w:val="en-US" w:eastAsia="zh-CN"/>
        </w:rPr>
        <w:t>/a）。</w:t>
      </w:r>
    </w:p>
    <w:p w14:paraId="51015F3F">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经计算，T=298394÷60000≈5.0a。因此，本矿山在设计生产规模6.0</w:t>
      </w:r>
      <w:r>
        <w:rPr>
          <w:rFonts w:hint="eastAsia" w:cs="Times New Roman" w:eastAsiaTheme="minorEastAsia"/>
          <w:color w:val="auto"/>
          <w:sz w:val="28"/>
          <w:szCs w:val="28"/>
          <w:highlight w:val="none"/>
          <w:lang w:val="en-US" w:eastAsia="zh-CN"/>
        </w:rPr>
        <w:t>万立方米/年</w:t>
      </w:r>
      <w:r>
        <w:rPr>
          <w:rFonts w:hint="default" w:ascii="Times New Roman" w:hAnsi="Times New Roman" w:cs="Times New Roman" w:eastAsiaTheme="minorEastAsia"/>
          <w:color w:val="auto"/>
          <w:sz w:val="28"/>
          <w:szCs w:val="28"/>
          <w:highlight w:val="none"/>
          <w:lang w:val="en-US" w:eastAsia="zh-CN"/>
        </w:rPr>
        <w:t>条件下，设计开采服务年限为5年。服务年限匹配现有资源储量规模，开采周期合理，资源利用充分，符合小型露天矿山开发建设要求。</w:t>
      </w:r>
    </w:p>
    <w:p w14:paraId="2274619D">
      <w:pPr>
        <w:pageBreakBefore w:val="0"/>
        <w:kinsoku/>
        <w:wordWrap/>
        <w:overflowPunct/>
        <w:topLinePunct w:val="0"/>
        <w:bidi w:val="0"/>
        <w:spacing w:line="360" w:lineRule="auto"/>
        <w:ind w:firstLine="562" w:firstLineChars="200"/>
        <w:rPr>
          <w:rFonts w:hint="default" w:ascii="Times New Roman" w:hAnsi="Times New Roman" w:cs="Times New Roman" w:eastAsiaTheme="minorEastAsia"/>
          <w:b/>
          <w:bCs/>
          <w:color w:val="auto"/>
          <w:sz w:val="28"/>
          <w:szCs w:val="28"/>
          <w:highlight w:val="none"/>
          <w:lang w:val="en-US" w:eastAsia="zh-CN"/>
        </w:rPr>
      </w:pPr>
      <w:r>
        <w:rPr>
          <w:rFonts w:hint="eastAsia" w:ascii="Times New Roman" w:hAnsi="Times New Roman" w:cs="Times New Roman" w:eastAsiaTheme="minorEastAsia"/>
          <w:b/>
          <w:bCs/>
          <w:color w:val="auto"/>
          <w:sz w:val="28"/>
          <w:szCs w:val="28"/>
          <w:highlight w:val="none"/>
          <w:lang w:val="en-US" w:eastAsia="zh-CN"/>
        </w:rPr>
        <w:t>3、</w:t>
      </w:r>
      <w:r>
        <w:rPr>
          <w:rFonts w:hint="default" w:ascii="Times New Roman" w:hAnsi="Times New Roman" w:cs="Times New Roman" w:eastAsiaTheme="minorEastAsia"/>
          <w:b/>
          <w:bCs/>
          <w:color w:val="auto"/>
          <w:sz w:val="28"/>
          <w:szCs w:val="28"/>
          <w:highlight w:val="none"/>
          <w:lang w:val="en-US" w:eastAsia="zh-CN"/>
        </w:rPr>
        <w:t>产品方案</w:t>
      </w:r>
    </w:p>
    <w:p w14:paraId="39DDD3CB">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开采加工产品为建筑用凝灰岩碎石、机制砂石、路基填料，产品粒度可控、质地坚硬、性能稳定，完全满足市政基建、道路工程、场地平整、园区建设、生态修复工程用料标准。</w:t>
      </w:r>
    </w:p>
    <w:p w14:paraId="549B2B09">
      <w:pPr>
        <w:pageBreakBefore w:val="0"/>
        <w:kinsoku/>
        <w:wordWrap/>
        <w:overflowPunct/>
        <w:topLinePunct w:val="0"/>
        <w:bidi w:val="0"/>
        <w:spacing w:line="360" w:lineRule="auto"/>
        <w:ind w:firstLine="562" w:firstLineChars="200"/>
        <w:rPr>
          <w:rFonts w:hint="eastAsia" w:ascii="Times New Roman" w:hAnsi="Times New Roman" w:cs="Times New Roman" w:eastAsiaTheme="minorEastAsia"/>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4、</w:t>
      </w:r>
      <w:r>
        <w:rPr>
          <w:rFonts w:hint="eastAsia" w:ascii="Times New Roman" w:hAnsi="Times New Roman" w:cs="Times New Roman" w:eastAsiaTheme="minorEastAsia"/>
          <w:b/>
          <w:bCs/>
          <w:color w:val="auto"/>
          <w:sz w:val="28"/>
          <w:szCs w:val="28"/>
          <w:highlight w:val="none"/>
          <w:lang w:val="en-US" w:eastAsia="zh-CN"/>
        </w:rPr>
        <w:t>产品市场分析</w:t>
      </w:r>
    </w:p>
    <w:p w14:paraId="61DD6391">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1）区域刚需稳定：本矿山为呼玛县JH项目鸥浦乡专项配套采石场，产品优先保障JH重点项目土建、路基、防护工程用料，同时供应鸥浦对俄经贸园区基础设施建设、乡村道路升级、矿山生态修复、本地民用基建工程，项目定位为区域专属配套矿山，刚需明确、销路稳定。</w:t>
      </w:r>
    </w:p>
    <w:p w14:paraId="2CB0AB41">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2）区域供给缺口大：呼玛县鸥浦乡周边无合规规模化砂石料生产企业，远距离运料成本高、时效性差，本矿山就近供应可有效填补区域合规建材供给缺口，市场竞争力强。</w:t>
      </w:r>
    </w:p>
    <w:p w14:paraId="3A6BD0E1">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3）市场风险低：矿山产品全部属地消纳，无外销运输压力，依托国有平台项目资源，订单稳定、无滞销风险，5年服务年限内市场供需匹配度极高。</w:t>
      </w:r>
    </w:p>
    <w:p w14:paraId="50601884">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4）产品附加值合理：矿石无需复杂加工，仅简单破碎筛分即可成品，生产成本低、经济效益良好，剥离废弃物可全部资源化利用，进一步提升项目综合收益。</w:t>
      </w:r>
    </w:p>
    <w:p w14:paraId="535C2579">
      <w:pPr>
        <w:pStyle w:val="3"/>
        <w:pageBreakBefore w:val="0"/>
        <w:kinsoku/>
        <w:wordWrap/>
        <w:overflowPunct/>
        <w:topLinePunct w:val="0"/>
        <w:bidi w:val="0"/>
        <w:spacing w:before="0" w:after="0" w:line="360" w:lineRule="auto"/>
        <w:ind w:firstLine="602" w:firstLineChars="200"/>
        <w:rPr>
          <w:rFonts w:hint="eastAsia" w:ascii="Times New Roman" w:hAnsi="Times New Roman" w:cs="Times New Roman" w:eastAsiaTheme="minorEastAsia"/>
          <w:color w:val="auto"/>
          <w:sz w:val="30"/>
          <w:szCs w:val="30"/>
          <w:highlight w:val="none"/>
          <w:lang w:val="en-US" w:eastAsia="zh-CN"/>
        </w:rPr>
      </w:pPr>
      <w:bookmarkStart w:id="85" w:name="heading_27"/>
      <w:bookmarkStart w:id="86" w:name="_Toc26475"/>
      <w:r>
        <w:rPr>
          <w:rFonts w:hint="eastAsia" w:ascii="Times New Roman" w:hAnsi="Times New Roman" w:cs="Times New Roman" w:eastAsiaTheme="minorEastAsia"/>
          <w:color w:val="auto"/>
          <w:sz w:val="30"/>
          <w:szCs w:val="30"/>
          <w:highlight w:val="none"/>
          <w:lang w:val="en-US" w:eastAsia="zh-CN"/>
        </w:rPr>
        <w:t>五、总图布置与运输方案</w:t>
      </w:r>
      <w:bookmarkEnd w:id="85"/>
      <w:bookmarkEnd w:id="86"/>
    </w:p>
    <w:p w14:paraId="521C87EB">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default" w:ascii="Times New Roman" w:hAnsi="Times New Roman" w:cs="Times New Roman"/>
          <w:b/>
          <w:bCs/>
          <w:color w:val="auto"/>
          <w:sz w:val="28"/>
          <w:szCs w:val="28"/>
          <w:highlight w:val="none"/>
          <w:lang w:val="en-US" w:eastAsia="zh-CN"/>
        </w:rPr>
        <w:t>1、总图布置原则</w:t>
      </w:r>
    </w:p>
    <w:p w14:paraId="16F410F3">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遵循“节约用地、分区清晰、安全合规、环保优先、便于施工运维”原则，结合矿区地形地貌，合理划分开采作业区、破碎加工区、</w:t>
      </w:r>
      <w:r>
        <w:rPr>
          <w:rFonts w:hint="eastAsia" w:cs="Times New Roman" w:eastAsiaTheme="minorEastAsia"/>
          <w:color w:val="auto"/>
          <w:sz w:val="28"/>
          <w:szCs w:val="28"/>
          <w:highlight w:val="none"/>
          <w:lang w:val="en-US" w:eastAsia="zh-CN"/>
        </w:rPr>
        <w:t>物料</w:t>
      </w:r>
      <w:r>
        <w:rPr>
          <w:rFonts w:hint="default" w:ascii="Times New Roman" w:hAnsi="Times New Roman" w:cs="Times New Roman" w:eastAsiaTheme="minorEastAsia"/>
          <w:color w:val="auto"/>
          <w:sz w:val="28"/>
          <w:szCs w:val="28"/>
          <w:highlight w:val="none"/>
          <w:lang w:val="en-US" w:eastAsia="zh-CN"/>
        </w:rPr>
        <w:t>堆存区、办公辅助区、排土场区、环保</w:t>
      </w:r>
      <w:r>
        <w:rPr>
          <w:rFonts w:hint="eastAsia" w:cs="Times New Roman" w:eastAsiaTheme="minorEastAsia"/>
          <w:color w:val="auto"/>
          <w:sz w:val="28"/>
          <w:szCs w:val="28"/>
          <w:highlight w:val="none"/>
          <w:lang w:val="en-US" w:eastAsia="zh-CN"/>
        </w:rPr>
        <w:t>设施</w:t>
      </w:r>
      <w:r>
        <w:rPr>
          <w:rFonts w:hint="default" w:ascii="Times New Roman" w:hAnsi="Times New Roman" w:cs="Times New Roman" w:eastAsiaTheme="minorEastAsia"/>
          <w:color w:val="auto"/>
          <w:sz w:val="28"/>
          <w:szCs w:val="28"/>
          <w:highlight w:val="none"/>
          <w:lang w:val="en-US" w:eastAsia="zh-CN"/>
        </w:rPr>
        <w:t>区，各区域功能独立、</w:t>
      </w:r>
      <w:r>
        <w:rPr>
          <w:rFonts w:hint="eastAsia" w:cs="Times New Roman" w:eastAsiaTheme="minorEastAsia"/>
          <w:color w:val="auto"/>
          <w:sz w:val="28"/>
          <w:szCs w:val="28"/>
          <w:highlight w:val="none"/>
          <w:lang w:val="en-US" w:eastAsia="zh-CN"/>
        </w:rPr>
        <w:t>场内道路</w:t>
      </w:r>
      <w:r>
        <w:rPr>
          <w:rFonts w:hint="default" w:ascii="Times New Roman" w:hAnsi="Times New Roman" w:cs="Times New Roman" w:eastAsiaTheme="minorEastAsia"/>
          <w:color w:val="auto"/>
          <w:sz w:val="28"/>
          <w:szCs w:val="28"/>
          <w:highlight w:val="none"/>
          <w:lang w:val="en-US" w:eastAsia="zh-CN"/>
        </w:rPr>
        <w:t>顺畅。</w:t>
      </w:r>
    </w:p>
    <w:p w14:paraId="0CC62258">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default" w:ascii="Times New Roman" w:hAnsi="Times New Roman" w:cs="Times New Roman"/>
          <w:b/>
          <w:bCs/>
          <w:color w:val="auto"/>
          <w:sz w:val="28"/>
          <w:szCs w:val="28"/>
          <w:highlight w:val="none"/>
          <w:lang w:val="en-US" w:eastAsia="zh-CN"/>
        </w:rPr>
        <w:t>2</w:t>
      </w:r>
      <w:r>
        <w:rPr>
          <w:rFonts w:hint="eastAsia" w:ascii="Times New Roman" w:hAnsi="Times New Roman" w:cs="Times New Roman"/>
          <w:b/>
          <w:bCs/>
          <w:color w:val="auto"/>
          <w:sz w:val="28"/>
          <w:szCs w:val="28"/>
          <w:highlight w:val="none"/>
          <w:lang w:val="en-US" w:eastAsia="zh-CN"/>
        </w:rPr>
        <w:t>、</w:t>
      </w:r>
      <w:r>
        <w:rPr>
          <w:rFonts w:hint="default" w:ascii="Times New Roman" w:hAnsi="Times New Roman" w:cs="Times New Roman"/>
          <w:b/>
          <w:bCs/>
          <w:color w:val="auto"/>
          <w:sz w:val="28"/>
          <w:szCs w:val="28"/>
          <w:highlight w:val="none"/>
          <w:lang w:val="en-US" w:eastAsia="zh-CN"/>
        </w:rPr>
        <w:t>总平面分区布置</w:t>
      </w:r>
    </w:p>
    <w:p w14:paraId="08FAF439">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1）露天开采作业区：位于矿区核心范围，为台阶式采场，严格按设计境界开采，设置安全警示围挡、边坡监测点、排水沟槽。</w:t>
      </w:r>
    </w:p>
    <w:p w14:paraId="31B3A4D0">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2）破碎加工区：布置于矿区地势平缓、远离居民区及林区核心区域，配套密闭加工棚、降尘降噪设施，实现封闭作业。</w:t>
      </w:r>
    </w:p>
    <w:p w14:paraId="022DD4E8">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3）物料堆存区：分区设置成品骨料堆场、腐殖土堆存场、废石临时堆场，全部围挡封闭、覆盖防尘，分区标识清晰。</w:t>
      </w:r>
    </w:p>
    <w:p w14:paraId="0C5005D3">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4）办公辅助区：布置于矿区上风向、地势较高位置，设置临时办公、库房、值班室、应急物资储备点。</w:t>
      </w:r>
    </w:p>
    <w:p w14:paraId="33D7A29D">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5）环保设施区：配套建设沉淀池、排水沟、洒水系统、污水处理点位，集中布置于矿区低洼处，便于收集处置废水。</w:t>
      </w:r>
    </w:p>
    <w:p w14:paraId="5D72CB1B">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cs="Times New Roman" w:eastAsiaTheme="minorEastAsia"/>
          <w:color w:val="auto"/>
          <w:sz w:val="28"/>
          <w:szCs w:val="28"/>
          <w:highlight w:val="none"/>
          <w:lang w:val="en-US" w:eastAsia="zh-CN"/>
        </w:rPr>
      </w:pPr>
      <w:r>
        <w:drawing>
          <wp:inline distT="0" distB="0" distL="114300" distR="114300">
            <wp:extent cx="4838700" cy="5305425"/>
            <wp:effectExtent l="0" t="0" r="7620" b="13335"/>
            <wp:docPr id="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pic:cNvPicPr>
                      <a:picLocks noChangeAspect="1"/>
                    </pic:cNvPicPr>
                  </pic:nvPicPr>
                  <pic:blipFill>
                    <a:blip r:embed="rId16"/>
                    <a:stretch>
                      <a:fillRect/>
                    </a:stretch>
                  </pic:blipFill>
                  <pic:spPr>
                    <a:xfrm>
                      <a:off x="0" y="0"/>
                      <a:ext cx="4838700" cy="5305425"/>
                    </a:xfrm>
                    <a:prstGeom prst="rect">
                      <a:avLst/>
                    </a:prstGeom>
                    <a:noFill/>
                    <a:ln>
                      <a:noFill/>
                    </a:ln>
                  </pic:spPr>
                </pic:pic>
              </a:graphicData>
            </a:graphic>
          </wp:inline>
        </w:drawing>
      </w:r>
    </w:p>
    <w:p w14:paraId="4F7681E6">
      <w:pPr>
        <w:pageBreakBefore w:val="0"/>
        <w:tabs>
          <w:tab w:val="left" w:pos="750"/>
        </w:tabs>
        <w:kinsoku/>
        <w:wordWrap/>
        <w:overflowPunct/>
        <w:topLinePunct w:val="0"/>
        <w:bidi w:val="0"/>
        <w:spacing w:line="360" w:lineRule="auto"/>
        <w:jc w:val="center"/>
        <w:rPr>
          <w:rStyle w:val="33"/>
          <w:rFonts w:hint="default" w:ascii="Times New Roman" w:hAnsi="Times New Roman" w:cs="Times New Roman" w:eastAsiaTheme="minorEastAsia"/>
          <w:color w:val="auto"/>
          <w:lang w:val="en-US" w:eastAsia="zh-CN"/>
        </w:rPr>
      </w:pPr>
      <w:r>
        <w:rPr>
          <w:rStyle w:val="33"/>
          <w:rFonts w:hint="default" w:ascii="Times New Roman" w:hAnsi="Times New Roman" w:cs="Times New Roman" w:eastAsiaTheme="minorEastAsia"/>
          <w:color w:val="auto"/>
        </w:rPr>
        <w:t>图</w:t>
      </w:r>
      <w:r>
        <w:rPr>
          <w:rStyle w:val="33"/>
          <w:rFonts w:hint="eastAsia" w:ascii="Times New Roman" w:hAnsi="Times New Roman" w:cs="Times New Roman"/>
          <w:color w:val="auto"/>
          <w:lang w:val="en-US" w:eastAsia="zh-CN"/>
        </w:rPr>
        <w:t>4</w:t>
      </w:r>
      <w:r>
        <w:rPr>
          <w:rStyle w:val="33"/>
          <w:rFonts w:hint="default" w:ascii="Times New Roman" w:hAnsi="Times New Roman" w:cs="Times New Roman" w:eastAsiaTheme="minorEastAsia"/>
          <w:color w:val="auto"/>
        </w:rPr>
        <w:t>-</w:t>
      </w:r>
      <w:r>
        <w:rPr>
          <w:rStyle w:val="33"/>
          <w:rFonts w:hint="eastAsia" w:ascii="Times New Roman" w:hAnsi="Times New Roman" w:cs="Times New Roman"/>
          <w:color w:val="auto"/>
          <w:lang w:val="en-US" w:eastAsia="zh-CN"/>
        </w:rPr>
        <w:t>1</w:t>
      </w:r>
      <w:r>
        <w:rPr>
          <w:rStyle w:val="33"/>
          <w:rFonts w:hint="default" w:ascii="Times New Roman" w:hAnsi="Times New Roman" w:cs="Times New Roman" w:eastAsiaTheme="minorEastAsia"/>
          <w:color w:val="auto"/>
        </w:rPr>
        <w:t xml:space="preserve"> </w:t>
      </w:r>
      <w:r>
        <w:rPr>
          <w:rStyle w:val="33"/>
          <w:rFonts w:hint="eastAsia" w:ascii="Times New Roman" w:hAnsi="Times New Roman" w:cs="Times New Roman"/>
          <w:color w:val="auto"/>
          <w:lang w:val="en-US" w:eastAsia="zh-CN"/>
        </w:rPr>
        <w:t>总平面布置示意图</w:t>
      </w:r>
    </w:p>
    <w:p w14:paraId="6C35A56F">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3、</w:t>
      </w:r>
      <w:r>
        <w:rPr>
          <w:rFonts w:hint="default" w:ascii="Times New Roman" w:hAnsi="Times New Roman" w:cs="Times New Roman"/>
          <w:b/>
          <w:bCs/>
          <w:color w:val="auto"/>
          <w:sz w:val="28"/>
          <w:szCs w:val="28"/>
          <w:highlight w:val="none"/>
          <w:lang w:val="en-US" w:eastAsia="zh-CN"/>
        </w:rPr>
        <w:t>运输方案</w:t>
      </w:r>
    </w:p>
    <w:p w14:paraId="42D9F174">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采用“挖掘机铲装+自卸车转运”场内运输方式，修建矿山临时简易硬化运输道路，道路宽度6m，设置错车平台、边坡防护、排水设施，运输道路定期洒水降尘、养护平整。场内运输单向通行，杜绝逆行、超速作业。</w:t>
      </w:r>
    </w:p>
    <w:p w14:paraId="2DAEF71B">
      <w:pPr>
        <w:pStyle w:val="3"/>
        <w:pageBreakBefore w:val="0"/>
        <w:kinsoku/>
        <w:wordWrap/>
        <w:overflowPunct/>
        <w:topLinePunct w:val="0"/>
        <w:bidi w:val="0"/>
        <w:spacing w:before="0" w:after="0" w:line="360" w:lineRule="auto"/>
        <w:ind w:firstLine="602" w:firstLineChars="200"/>
        <w:rPr>
          <w:rFonts w:hint="eastAsia" w:ascii="Times New Roman" w:hAnsi="Times New Roman" w:cs="Times New Roman" w:eastAsiaTheme="minorEastAsia"/>
          <w:color w:val="auto"/>
          <w:sz w:val="30"/>
          <w:szCs w:val="30"/>
          <w:highlight w:val="none"/>
          <w:lang w:val="en-US" w:eastAsia="zh-CN"/>
        </w:rPr>
      </w:pPr>
      <w:bookmarkStart w:id="87" w:name="_Toc13612"/>
      <w:bookmarkStart w:id="88" w:name="heading_28"/>
      <w:r>
        <w:rPr>
          <w:rFonts w:hint="eastAsia" w:ascii="Times New Roman" w:hAnsi="Times New Roman" w:cs="Times New Roman" w:eastAsiaTheme="minorEastAsia"/>
          <w:color w:val="auto"/>
          <w:sz w:val="30"/>
          <w:szCs w:val="30"/>
          <w:highlight w:val="none"/>
          <w:lang w:val="en-US" w:eastAsia="zh-CN"/>
        </w:rPr>
        <w:t>六、供电系统方案</w:t>
      </w:r>
      <w:bookmarkEnd w:id="87"/>
      <w:bookmarkEnd w:id="88"/>
    </w:p>
    <w:p w14:paraId="7CB99017">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供电电源：本矿山为小型露天矿山，生产负荷较小，采用外接市电+备用发电机组双供电模式。就近接入区域10kV低压配电线路，经变压器降压至380V/220V，满足生产、照明、环保设备、办公用电需求。</w:t>
      </w:r>
    </w:p>
    <w:p w14:paraId="408FE8B7">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供电负荷：主要用电设备为破碎筛分设备、雾炮降尘设备、照明设备、监控设备、办公设备，总负荷满足日常连续生产需求。</w:t>
      </w:r>
    </w:p>
    <w:p w14:paraId="08A06186">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配电系统：矿区设置专用配电房，配备配电箱、漏电保护器、接地保护装置、过载保护装置，所有线路架空或穿管埋设，杜绝私拉乱接。露天设备采用防水、防尘、耐寒专用电气设备，适配高寒户外作业环境。</w:t>
      </w:r>
    </w:p>
    <w:p w14:paraId="5CF88273">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备用电源：配置柴油备用发电机组，应对市电断电情况，保障应急照明、排水、安防监控等关键设备不间断运行，杜绝停产及安全隐患。</w:t>
      </w:r>
    </w:p>
    <w:p w14:paraId="336E9D9A">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用电安全管理：严格落实电气设备定期检修、接地防雷、防火防爆措施，配备专职电工，规范用电作业流程，杜绝电气安全事故。</w:t>
      </w:r>
    </w:p>
    <w:p w14:paraId="3E5A4159">
      <w:pPr>
        <w:pStyle w:val="3"/>
        <w:pageBreakBefore w:val="0"/>
        <w:kinsoku/>
        <w:wordWrap/>
        <w:overflowPunct/>
        <w:topLinePunct w:val="0"/>
        <w:bidi w:val="0"/>
        <w:spacing w:before="0" w:after="0" w:line="360" w:lineRule="auto"/>
        <w:ind w:firstLine="602" w:firstLineChars="200"/>
        <w:rPr>
          <w:rFonts w:hint="eastAsia" w:ascii="Times New Roman" w:hAnsi="Times New Roman" w:cs="Times New Roman" w:eastAsiaTheme="minorEastAsia"/>
          <w:color w:val="auto"/>
          <w:sz w:val="30"/>
          <w:szCs w:val="30"/>
          <w:highlight w:val="none"/>
          <w:lang w:val="en-US" w:eastAsia="zh-CN"/>
        </w:rPr>
      </w:pPr>
      <w:bookmarkStart w:id="89" w:name="heading_29"/>
      <w:bookmarkStart w:id="90" w:name="_Toc30572"/>
      <w:r>
        <w:rPr>
          <w:rFonts w:hint="eastAsia" w:ascii="Times New Roman" w:hAnsi="Times New Roman" w:cs="Times New Roman" w:eastAsiaTheme="minorEastAsia"/>
          <w:color w:val="auto"/>
          <w:sz w:val="30"/>
          <w:szCs w:val="30"/>
          <w:highlight w:val="none"/>
          <w:lang w:val="en-US" w:eastAsia="zh-CN"/>
        </w:rPr>
        <w:t>七、矿坑排水与水处理方案</w:t>
      </w:r>
      <w:bookmarkEnd w:id="89"/>
      <w:bookmarkEnd w:id="90"/>
    </w:p>
    <w:p w14:paraId="5B15EDB9">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default" w:ascii="Times New Roman" w:hAnsi="Times New Roman" w:cs="Times New Roman"/>
          <w:b/>
          <w:bCs/>
          <w:color w:val="auto"/>
          <w:sz w:val="28"/>
          <w:szCs w:val="28"/>
          <w:highlight w:val="none"/>
          <w:lang w:val="en-US" w:eastAsia="zh-CN"/>
        </w:rPr>
        <w:t>1、矿坑排水方案</w:t>
      </w:r>
    </w:p>
    <w:p w14:paraId="07AA44E6">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本矿区水文地质条件简单，基岩裂隙不发育，无地下水涌水问题，矿坑充水来源单一，仅为区域大气降水及冰雪融水。矿区整体呈西高东低的地形走势，具备良好的自然排水条件，本次设计采用自流排水为主、机械辅助排水为辅的组合排水方式。同时在矿区外围配套设置截排水沟，彻底阻断场外地表径流汇入矿区，大幅减少矿坑汇水量，降低排水及水处理系统运行负荷。</w:t>
      </w:r>
    </w:p>
    <w:p w14:paraId="6D85FF1D">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default" w:ascii="Times New Roman" w:hAnsi="Times New Roman" w:cs="Times New Roman"/>
          <w:b/>
          <w:bCs/>
          <w:color w:val="auto"/>
          <w:sz w:val="28"/>
          <w:szCs w:val="28"/>
          <w:highlight w:val="none"/>
          <w:lang w:val="en-US" w:eastAsia="zh-CN"/>
        </w:rPr>
        <w:t>2、水处理及水量平衡方案</w:t>
      </w:r>
    </w:p>
    <w:p w14:paraId="471D6E32">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本矿区无生产工艺废水产生，矿坑水体全部来源于矿区范围内大气降水及冰雪融水冲刷采坑、作业场地、作业洒水形成的含泥废水，废水污染物仅为泥沙悬浮物，无重金属、有毒有害及污染性物质，水质简单、可循环利用。矿坑废水经统一收集、沉淀澄清处理后全部回用，生活污水单独处置，全场实现废水零外排。</w:t>
      </w:r>
    </w:p>
    <w:p w14:paraId="7963E896">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eastAsia" w:ascii="Times New Roman" w:hAnsi="Times New Roman" w:cs="Times New Roman" w:eastAsiaTheme="minorEastAsia"/>
          <w:color w:val="auto"/>
          <w:sz w:val="28"/>
          <w:szCs w:val="28"/>
          <w:highlight w:val="none"/>
          <w:lang w:val="en-US" w:eastAsia="zh-CN"/>
        </w:rPr>
        <w:t>1）</w:t>
      </w:r>
      <w:r>
        <w:rPr>
          <w:rFonts w:hint="default" w:ascii="Times New Roman" w:hAnsi="Times New Roman" w:cs="Times New Roman" w:eastAsiaTheme="minorEastAsia"/>
          <w:color w:val="auto"/>
          <w:sz w:val="28"/>
          <w:szCs w:val="28"/>
          <w:highlight w:val="none"/>
          <w:lang w:val="en-US" w:eastAsia="zh-CN"/>
        </w:rPr>
        <w:t xml:space="preserve"> 矿坑水量核算（正常工况+暴雨工况）</w:t>
      </w:r>
    </w:p>
    <w:p w14:paraId="344B7FE7">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本次矿坑汇水量采用降雨径流公式 W=10ψHF 进行精准核算，参数取值贴合矿区实际：径流系数ψ取矿区裸露岩质采场常规值0.70，汇水面积F取矿区总面积2.42872hm²，10为单位换算系数；降雨量采用呼玛县多年权威气象观测数据，具体水量核算结果如下：</w:t>
      </w:r>
    </w:p>
    <w:p w14:paraId="4C438DC1">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正常工况水量：采用呼玛县多年平均年降水量460.4mm计算，矿区年均矿坑径流总水量为7827.28</w:t>
      </w:r>
      <w:r>
        <w:rPr>
          <w:rFonts w:hint="eastAsia" w:cs="Times New Roman" w:eastAsiaTheme="minorEastAsia"/>
          <w:color w:val="auto"/>
          <w:sz w:val="28"/>
          <w:szCs w:val="28"/>
          <w:highlight w:val="none"/>
          <w:lang w:val="en-US" w:eastAsia="zh-CN"/>
        </w:rPr>
        <w:t>立方米</w:t>
      </w:r>
      <w:r>
        <w:rPr>
          <w:rFonts w:hint="default" w:ascii="Times New Roman" w:hAnsi="Times New Roman" w:cs="Times New Roman" w:eastAsiaTheme="minorEastAsia"/>
          <w:color w:val="auto"/>
          <w:sz w:val="28"/>
          <w:szCs w:val="28"/>
          <w:highlight w:val="none"/>
          <w:lang w:val="en-US" w:eastAsia="zh-CN"/>
        </w:rPr>
        <w:t>，折算日均正常矿坑汇水量为21.44</w:t>
      </w:r>
      <w:r>
        <w:rPr>
          <w:rFonts w:hint="eastAsia" w:cs="Times New Roman" w:eastAsiaTheme="minorEastAsia"/>
          <w:color w:val="auto"/>
          <w:sz w:val="28"/>
          <w:szCs w:val="28"/>
          <w:highlight w:val="none"/>
          <w:lang w:val="en-US" w:eastAsia="zh-CN"/>
        </w:rPr>
        <w:t>立方米</w:t>
      </w:r>
      <w:r>
        <w:rPr>
          <w:rFonts w:hint="default" w:ascii="Times New Roman" w:hAnsi="Times New Roman" w:cs="Times New Roman" w:eastAsiaTheme="minorEastAsia"/>
          <w:color w:val="auto"/>
          <w:sz w:val="28"/>
          <w:szCs w:val="28"/>
          <w:highlight w:val="none"/>
          <w:lang w:val="en-US" w:eastAsia="zh-CN"/>
        </w:rPr>
        <w:t>/d。</w:t>
      </w:r>
    </w:p>
    <w:p w14:paraId="11E58B2F">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最大暴雨工况水量：采用20年一遇24h设计暴雨降雨量70mm作为极端控制工况，核算得出单日最大矿坑汇水量为1190.05</w:t>
      </w:r>
      <w:r>
        <w:rPr>
          <w:rFonts w:hint="eastAsia" w:cs="Times New Roman" w:eastAsiaTheme="minorEastAsia"/>
          <w:color w:val="auto"/>
          <w:sz w:val="28"/>
          <w:szCs w:val="28"/>
          <w:highlight w:val="none"/>
          <w:lang w:val="en-US" w:eastAsia="zh-CN"/>
        </w:rPr>
        <w:t>立方米</w:t>
      </w:r>
      <w:r>
        <w:rPr>
          <w:rFonts w:hint="default" w:ascii="Times New Roman" w:hAnsi="Times New Roman" w:cs="Times New Roman" w:eastAsiaTheme="minorEastAsia"/>
          <w:color w:val="auto"/>
          <w:sz w:val="28"/>
          <w:szCs w:val="28"/>
          <w:highlight w:val="none"/>
          <w:lang w:val="en-US" w:eastAsia="zh-CN"/>
        </w:rPr>
        <w:t>，该水量作为矿区沉淀池、废水收集管网、排水系统的核心设计依据。</w:t>
      </w:r>
    </w:p>
    <w:p w14:paraId="45F56CF1">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eastAsia" w:ascii="Times New Roman" w:hAnsi="Times New Roman" w:cs="Times New Roman" w:eastAsiaTheme="minorEastAsia"/>
          <w:color w:val="auto"/>
          <w:sz w:val="28"/>
          <w:szCs w:val="28"/>
          <w:highlight w:val="none"/>
          <w:lang w:val="en-US" w:eastAsia="zh-CN"/>
        </w:rPr>
        <w:t>2）</w:t>
      </w:r>
      <w:r>
        <w:rPr>
          <w:rFonts w:hint="default" w:ascii="Times New Roman" w:hAnsi="Times New Roman" w:cs="Times New Roman" w:eastAsiaTheme="minorEastAsia"/>
          <w:color w:val="auto"/>
          <w:sz w:val="28"/>
          <w:szCs w:val="28"/>
          <w:highlight w:val="none"/>
          <w:lang w:val="en-US" w:eastAsia="zh-CN"/>
        </w:rPr>
        <w:t xml:space="preserve"> 矿坑水回用量及用水匹配性分析</w:t>
      </w:r>
    </w:p>
    <w:p w14:paraId="45BE88DA">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矿区矿坑废水处理方式简单，所有含泥废水经收集汇入沉淀池，通过自然沉淀、澄清净化后，水质可完全满足矿区洒水降尘、场地抑尘、矿区道路养护等日常生产回用需求，无额外水处理药剂添加，回用安全可靠。</w:t>
      </w:r>
    </w:p>
    <w:p w14:paraId="67A7F181">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水量平衡校核结果：常年正常工况下，矿区日均矿坑汇水可回用量为21.44</w:t>
      </w:r>
      <w:r>
        <w:rPr>
          <w:rFonts w:hint="eastAsia" w:cs="Times New Roman" w:eastAsiaTheme="minorEastAsia"/>
          <w:color w:val="auto"/>
          <w:sz w:val="28"/>
          <w:szCs w:val="28"/>
          <w:highlight w:val="none"/>
          <w:lang w:val="en-US" w:eastAsia="zh-CN"/>
        </w:rPr>
        <w:t>立方米</w:t>
      </w:r>
      <w:r>
        <w:rPr>
          <w:rFonts w:hint="default" w:ascii="Times New Roman" w:hAnsi="Times New Roman" w:cs="Times New Roman" w:eastAsiaTheme="minorEastAsia"/>
          <w:color w:val="auto"/>
          <w:sz w:val="28"/>
          <w:szCs w:val="28"/>
          <w:highlight w:val="none"/>
          <w:lang w:val="en-US" w:eastAsia="zh-CN"/>
        </w:rPr>
        <w:t>/d，可完全覆盖矿区日常洒水降尘、场地保洁、道路养护等生产用水需求，矿坑水回用量完全满足日常生产用水要求，无需外接补水。</w:t>
      </w:r>
    </w:p>
    <w:p w14:paraId="74F0FB28">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暴雨极端工况下，单日最大汇水量骤增，瞬时汇水量超出当日生产回用水量。本次通过配套容积匹配的沉淀池进行调蓄缓冲，将暴雨时段富余汇水暂时储存，待暴雨结束后，分期、分批用于后续场地抑尘、道路养护，逐步消纳全部雨水汇水，无积水滞留、无废水外排，极端工况下水量可完全消纳，回用系统满足暴雨工况运行要求。</w:t>
      </w:r>
    </w:p>
    <w:p w14:paraId="65138481">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eastAsia" w:ascii="Times New Roman" w:hAnsi="Times New Roman" w:cs="Times New Roman" w:eastAsiaTheme="minorEastAsia"/>
          <w:color w:val="auto"/>
          <w:sz w:val="28"/>
          <w:szCs w:val="28"/>
          <w:highlight w:val="none"/>
          <w:lang w:val="en-US" w:eastAsia="zh-CN"/>
        </w:rPr>
        <w:t>3）</w:t>
      </w:r>
      <w:r>
        <w:rPr>
          <w:rFonts w:hint="default" w:ascii="Times New Roman" w:hAnsi="Times New Roman" w:cs="Times New Roman" w:eastAsiaTheme="minorEastAsia"/>
          <w:color w:val="auto"/>
          <w:sz w:val="28"/>
          <w:szCs w:val="28"/>
          <w:highlight w:val="none"/>
          <w:lang w:val="en-US" w:eastAsia="zh-CN"/>
        </w:rPr>
        <w:t xml:space="preserve"> 生活污水处理方式</w:t>
      </w:r>
    </w:p>
    <w:p w14:paraId="275FD040">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矿区生活污水单独收集处置，设置防渗化粪池对生活污水进行预处理，预处理后的生活污水不排入周边地表、水体及土壤环境，定期委托具备资质的专业单位清掏外运，进行资源化无害化处置，彻底规避生活污水造成的水土污染风险。</w:t>
      </w:r>
    </w:p>
    <w:p w14:paraId="04583728">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default" w:ascii="Times New Roman" w:hAnsi="Times New Roman" w:cs="Times New Roman"/>
          <w:b/>
          <w:bCs/>
          <w:color w:val="auto"/>
          <w:sz w:val="28"/>
          <w:szCs w:val="28"/>
          <w:highlight w:val="none"/>
          <w:lang w:val="en-US" w:eastAsia="zh-CN"/>
        </w:rPr>
        <w:t>3、汇水量计算说明</w:t>
      </w:r>
    </w:p>
    <w:p w14:paraId="524DDC5C">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本矿区无地下水涌水补给，矿坑汇水唯一来源为矿区范围内大气降水形成的地表径流，场外径流已通过外围截排水沟完全阻断，不纳入汇水计算范围。</w:t>
      </w:r>
    </w:p>
    <w:p w14:paraId="6EF366E2">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采用降雨径流公式W=10</w:t>
      </w:r>
      <w:r>
        <w:rPr>
          <w:rFonts w:ascii="宋体" w:hAnsi="宋体" w:eastAsia="宋体" w:cs="宋体"/>
          <w:color w:val="auto"/>
          <w:sz w:val="24"/>
          <w:szCs w:val="24"/>
          <w:highlight w:val="none"/>
        </w:rPr>
        <w:t>ψ</w:t>
      </w:r>
      <w:r>
        <w:rPr>
          <w:rFonts w:hint="default" w:ascii="Times New Roman" w:hAnsi="Times New Roman" w:cs="Times New Roman" w:eastAsiaTheme="minorEastAsia"/>
          <w:color w:val="auto"/>
          <w:sz w:val="28"/>
          <w:szCs w:val="28"/>
          <w:highlight w:val="none"/>
          <w:lang w:val="en-US" w:eastAsia="zh-CN"/>
        </w:rPr>
        <w:t>HF进行水文计算；</w:t>
      </w:r>
    </w:p>
    <w:p w14:paraId="1A8360B9">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 xml:space="preserve"> 式中： W—— 降雨径流量，m</w:t>
      </w:r>
      <w:r>
        <w:rPr>
          <w:rFonts w:hint="default" w:ascii="Times New Roman" w:hAnsi="Times New Roman" w:cs="Times New Roman" w:eastAsiaTheme="minorEastAsia"/>
          <w:color w:val="auto"/>
          <w:sz w:val="28"/>
          <w:szCs w:val="28"/>
          <w:highlight w:val="none"/>
          <w:vertAlign w:val="superscript"/>
          <w:lang w:val="en-US" w:eastAsia="zh-CN"/>
        </w:rPr>
        <w:t>3</w:t>
      </w:r>
      <w:r>
        <w:rPr>
          <w:rFonts w:hint="default" w:ascii="Times New Roman" w:hAnsi="Times New Roman" w:cs="Times New Roman" w:eastAsiaTheme="minorEastAsia"/>
          <w:color w:val="auto"/>
          <w:sz w:val="28"/>
          <w:szCs w:val="28"/>
          <w:highlight w:val="none"/>
          <w:lang w:val="en-US" w:eastAsia="zh-CN"/>
        </w:rPr>
        <w:t>；</w:t>
      </w:r>
    </w:p>
    <w:p w14:paraId="38857511">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 xml:space="preserve"> </w:t>
      </w:r>
      <w:r>
        <w:rPr>
          <w:rFonts w:ascii="宋体" w:hAnsi="宋体" w:eastAsia="宋体" w:cs="宋体"/>
          <w:color w:val="auto"/>
          <w:sz w:val="24"/>
          <w:szCs w:val="24"/>
          <w:highlight w:val="none"/>
        </w:rPr>
        <w:t>ψ</w:t>
      </w:r>
      <w:r>
        <w:rPr>
          <w:rFonts w:hint="default" w:ascii="Times New Roman" w:hAnsi="Times New Roman" w:cs="Times New Roman" w:eastAsiaTheme="minorEastAsia"/>
          <w:color w:val="auto"/>
          <w:sz w:val="28"/>
          <w:szCs w:val="28"/>
          <w:highlight w:val="none"/>
          <w:lang w:val="en-US" w:eastAsia="zh-CN"/>
        </w:rPr>
        <w:t>—— 径流系数，矿区裸露岩质采场取 0.70；</w:t>
      </w:r>
    </w:p>
    <w:p w14:paraId="3D8827B7">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 xml:space="preserve"> H—— 降雨量，mm； </w:t>
      </w:r>
    </w:p>
    <w:p w14:paraId="470315C2">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F—— 汇水面积，hm</w:t>
      </w:r>
      <w:r>
        <w:rPr>
          <w:rFonts w:hint="default" w:ascii="Times New Roman" w:hAnsi="Times New Roman" w:cs="Times New Roman" w:eastAsiaTheme="minorEastAsia"/>
          <w:color w:val="auto"/>
          <w:sz w:val="28"/>
          <w:szCs w:val="28"/>
          <w:highlight w:val="none"/>
          <w:vertAlign w:val="superscript"/>
          <w:lang w:val="en-US" w:eastAsia="zh-CN"/>
        </w:rPr>
        <w:t>2</w:t>
      </w:r>
      <w:r>
        <w:rPr>
          <w:rFonts w:hint="default" w:ascii="Times New Roman" w:hAnsi="Times New Roman" w:cs="Times New Roman" w:eastAsiaTheme="minorEastAsia"/>
          <w:color w:val="auto"/>
          <w:sz w:val="28"/>
          <w:szCs w:val="28"/>
          <w:highlight w:val="none"/>
          <w:lang w:val="en-US" w:eastAsia="zh-CN"/>
        </w:rPr>
        <w:t>，汇水面积取矿区总面积2.42872hm</w:t>
      </w:r>
      <w:r>
        <w:rPr>
          <w:rFonts w:hint="default" w:ascii="Times New Roman" w:hAnsi="Times New Roman" w:cs="Times New Roman" w:eastAsiaTheme="minorEastAsia"/>
          <w:color w:val="auto"/>
          <w:sz w:val="28"/>
          <w:szCs w:val="28"/>
          <w:highlight w:val="none"/>
          <w:vertAlign w:val="superscript"/>
          <w:lang w:val="en-US" w:eastAsia="zh-CN"/>
        </w:rPr>
        <w:t>2</w:t>
      </w:r>
      <w:r>
        <w:rPr>
          <w:rFonts w:hint="default" w:ascii="Times New Roman" w:hAnsi="Times New Roman" w:cs="Times New Roman" w:eastAsiaTheme="minorEastAsia"/>
          <w:color w:val="auto"/>
          <w:sz w:val="28"/>
          <w:szCs w:val="28"/>
          <w:highlight w:val="none"/>
          <w:lang w:val="en-US" w:eastAsia="zh-CN"/>
        </w:rPr>
        <w:t>；10 为单位换算系数。</w:t>
      </w:r>
    </w:p>
    <w:p w14:paraId="345F28A5">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气象及核算成果：呼玛县多年平均年降水量460.4mm，矿区年均径流总量7827.28</w:t>
      </w:r>
      <w:r>
        <w:rPr>
          <w:rFonts w:hint="eastAsia" w:cs="Times New Roman" w:eastAsiaTheme="minorEastAsia"/>
          <w:color w:val="auto"/>
          <w:sz w:val="28"/>
          <w:szCs w:val="28"/>
          <w:highlight w:val="none"/>
          <w:lang w:val="en-US" w:eastAsia="zh-CN"/>
        </w:rPr>
        <w:t>立方米</w:t>
      </w:r>
      <w:r>
        <w:rPr>
          <w:rFonts w:hint="default" w:ascii="Times New Roman" w:hAnsi="Times New Roman" w:cs="Times New Roman" w:eastAsiaTheme="minorEastAsia"/>
          <w:color w:val="auto"/>
          <w:sz w:val="28"/>
          <w:szCs w:val="28"/>
          <w:highlight w:val="none"/>
          <w:lang w:val="en-US" w:eastAsia="zh-CN"/>
        </w:rPr>
        <w:t>；20年一遇24h设计暴雨量70mm，单日最大汇水量1190.05</w:t>
      </w:r>
      <w:r>
        <w:rPr>
          <w:rFonts w:hint="eastAsia" w:cs="Times New Roman" w:eastAsiaTheme="minorEastAsia"/>
          <w:color w:val="auto"/>
          <w:sz w:val="28"/>
          <w:szCs w:val="28"/>
          <w:highlight w:val="none"/>
          <w:lang w:val="en-US" w:eastAsia="zh-CN"/>
        </w:rPr>
        <w:t>立方米</w:t>
      </w:r>
      <w:r>
        <w:rPr>
          <w:rFonts w:hint="default" w:ascii="Times New Roman" w:hAnsi="Times New Roman" w:cs="Times New Roman" w:eastAsiaTheme="minorEastAsia"/>
          <w:color w:val="auto"/>
          <w:sz w:val="28"/>
          <w:szCs w:val="28"/>
          <w:highlight w:val="none"/>
          <w:lang w:val="en-US" w:eastAsia="zh-CN"/>
        </w:rPr>
        <w:t>，所有计算参数及成果均满足矿山排水、水处理设施设计规范要求。</w:t>
      </w:r>
    </w:p>
    <w:p w14:paraId="68DD54D5">
      <w:pPr>
        <w:pStyle w:val="3"/>
        <w:pageBreakBefore w:val="0"/>
        <w:kinsoku/>
        <w:wordWrap/>
        <w:overflowPunct/>
        <w:topLinePunct w:val="0"/>
        <w:bidi w:val="0"/>
        <w:spacing w:before="0" w:after="0" w:line="360" w:lineRule="auto"/>
        <w:ind w:firstLine="602" w:firstLineChars="200"/>
        <w:rPr>
          <w:rFonts w:hint="eastAsia" w:ascii="Times New Roman" w:hAnsi="Times New Roman" w:cs="Times New Roman" w:eastAsiaTheme="minorEastAsia"/>
          <w:color w:val="auto"/>
          <w:sz w:val="30"/>
          <w:szCs w:val="30"/>
          <w:highlight w:val="none"/>
          <w:lang w:val="en-US" w:eastAsia="zh-CN"/>
        </w:rPr>
      </w:pPr>
      <w:bookmarkStart w:id="91" w:name="_Toc28566"/>
      <w:bookmarkStart w:id="92" w:name="heading_30"/>
      <w:r>
        <w:rPr>
          <w:rFonts w:hint="eastAsia" w:ascii="Times New Roman" w:hAnsi="Times New Roman" w:cs="Times New Roman" w:eastAsiaTheme="minorEastAsia"/>
          <w:color w:val="auto"/>
          <w:sz w:val="30"/>
          <w:szCs w:val="30"/>
          <w:highlight w:val="none"/>
          <w:lang w:val="en-US" w:eastAsia="zh-CN"/>
        </w:rPr>
        <w:t>八、排土场设置与处置方案</w:t>
      </w:r>
      <w:bookmarkEnd w:id="91"/>
      <w:bookmarkEnd w:id="92"/>
    </w:p>
    <w:p w14:paraId="3754FF77">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排土场设置：本矿山剥离物仅为表层腐殖土、少量风化残坡积土，无大量废石排弃，根据矿区地形，设置1处临时规范排土场，位于矿区闲置平缓区域，不占用开采境界、不占用生态敏感区，场地平整、地基稳定、排水通畅。</w:t>
      </w:r>
    </w:p>
    <w:p w14:paraId="3F192A19">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排土分区管控：实行分区堆放，腐殖土单独围挡堆存、覆盖保湿，专门用于后期土地复垦、植被恢复；风化废土、碎石单独堆放，用于路基回填、场地平整，实现分类处置、全部利用。</w:t>
      </w:r>
    </w:p>
    <w:p w14:paraId="51CCF058">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排土场防护措施：排土场周边设置排水沟、截水沟，防止雨水冲刷造成水土流失；堆体分层碾压平整，设置边坡防护，杜绝坍塌滑坡；裸露堆体全覆盖防尘网，常态化洒水降尘。</w:t>
      </w:r>
    </w:p>
    <w:p w14:paraId="708F51E3">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闭坑处置：矿山开采结束后，排土场全部平整复垦，覆土种草恢复植被，无遗留固废、无废弃排土场，完全符合绿色矿山闭坑治理要求。</w:t>
      </w:r>
    </w:p>
    <w:p w14:paraId="1F37AC06">
      <w:pPr>
        <w:pStyle w:val="3"/>
        <w:pageBreakBefore w:val="0"/>
        <w:kinsoku/>
        <w:wordWrap/>
        <w:overflowPunct/>
        <w:topLinePunct w:val="0"/>
        <w:bidi w:val="0"/>
        <w:spacing w:before="0" w:after="0" w:line="360" w:lineRule="auto"/>
        <w:ind w:firstLine="602" w:firstLineChars="200"/>
        <w:rPr>
          <w:rFonts w:hint="eastAsia" w:ascii="Times New Roman" w:hAnsi="Times New Roman" w:cs="Times New Roman" w:eastAsiaTheme="minorEastAsia"/>
          <w:color w:val="auto"/>
          <w:sz w:val="30"/>
          <w:szCs w:val="30"/>
          <w:highlight w:val="none"/>
          <w:lang w:val="en-US" w:eastAsia="zh-CN"/>
        </w:rPr>
      </w:pPr>
      <w:bookmarkStart w:id="93" w:name="heading_31"/>
      <w:bookmarkStart w:id="94" w:name="_Toc17928"/>
      <w:r>
        <w:rPr>
          <w:rFonts w:hint="eastAsia" w:ascii="Times New Roman" w:hAnsi="Times New Roman" w:cs="Times New Roman" w:eastAsiaTheme="minorEastAsia"/>
          <w:color w:val="auto"/>
          <w:sz w:val="30"/>
          <w:szCs w:val="30"/>
          <w:highlight w:val="none"/>
          <w:lang w:val="en-US" w:eastAsia="zh-CN"/>
        </w:rPr>
        <w:t>九、安全生产保障措施</w:t>
      </w:r>
      <w:bookmarkEnd w:id="93"/>
      <w:bookmarkEnd w:id="94"/>
    </w:p>
    <w:p w14:paraId="4EAFC915">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bookmarkStart w:id="95" w:name="heading_32"/>
      <w:r>
        <w:rPr>
          <w:rFonts w:hint="default" w:ascii="Times New Roman" w:hAnsi="Times New Roman" w:cs="Times New Roman" w:eastAsiaTheme="minorEastAsia"/>
          <w:color w:val="auto"/>
          <w:sz w:val="28"/>
          <w:szCs w:val="28"/>
          <w:highlight w:val="none"/>
          <w:lang w:val="en-US" w:eastAsia="zh-CN"/>
        </w:rPr>
        <w:t>结合本矿高寒林区小型露天凝灰岩矿山开采工艺、静态破碎无爆破作业特点，严格依据《金属非金属矿山安全规程》（GB 16423-2020）、露天非金属矿山安全管理相关规范，构建覆盖边坡防护、开采作业、机械运输、供配电、季节性管控、应急处置全流程系统化安全生产专项设计，具体措施如下：</w:t>
      </w:r>
    </w:p>
    <w:p w14:paraId="67AC7BAF">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1、</w:t>
      </w:r>
      <w:r>
        <w:rPr>
          <w:rFonts w:hint="default" w:ascii="Times New Roman" w:hAnsi="Times New Roman" w:cs="Times New Roman"/>
          <w:b/>
          <w:bCs/>
          <w:color w:val="auto"/>
          <w:sz w:val="28"/>
          <w:szCs w:val="28"/>
          <w:highlight w:val="none"/>
          <w:lang w:val="en-US" w:eastAsia="zh-CN"/>
        </w:rPr>
        <w:t>边坡安全专项设计</w:t>
      </w:r>
    </w:p>
    <w:p w14:paraId="077A147E">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边坡参数标准化管控：严格按照开采方案设计台阶参数施工，开采终了统一边坡角60°，每个开采台阶配套8m 宽安全平台与清扫平台；针对表层风化、裂隙发育岩体区段，主动放缓边坡，同步铺设主动防护网、锚杆固坡，消除浮石、危岩滑落风险。最小作业底盘宽度不小于40m，杜绝掏底开挖、直壁陡挖等违规开采行为。</w:t>
      </w:r>
    </w:p>
    <w:p w14:paraId="6EE9E5EF">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边坡人工巡查 + 智能监测双重管控：建立常态化边坡巡查制度，日常每日开展1次全覆盖巡查；雨季、春季融雪冻融期每日加密巡查2次，重点排查裂隙扩张、浮石松动、冻融剥落等隐患；同步配套边坡位移、雨量、温湿度智能监测设备，数据实时传输至矿区值班室，位移、沉降数据超标立即声光预警，第一时间停工处置。所有巡查、监测记录建立专项台账，留存备查。</w:t>
      </w:r>
    </w:p>
    <w:p w14:paraId="4F80E011">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边坡分区排水防护：沿采场外围开挖环形截水沟，各台阶内侧布设横向排水沟，沟渠统一接入集水坑与沉淀池，阻隔大气降水、融雪水渗入岩体裂隙，防止冻融、渗水诱发边坡滑塌；沟渠定期清淤，保障排水通畅无淤积。</w:t>
      </w:r>
    </w:p>
    <w:p w14:paraId="07334E37">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2、</w:t>
      </w:r>
      <w:r>
        <w:rPr>
          <w:rFonts w:hint="default" w:ascii="Times New Roman" w:hAnsi="Times New Roman" w:cs="Times New Roman"/>
          <w:b/>
          <w:bCs/>
          <w:color w:val="auto"/>
          <w:sz w:val="28"/>
          <w:szCs w:val="28"/>
          <w:highlight w:val="none"/>
          <w:lang w:val="en-US" w:eastAsia="zh-CN"/>
        </w:rPr>
        <w:t>开采作业安全专项管控</w:t>
      </w:r>
    </w:p>
    <w:p w14:paraId="5A53860C">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静态破碎作业安全管理：本矿山全程采用液压破碎锤静态破岩、禁止爆破施工。破碎作业划定半径20m硬质围挡警戒区，设置醒目警示标识，安排专职安全员现场全程监护；破碎机械回转范围内严禁站人、堆放物料，多设备不同时交叉作业。风化松软岩层采用挖掘机直接剥离，作业前提前清理坡面松动碎石。</w:t>
      </w:r>
    </w:p>
    <w:p w14:paraId="0499D082">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台阶开采作业规范：作业人员、机械与台阶边缘预留不小于5m 安全避让距离；上下台阶禁止垂直同时作业，各台阶自上而下分层顺序开采，上台阶作业时下台阶人员、设备全部撤离至安全区域。</w:t>
      </w:r>
    </w:p>
    <w:p w14:paraId="1C26EF21">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人员准入管理：所有露天作业人员必须持特种作业操作证上岗，进场完成三级安全培训、开采技术交底、风险辨识培训，考核合格后方可上岗；作业全程统一穿戴反光背心、安全帽、防滑劳保鞋等防护用品。矿区开采作业区全封闭围挡，设置门禁与警戒标识，严禁无关人员、牲畜进入采场。</w:t>
      </w:r>
    </w:p>
    <w:p w14:paraId="57141443">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3、</w:t>
      </w:r>
      <w:r>
        <w:rPr>
          <w:rFonts w:hint="default" w:ascii="Times New Roman" w:hAnsi="Times New Roman" w:cs="Times New Roman"/>
          <w:b/>
          <w:bCs/>
          <w:color w:val="auto"/>
          <w:sz w:val="28"/>
          <w:szCs w:val="28"/>
          <w:highlight w:val="none"/>
          <w:lang w:val="en-US" w:eastAsia="zh-CN"/>
        </w:rPr>
        <w:t>机械设备安全专项措施</w:t>
      </w:r>
    </w:p>
    <w:p w14:paraId="75B90908">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采掘、破碎、运输设备建立一机一档维保台账，每日班前开展制动、液压、灯光、防护装置检查，每周全面检修，严寒季节更换低温专用机油、防冻液，杜绝设备带病运行。</w:t>
      </w:r>
    </w:p>
    <w:p w14:paraId="14CDBD5A">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破碎筛分设备进料口加装防飞溅挡板、防护护栏，设备传动、滚轮部位全部封闭防护罩；设备运行期间禁止人员清理堵料、检修部件，停机断电并挂牌警示后方可开展维修。</w:t>
      </w:r>
    </w:p>
    <w:p w14:paraId="0B3C525A">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所有工程机械、自卸车辆配备倒车声光报警、盲区警示装置，夜间作业配套大功率防爆照明设备。</w:t>
      </w:r>
    </w:p>
    <w:p w14:paraId="58C3863A">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4、</w:t>
      </w:r>
      <w:r>
        <w:rPr>
          <w:rFonts w:hint="default" w:ascii="Times New Roman" w:hAnsi="Times New Roman" w:cs="Times New Roman"/>
          <w:b/>
          <w:bCs/>
          <w:color w:val="auto"/>
          <w:sz w:val="28"/>
          <w:szCs w:val="28"/>
          <w:highlight w:val="none"/>
          <w:lang w:val="en-US" w:eastAsia="zh-CN"/>
        </w:rPr>
        <w:t>场内场外运输安全专项设计</w:t>
      </w:r>
    </w:p>
    <w:p w14:paraId="7424F706">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场内运输道路专项建设：主干道设计路面宽度6m，转弯、陡坡、交叉口加宽至8m；道路纵向坡度控制≤8%，每间隔50m设置错车平台；道路两侧砌筑防撞矮挡墙，沿线布设反光警示标识、限速标牌，场内行驶限速5km/h。</w:t>
      </w:r>
    </w:p>
    <w:p w14:paraId="038FB430">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运输作业管控：自卸车辆严禁超载、超高；装车、倒车环节安排专人手持指挥旗现场引导；出场车辆必须经过自动冲洗平台，清理车身、车轮泥土后方可驶入 S209 省道。场外运输固定合规线路，避开居民点、林地敏感区，车辆全程密闭篷布全覆盖。</w:t>
      </w:r>
    </w:p>
    <w:p w14:paraId="57F83742">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5、</w:t>
      </w:r>
      <w:r>
        <w:rPr>
          <w:rFonts w:hint="default" w:ascii="Times New Roman" w:hAnsi="Times New Roman" w:cs="Times New Roman"/>
          <w:b/>
          <w:bCs/>
          <w:color w:val="auto"/>
          <w:sz w:val="28"/>
          <w:szCs w:val="28"/>
          <w:highlight w:val="none"/>
          <w:lang w:val="en-US" w:eastAsia="zh-CN"/>
        </w:rPr>
        <w:t>供配电与消防安全专项措施</w:t>
      </w:r>
    </w:p>
    <w:p w14:paraId="7533024B">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供电系统安全：矿山采用市电为主、柴油发电机组备用的双路供电模式，独立建设标准化配电房，配齐漏电保护器、过载、防雷接地保护装置；露天电气设备选用耐寒、防水、防爆型号，线路架空或穿管埋地敷设，禁止私拉乱接。配备专职持证电工，每月开展电路、配电设备巡检维护。</w:t>
      </w:r>
    </w:p>
    <w:p w14:paraId="23C1AD96">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分区消防配置：破碎加工区、柴油发电机房、油料临时存放点、办公板房分区摆放足量干粉灭火器、消防沙、消防水桶；油料存放区独立设置防渗防火隔间，划定全域禁火区，林区范围内严禁明火、吸烟，如需动火作业必须办理动火审批、配备灭火监护人员。</w:t>
      </w:r>
    </w:p>
    <w:p w14:paraId="0A736C4E">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6、</w:t>
      </w:r>
      <w:r>
        <w:rPr>
          <w:rFonts w:hint="default" w:ascii="Times New Roman" w:hAnsi="Times New Roman" w:cs="Times New Roman"/>
          <w:b/>
          <w:bCs/>
          <w:color w:val="auto"/>
          <w:sz w:val="28"/>
          <w:szCs w:val="28"/>
          <w:highlight w:val="none"/>
          <w:lang w:val="en-US" w:eastAsia="zh-CN"/>
        </w:rPr>
        <w:t>高寒林区季节性安全专项防控</w:t>
      </w:r>
    </w:p>
    <w:p w14:paraId="52914669">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冬季防冻防滑：降雪后及时清理作业台阶、运输道路积雪积冰，路面铺设防滑碎石；露天水管、喷淋设备停工后排空积水，防止低温冻裂；设备加注低温专用液压油、防冻液。</w:t>
      </w:r>
    </w:p>
    <w:p w14:paraId="51923D62">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春季融雪冻融期：全面疏通矿区全部排水系统，加密边坡监测与现场巡查，重点防范冻土消融引发岩体剥落、浅层滑坡；适度降低开采作业强度，发现边坡隐患立即停工治理。</w:t>
      </w:r>
    </w:p>
    <w:p w14:paraId="7BF8FD95">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夏季汛期防汛：采场低洼集水坑配备2台备用抽水泵，建立汛期 24小时值班制度，提前规划人员、设备应急撤离路线，遇强降雨天气立即停止全部开采作业。</w:t>
      </w:r>
    </w:p>
    <w:p w14:paraId="69A38D63">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7、</w:t>
      </w:r>
      <w:r>
        <w:rPr>
          <w:rFonts w:hint="default" w:ascii="Times New Roman" w:hAnsi="Times New Roman" w:cs="Times New Roman"/>
          <w:b/>
          <w:bCs/>
          <w:color w:val="auto"/>
          <w:sz w:val="28"/>
          <w:szCs w:val="28"/>
          <w:highlight w:val="none"/>
          <w:lang w:val="en-US" w:eastAsia="zh-CN"/>
        </w:rPr>
        <w:t>应急救援体系专项设计</w:t>
      </w:r>
    </w:p>
    <w:p w14:paraId="347E5969">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预案体系建设：编制矿山综合生产安全应急预案，配套边坡坍塌、机械伤害、火灾触电、汛期洪涝四类专项现场处置方案，预案内容贴合高寒林区矿山实际，报送属地应急、自然资源部门备案。</w:t>
      </w:r>
    </w:p>
    <w:p w14:paraId="5D193A24">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应急物资储备：矿区值班室、采场就近设置应急物资库，储备急救药箱、救援绳索、撬棍、排水泵、防滑工具、灭火器材、防寒物资等全套应急装备，定期盘点补充。</w:t>
      </w:r>
    </w:p>
    <w:p w14:paraId="650846B3">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应急演练管理：矿山每年至少组织2次综合应急演练，汛期、春季融雪前额外开展边坡、防汛专项演练，完整留存演练影像、签到、总结台账，针对演练暴露的安全短板及时优化管控措施。</w:t>
      </w:r>
    </w:p>
    <w:p w14:paraId="7819ED32">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8、</w:t>
      </w:r>
      <w:r>
        <w:rPr>
          <w:rFonts w:hint="default" w:ascii="Times New Roman" w:hAnsi="Times New Roman" w:cs="Times New Roman"/>
          <w:b/>
          <w:bCs/>
          <w:color w:val="auto"/>
          <w:sz w:val="28"/>
          <w:szCs w:val="28"/>
          <w:highlight w:val="none"/>
          <w:lang w:val="en-US" w:eastAsia="zh-CN"/>
        </w:rPr>
        <w:t>安全管理制度保障</w:t>
      </w:r>
    </w:p>
    <w:p w14:paraId="2A2E7EA7">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建立安全生产责任制、边坡巡查制度、设备维保制度、人员培训制度、隐患排查治理闭环制度；落实企业主要负责人、安全员、特种作业人员分级安全职责，每日开展现场安全隐患排查，发现问题立即整改、销号闭环，自觉接受应急管理、自然资源部门现场监督检查。</w:t>
      </w:r>
    </w:p>
    <w:p w14:paraId="78FD2F72">
      <w:pPr>
        <w:pStyle w:val="3"/>
        <w:pageBreakBefore w:val="0"/>
        <w:kinsoku/>
        <w:wordWrap/>
        <w:overflowPunct/>
        <w:topLinePunct w:val="0"/>
        <w:bidi w:val="0"/>
        <w:spacing w:before="0" w:after="0" w:line="360" w:lineRule="auto"/>
        <w:ind w:firstLine="602" w:firstLineChars="200"/>
        <w:rPr>
          <w:rFonts w:hint="eastAsia" w:ascii="Times New Roman" w:hAnsi="Times New Roman" w:cs="Times New Roman" w:eastAsiaTheme="minorEastAsia"/>
          <w:color w:val="auto"/>
          <w:sz w:val="30"/>
          <w:szCs w:val="30"/>
          <w:highlight w:val="none"/>
          <w:lang w:val="en-US" w:eastAsia="zh-CN"/>
        </w:rPr>
      </w:pPr>
      <w:bookmarkStart w:id="96" w:name="_Toc21207"/>
      <w:r>
        <w:rPr>
          <w:rFonts w:hint="eastAsia" w:ascii="Times New Roman" w:hAnsi="Times New Roman" w:cs="Times New Roman" w:eastAsiaTheme="minorEastAsia"/>
          <w:color w:val="auto"/>
          <w:sz w:val="30"/>
          <w:szCs w:val="30"/>
          <w:highlight w:val="none"/>
          <w:lang w:val="en-US" w:eastAsia="zh-CN"/>
        </w:rPr>
        <w:t>十、生态环境保护治理措施</w:t>
      </w:r>
      <w:bookmarkEnd w:id="95"/>
      <w:bookmarkEnd w:id="96"/>
    </w:p>
    <w:p w14:paraId="3AE06F57">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bookmarkStart w:id="97" w:name="_Toc19925"/>
      <w:bookmarkStart w:id="98" w:name="_Toc8969"/>
      <w:bookmarkStart w:id="99" w:name="_Toc167307752"/>
      <w:bookmarkStart w:id="100" w:name="_Toc9833"/>
      <w:r>
        <w:rPr>
          <w:rFonts w:hint="default" w:ascii="Times New Roman" w:hAnsi="Times New Roman" w:cs="Times New Roman" w:eastAsiaTheme="minorEastAsia"/>
          <w:color w:val="auto"/>
          <w:sz w:val="28"/>
          <w:szCs w:val="28"/>
          <w:highlight w:val="none"/>
          <w:lang w:val="en-US" w:eastAsia="zh-CN"/>
        </w:rPr>
        <w:t>本矿山严格落实自然资规〔2024〕1号绿色矿山建设要求、《黑龙江省黑土地保护利用条例》、林区生态保护相关规定，针对大气、水、噪声、固废、水土保持、林地生态修复制定全套专项环保设计，实现开采全过程污染可控、边采边治、闭坑全面复绿，具体措施如下：</w:t>
      </w:r>
    </w:p>
    <w:p w14:paraId="49E0D3E2">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1、</w:t>
      </w:r>
      <w:r>
        <w:rPr>
          <w:rFonts w:hint="default" w:ascii="Times New Roman" w:hAnsi="Times New Roman" w:cs="Times New Roman"/>
          <w:b/>
          <w:bCs/>
          <w:color w:val="auto"/>
          <w:sz w:val="28"/>
          <w:szCs w:val="28"/>
          <w:highlight w:val="none"/>
          <w:lang w:val="en-US" w:eastAsia="zh-CN"/>
        </w:rPr>
        <w:t>大气扬尘污染专项防治</w:t>
      </w:r>
    </w:p>
    <w:p w14:paraId="6CC06111">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有组织粉尘治理：破碎筛分加工车间整体搭建全封闭彩钢围护结构，配套负压布袋除尘系统，破碎、筛分产生的粉尘统一收集处理，废气达标后无组织排放，杜绝加工粉尘外溢。</w:t>
      </w:r>
    </w:p>
    <w:p w14:paraId="628C17D8">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无组织扬尘常态化管控：采场开采作业面配套移动式雾炮机2台，2台洒水车分时段循环喷淋降尘；成品骨料堆场、腐殖土临时堆场、风化废石堆全部全覆盖加厚土工防尘网；干燥大风天气增加洒水、喷雾频次，抑制地表起尘。</w:t>
      </w:r>
    </w:p>
    <w:p w14:paraId="5B677DA0">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运输扬尘阻断措施：矿区出入口建设全自动车辆冲洗平台，配备高压冲洗水枪，车辆车轮、车身泥土清理干净后方可外运；所有外运自卸车安装密闭篷布，装载物料不得超出车厢，防止沿途抛洒扬尘。</w:t>
      </w:r>
    </w:p>
    <w:p w14:paraId="4926D00C">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2、</w:t>
      </w:r>
      <w:r>
        <w:rPr>
          <w:rFonts w:hint="default" w:ascii="Times New Roman" w:hAnsi="Times New Roman" w:cs="Times New Roman"/>
          <w:b/>
          <w:bCs/>
          <w:color w:val="auto"/>
          <w:sz w:val="28"/>
          <w:szCs w:val="28"/>
          <w:highlight w:val="none"/>
          <w:lang w:val="en-US" w:eastAsia="zh-CN"/>
        </w:rPr>
        <w:t>水污染防治专项设计</w:t>
      </w:r>
    </w:p>
    <w:p w14:paraId="24FB328D">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雨水、生产废水循环利用系统：沿采场、堆场区布设完整截排水沟，所有汇水统一汇入沉淀池，经沉淀泥沙、澄清处理后的清水存入蓄水池，全部回用于矿区洒水降尘、道路养护、料堆喷淋，生产废水实现零外排。沉淀池定期清淤，淤积泥沙统一运至排土场分层回填资源化利用。</w:t>
      </w:r>
    </w:p>
    <w:p w14:paraId="5EAD3874">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生活污水处置：办公装配式板房配套防渗一体化化粪池，生活污水全部储存于池体，每季度委托第三方具备清运资质单位拉运处置，不直排周边沟渠、大鱼翁河及黑龙江水系，杜绝水体污染。</w:t>
      </w:r>
    </w:p>
    <w:p w14:paraId="09381704">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油料渗漏风险防控：柴油发电机、机械加油区域设置混凝土防渗围堰，配套吸油毡、干沙土等应急吸附物资，一旦发生油料渗漏可快速吸附收集，防止油污渗入土壤、地下水。</w:t>
      </w:r>
    </w:p>
    <w:p w14:paraId="0F9A0129">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3、</w:t>
      </w:r>
      <w:r>
        <w:rPr>
          <w:rFonts w:hint="default" w:ascii="Times New Roman" w:hAnsi="Times New Roman" w:cs="Times New Roman"/>
          <w:b/>
          <w:bCs/>
          <w:color w:val="auto"/>
          <w:sz w:val="28"/>
          <w:szCs w:val="28"/>
          <w:highlight w:val="none"/>
          <w:lang w:val="en-US" w:eastAsia="zh-CN"/>
        </w:rPr>
        <w:t>噪声污染防治专项措施</w:t>
      </w:r>
    </w:p>
    <w:p w14:paraId="2CE1D494">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源头降噪优化：优先采购低噪声挖掘机、破碎机、筛分设备；破碎机底座加装减震缓冲垫，车间墙体加装隔音棉降噪，从源头降低设备运行噪声。</w:t>
      </w:r>
    </w:p>
    <w:p w14:paraId="48489268">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空间隔离布局：破碎加工区布置于矿区地形下风向，与外围原生林地、远景居民点预留50m 生态缓冲隔离带，弱化噪声向外扩散。</w:t>
      </w:r>
    </w:p>
    <w:p w14:paraId="4CBCB74B">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作业时段管控：严格限定高噪声破碎作业时间为每日 7:00—20:00，夜间（20:00 至次日 7:00）停止破碎、挖掘等高噪声施工，最大限度降低夜间噪声对林区动植物的干扰。</w:t>
      </w:r>
    </w:p>
    <w:p w14:paraId="154D3998">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4、</w:t>
      </w:r>
      <w:r>
        <w:rPr>
          <w:rFonts w:hint="default" w:ascii="Times New Roman" w:hAnsi="Times New Roman" w:cs="Times New Roman"/>
          <w:b/>
          <w:bCs/>
          <w:color w:val="auto"/>
          <w:sz w:val="28"/>
          <w:szCs w:val="28"/>
          <w:highlight w:val="none"/>
          <w:lang w:val="en-US" w:eastAsia="zh-CN"/>
        </w:rPr>
        <w:t>固体废物分类处置专项方案</w:t>
      </w:r>
    </w:p>
    <w:p w14:paraId="212FF086">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一般工业固废：开采剥离产生的风化碎石、废石全部作为路基填料、场地平整用料，100% 综合利用；表层腐殖土单独分区围挡堆存、保湿覆盖，专门用于后期采场、排土场土地复垦覆土，无废渣永久堆存、外排。</w:t>
      </w:r>
    </w:p>
    <w:p w14:paraId="2C2E4E84">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生活垃圾管控：矿区分区设置可回收、其他垃圾分类收集桶，生活垃圾集中收纳，定期转运至鸥浦乡合规生活垃圾填埋场，不就地填埋、随意丢弃。</w:t>
      </w:r>
    </w:p>
    <w:p w14:paraId="39D9EAC2">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危险废物闭环管理：机械更换产生的废机油、废旧机油滤芯、破损液压油管等危险废物，存放于独立密闭防渗危废库房，张贴规范危废标识、分类桶装封存；建立危废产生、转运台账，委托具备危废处置资质单位定期回收处置，全程留存转移联单。</w:t>
      </w:r>
    </w:p>
    <w:p w14:paraId="498EA4B5">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5、</w:t>
      </w:r>
      <w:r>
        <w:rPr>
          <w:rFonts w:hint="default" w:ascii="Times New Roman" w:hAnsi="Times New Roman" w:cs="Times New Roman"/>
          <w:b/>
          <w:bCs/>
          <w:color w:val="auto"/>
          <w:sz w:val="28"/>
          <w:szCs w:val="28"/>
          <w:highlight w:val="none"/>
          <w:lang w:val="en-US" w:eastAsia="zh-CN"/>
        </w:rPr>
        <w:t>水土保持专项防控设计</w:t>
      </w:r>
    </w:p>
    <w:p w14:paraId="5503CDBD">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本矿区属寒温带大陆性季风气候，水土流失主要由春季融雪径流冲刷、夏季短时集中降雨两类动力引发，同时冻融作用会降低表层土体抗蚀能力。水土保持工程与管护措施按季节差异化布设，构建工程 + 植被 + 季节性管护相结合的综合防控体系。</w:t>
      </w:r>
    </w:p>
    <w:p w14:paraId="407DEBB2">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拦蓄排水工程全覆盖：配套建设采场环形截水沟、台阶横向排水沟、堆土场周边截洪沟、多级沉砂池，形成完整拦砂导排体系，拦截径流泥沙，防止泥沙汇入周边河道。截排水构筑物考虑冻胀破坏，采用抗冻混凝土砌筑，设置伸缩缝，提高寒区耐久性。排土堆体分层碾压压实，单级堆高控制 5m 以内，分级放缓放坡；临时排土场边坡播种乡土草本固土。</w:t>
      </w:r>
    </w:p>
    <w:p w14:paraId="1D6AC07A">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分季节水土流失专项防控</w:t>
      </w:r>
    </w:p>
    <w:p w14:paraId="0390D202">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1</w:t>
      </w:r>
      <w:r>
        <w:rPr>
          <w:rFonts w:hint="eastAsia" w:cs="Times New Roman" w:eastAsiaTheme="minorEastAsia"/>
          <w:color w:val="auto"/>
          <w:sz w:val="28"/>
          <w:szCs w:val="28"/>
          <w:highlight w:val="none"/>
          <w:lang w:val="en-US" w:eastAsia="zh-CN"/>
        </w:rPr>
        <w:t>）</w:t>
      </w:r>
      <w:r>
        <w:rPr>
          <w:rFonts w:hint="default" w:ascii="Times New Roman" w:hAnsi="Times New Roman" w:cs="Times New Roman" w:eastAsiaTheme="minorEastAsia"/>
          <w:color w:val="auto"/>
          <w:sz w:val="28"/>
          <w:szCs w:val="28"/>
          <w:highlight w:val="none"/>
          <w:lang w:val="en-US" w:eastAsia="zh-CN"/>
        </w:rPr>
        <w:t>春季融雪冻融期（主要水土流失风险期）</w:t>
      </w:r>
    </w:p>
    <w:p w14:paraId="1A5B5F5C">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融雪期间土体反复冻融，表层岩土松散，融雪汇流持续时间长，易产生坡面剥蚀、沟蚀。</w:t>
      </w:r>
    </w:p>
    <w:p w14:paraId="54E64DEA">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① 融雪前提前全面清淤疏通全部截排水沟、沉砂池，保障融雪水排泄通道通畅；</w:t>
      </w:r>
    </w:p>
    <w:p w14:paraId="1A9AF018">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② 提前对裸露堆土、边坡浮土增加土工布、防尘网覆盖，减少冻融对表层土体扰动；</w:t>
      </w:r>
    </w:p>
    <w:p w14:paraId="40F0EBE4">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③ 控制融雪期开采强度，暂缓高陡边坡开挖作业，加密边坡及坡面水土流失巡查；</w:t>
      </w:r>
    </w:p>
    <w:p w14:paraId="359D213F">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④ 在汇水集中出口增设临时拦沙埂，拦截融雪径流携带的松散泥沙，待融雪期结束后清理淤积泥沙。</w:t>
      </w:r>
    </w:p>
    <w:p w14:paraId="1F11671C">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2</w:t>
      </w:r>
      <w:r>
        <w:rPr>
          <w:rFonts w:hint="eastAsia" w:cs="Times New Roman" w:eastAsiaTheme="minorEastAsia"/>
          <w:color w:val="auto"/>
          <w:sz w:val="28"/>
          <w:szCs w:val="28"/>
          <w:highlight w:val="none"/>
          <w:lang w:val="en-US" w:eastAsia="zh-CN"/>
        </w:rPr>
        <w:t>）</w:t>
      </w:r>
      <w:r>
        <w:rPr>
          <w:rFonts w:hint="default" w:ascii="Times New Roman" w:hAnsi="Times New Roman" w:cs="Times New Roman" w:eastAsiaTheme="minorEastAsia"/>
          <w:color w:val="auto"/>
          <w:sz w:val="28"/>
          <w:szCs w:val="28"/>
          <w:highlight w:val="none"/>
          <w:lang w:val="en-US" w:eastAsia="zh-CN"/>
        </w:rPr>
        <w:t>夏季暴雨汛期</w:t>
      </w:r>
    </w:p>
    <w:p w14:paraId="64528CA3">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夏季降雨集中、多短时强降雨，暴雨瞬时径流冲击力大，易引发坡面冲刷、局部溜塌。</w:t>
      </w:r>
    </w:p>
    <w:p w14:paraId="33709E1D">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① 汛期前对截排水、沉砂设施开展专项检修，对堆体边坡、采场台阶松动土体提前清理；</w:t>
      </w:r>
    </w:p>
    <w:p w14:paraId="5B81AAE3">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② 降雨期间暂停边坡开挖、表土剥离作业；大雨、暴雨时停止所有露天扰动施工；</w:t>
      </w:r>
    </w:p>
    <w:p w14:paraId="0B666EB3">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③ 暴雨过后及时巡查排水沟垮塌、淤堵情况，快速清淤修复，防止漫流冲刷坡面。</w:t>
      </w:r>
    </w:p>
    <w:p w14:paraId="0E286079">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3</w:t>
      </w:r>
      <w:r>
        <w:rPr>
          <w:rFonts w:hint="eastAsia" w:cs="Times New Roman" w:eastAsiaTheme="minorEastAsia"/>
          <w:color w:val="auto"/>
          <w:sz w:val="28"/>
          <w:szCs w:val="28"/>
          <w:highlight w:val="none"/>
          <w:lang w:val="en-US" w:eastAsia="zh-CN"/>
        </w:rPr>
        <w:t>）</w:t>
      </w:r>
      <w:r>
        <w:rPr>
          <w:rFonts w:hint="default" w:ascii="Times New Roman" w:hAnsi="Times New Roman" w:cs="Times New Roman" w:eastAsiaTheme="minorEastAsia"/>
          <w:color w:val="auto"/>
          <w:sz w:val="28"/>
          <w:szCs w:val="28"/>
          <w:highlight w:val="none"/>
          <w:lang w:val="en-US" w:eastAsia="zh-CN"/>
        </w:rPr>
        <w:t>秋冬冻封期</w:t>
      </w:r>
    </w:p>
    <w:p w14:paraId="5E747A5E">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地表冻结，水土流失较弱，主要开展工程维护：检修排水构筑物冻损情况，裸露表土堆体完成覆盖压护，避免冬季风蚀；做好排水设施防冻保护，防止管道、沟渠冻胀开裂，为次年融雪期做好准备。</w:t>
      </w:r>
    </w:p>
    <w:p w14:paraId="31CCBAB5">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扰动范围刚性管控：所有开采、堆料、施工活动严格限定在采矿许可拐点范围内，矿区外围原生林地、植被完整保留，禁止重型机械碾压、砍伐边界外林木，最大限度减少地表土层扰动。</w:t>
      </w:r>
    </w:p>
    <w:p w14:paraId="4F9D5482">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6、</w:t>
      </w:r>
      <w:r>
        <w:rPr>
          <w:rFonts w:hint="default" w:ascii="Times New Roman" w:hAnsi="Times New Roman" w:cs="Times New Roman"/>
          <w:b/>
          <w:bCs/>
          <w:color w:val="auto"/>
          <w:sz w:val="28"/>
          <w:szCs w:val="28"/>
          <w:highlight w:val="none"/>
          <w:lang w:val="en-US" w:eastAsia="zh-CN"/>
        </w:rPr>
        <w:t>林地与生态修复专项设计</w:t>
      </w:r>
    </w:p>
    <w:p w14:paraId="72934967">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林地占用合规管控：本矿山占用灌木林地，开采前依法完成使用林地审核审批手续，落实 “占一补一、同质同量” 林地占补平衡方案，在呼玛县辖区异地同等林地开展植被补植，保障区域林地总面积不减少。</w:t>
      </w:r>
    </w:p>
    <w:p w14:paraId="11FC0F33">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动态边采边修复：实行 “开采一个台阶、治理一个台阶” 动态修复机制，台阶开采完毕后及时清理危岩浮石，覆盖储存腐殖土，栽种桦树、</w:t>
      </w:r>
      <w:r>
        <w:rPr>
          <w:rFonts w:hint="eastAsia" w:cs="Times New Roman" w:eastAsiaTheme="minorEastAsia"/>
          <w:color w:val="auto"/>
          <w:sz w:val="28"/>
          <w:szCs w:val="28"/>
          <w:highlight w:val="none"/>
          <w:lang w:val="en-US" w:eastAsia="zh-CN"/>
        </w:rPr>
        <w:t>樟子松、落叶松</w:t>
      </w:r>
      <w:r>
        <w:rPr>
          <w:rFonts w:hint="default" w:ascii="Times New Roman" w:hAnsi="Times New Roman" w:cs="Times New Roman" w:eastAsiaTheme="minorEastAsia"/>
          <w:color w:val="auto"/>
          <w:sz w:val="28"/>
          <w:szCs w:val="28"/>
          <w:highlight w:val="none"/>
          <w:lang w:val="en-US" w:eastAsia="zh-CN"/>
        </w:rPr>
        <w:t>、乡土草本植物，快速恢复地表植被，减少长期裸露采面。</w:t>
      </w:r>
    </w:p>
    <w:p w14:paraId="5B35DF6D">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闭坑全域生态恢复：矿山5年服务年限期满闭坑后，对整个采场、临时排土场、临时加工场地全面平整覆土，按照标准恢复林地，完善排水固土设施，植被覆盖度恢复至开采前原有水平，完成生态修复验收后移交自然资源、林业主管部门。</w:t>
      </w:r>
    </w:p>
    <w:p w14:paraId="0EC8CF08">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7、</w:t>
      </w:r>
      <w:r>
        <w:rPr>
          <w:rFonts w:hint="default" w:ascii="Times New Roman" w:hAnsi="Times New Roman" w:cs="Times New Roman"/>
          <w:b/>
          <w:bCs/>
          <w:color w:val="auto"/>
          <w:sz w:val="28"/>
          <w:szCs w:val="28"/>
          <w:highlight w:val="none"/>
          <w:lang w:val="en-US" w:eastAsia="zh-CN"/>
        </w:rPr>
        <w:t>环保台账与长效管理</w:t>
      </w:r>
    </w:p>
    <w:p w14:paraId="502C348C">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建立环保专项管理台账，完整记录扬尘噪声监测数据、沉淀池清淤、固废综合利用、危废转运、植被养护、林地恢复施工全过程资料；足额计提矿山地质环境治理与土地复垦基金，保障污染治理、生态修复资金持续投入；常态化接受生态环境、林业、自然资源部门现场监督、监测检查，及时落实各项环保整改要求，打造高寒林区标准化绿色采石场。</w:t>
      </w:r>
    </w:p>
    <w:p w14:paraId="6121C369">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101" w:name="_Toc21803"/>
      <w:r>
        <w:rPr>
          <w:rFonts w:hint="eastAsia" w:ascii="Times New Roman" w:hAnsi="Times New Roman" w:cs="Times New Roman" w:eastAsiaTheme="minorEastAsia"/>
          <w:color w:val="auto"/>
          <w:sz w:val="30"/>
          <w:szCs w:val="30"/>
          <w:highlight w:val="none"/>
          <w:lang w:val="en-US" w:eastAsia="zh-CN"/>
        </w:rPr>
        <w:t>十一</w:t>
      </w:r>
      <w:r>
        <w:rPr>
          <w:rFonts w:hint="default" w:ascii="Times New Roman" w:hAnsi="Times New Roman" w:cs="Times New Roman" w:eastAsiaTheme="minorEastAsia"/>
          <w:color w:val="auto"/>
          <w:sz w:val="30"/>
          <w:szCs w:val="30"/>
          <w:highlight w:val="none"/>
          <w:lang w:val="en-US" w:eastAsia="zh-CN"/>
        </w:rPr>
        <w:t>、资源综合利用</w:t>
      </w:r>
      <w:bookmarkEnd w:id="97"/>
      <w:bookmarkEnd w:id="98"/>
      <w:bookmarkEnd w:id="99"/>
      <w:bookmarkEnd w:id="100"/>
      <w:bookmarkEnd w:id="101"/>
    </w:p>
    <w:p w14:paraId="26BDCECE">
      <w:pPr>
        <w:pageBreakBefore w:val="0"/>
        <w:kinsoku/>
        <w:wordWrap/>
        <w:overflowPunct/>
        <w:topLinePunct w:val="0"/>
        <w:bidi w:val="0"/>
        <w:spacing w:line="360" w:lineRule="auto"/>
        <w:ind w:firstLine="562" w:firstLineChars="200"/>
        <w:rPr>
          <w:rFonts w:hint="default" w:ascii="Times New Roman" w:hAnsi="Times New Roman" w:cs="Times New Roman" w:eastAsiaTheme="minorEastAsia"/>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1、</w:t>
      </w:r>
      <w:r>
        <w:rPr>
          <w:rFonts w:hint="default" w:ascii="Times New Roman" w:hAnsi="Times New Roman" w:cs="Times New Roman" w:eastAsiaTheme="minorEastAsia"/>
          <w:b/>
          <w:bCs/>
          <w:color w:val="auto"/>
          <w:sz w:val="28"/>
          <w:szCs w:val="28"/>
          <w:highlight w:val="none"/>
          <w:lang w:val="en-US" w:eastAsia="zh-CN"/>
        </w:rPr>
        <w:t>矿山“三率”指标符合性综合论述</w:t>
      </w:r>
    </w:p>
    <w:p w14:paraId="7167FCE4">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本矿山严格遵照《矿产资源 “三率” 指标要求 第 14 部分：饰面石材和建筑用石料矿产》（DZ/T 0462.14-2024）标准，对矿山开采回采率、选矿回收率、资源综合利用率三项核心指标开展合规管控，结合本矿建筑用凝灰岩露天开采工艺特点，各项三率指标均满足矿产资源节约利用、绿色矿山建设行业管控要求。开采回采率方面，本矿矿体赋存稳定、形态规整、无复杂夹层，开采技术条件简单，设计采矿损失率控制为5%，对应开采回采率95%，满足露天建筑石料矿开采回采率≥95%的规范要求，通过自上而下水平台阶式规范开采、严控开采境界、优化采掘工艺，可有效降低资源损耗，保障回采率稳定达标。选矿回收率方面，本矿仅需破碎、筛分简单物理加工即可产出合格建筑骨料，无选矿生产工序，按照砂石类非金属矿山考核规则，无需考核选矿回收率，符合行业管控规定。资源综合利用率方面，开采产生的腐殖土、剥离废石、风化碎石等废弃物均可全部资源化利用，综合利用率达100%，实现固废全量利用、无外排，优于行业规范标准。整体三率指标设置科学合规，资源开发利用水平符合国家矿产资源节约与综合利用要求。</w:t>
      </w:r>
    </w:p>
    <w:p w14:paraId="548F8995">
      <w:pPr>
        <w:pageBreakBefore w:val="0"/>
        <w:kinsoku/>
        <w:wordWrap/>
        <w:overflowPunct/>
        <w:topLinePunct w:val="0"/>
        <w:bidi w:val="0"/>
        <w:spacing w:line="360" w:lineRule="auto"/>
        <w:ind w:firstLine="562" w:firstLineChars="200"/>
        <w:rPr>
          <w:rFonts w:hint="default" w:ascii="Times New Roman" w:hAnsi="Times New Roman" w:cs="Times New Roman" w:eastAsiaTheme="minorEastAsia"/>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2、</w:t>
      </w:r>
      <w:r>
        <w:rPr>
          <w:rFonts w:hint="default" w:ascii="Times New Roman" w:hAnsi="Times New Roman" w:cs="Times New Roman" w:eastAsiaTheme="minorEastAsia"/>
          <w:b/>
          <w:bCs/>
          <w:color w:val="auto"/>
          <w:sz w:val="28"/>
          <w:szCs w:val="28"/>
          <w:highlight w:val="none"/>
          <w:lang w:val="en-US" w:eastAsia="zh-CN"/>
        </w:rPr>
        <w:t>选矿回收率</w:t>
      </w:r>
    </w:p>
    <w:p w14:paraId="5B32E7AE">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本矿开采矿种为建筑用凝灰岩，仅经机械破碎、筛分加工即可产出建筑骨料，无需复杂选矿工艺流程，无选矿作业环节，不存在选矿回收率指标管控要求。生产中通过配套破碎筛分成套设备，优化铲装、破碎、筛分流水线作业参数，减少石料过粉碎与流失，提升合格骨料产出比例，保障矿石资源充分转化为成品骨料，实现砂石资源高效利用。</w:t>
      </w:r>
    </w:p>
    <w:p w14:paraId="2598BC44">
      <w:pPr>
        <w:pageBreakBefore w:val="0"/>
        <w:kinsoku/>
        <w:wordWrap/>
        <w:overflowPunct/>
        <w:topLinePunct w:val="0"/>
        <w:bidi w:val="0"/>
        <w:spacing w:line="360" w:lineRule="auto"/>
        <w:ind w:firstLine="562" w:firstLineChars="200"/>
        <w:rPr>
          <w:rFonts w:hint="default" w:ascii="Times New Roman" w:hAnsi="Times New Roman" w:cs="Times New Roman" w:eastAsiaTheme="minorEastAsia"/>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3、</w:t>
      </w:r>
      <w:r>
        <w:rPr>
          <w:rFonts w:hint="default" w:ascii="Times New Roman" w:hAnsi="Times New Roman" w:cs="Times New Roman" w:eastAsiaTheme="minorEastAsia"/>
          <w:b/>
          <w:bCs/>
          <w:color w:val="auto"/>
          <w:sz w:val="28"/>
          <w:szCs w:val="28"/>
          <w:highlight w:val="none"/>
          <w:lang w:val="en-US" w:eastAsia="zh-CN"/>
        </w:rPr>
        <w:t>综合利用率</w:t>
      </w:r>
    </w:p>
    <w:p w14:paraId="2F0AA582">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矿区矿体岩性单一，为</w:t>
      </w:r>
      <w:r>
        <w:rPr>
          <w:rFonts w:hint="eastAsia" w:cs="Times New Roman" w:eastAsiaTheme="minorEastAsia"/>
          <w:color w:val="auto"/>
          <w:sz w:val="28"/>
          <w:szCs w:val="28"/>
          <w:highlight w:val="none"/>
          <w:lang w:val="en-US" w:eastAsia="zh-CN"/>
        </w:rPr>
        <w:t>白垩系</w:t>
      </w:r>
      <w:r>
        <w:rPr>
          <w:rFonts w:hint="default" w:ascii="Times New Roman" w:hAnsi="Times New Roman" w:cs="Times New Roman" w:eastAsiaTheme="minorEastAsia"/>
          <w:color w:val="auto"/>
          <w:sz w:val="28"/>
          <w:szCs w:val="28"/>
          <w:highlight w:val="none"/>
          <w:lang w:val="en-US" w:eastAsia="zh-CN"/>
        </w:rPr>
        <w:t>九峰山组凝灰岩，仅表层分布腐殖土、残坡积层等覆盖层。开采剥离产生的表层腐殖土单独堆存，全部用于后期采场土地复垦覆土；剥离废石、风化层碎石统一规范堆放，可作为路基填料、场地平整用料全部资源化消纳，剥离物综合利用率可达100%，实现开采废弃物全部综合利用，完全符合矿产资源综合开发利用及绿色矿山建设管控要求。</w:t>
      </w:r>
    </w:p>
    <w:p w14:paraId="09B6C0C0">
      <w:pPr>
        <w:pageBreakBefore w:val="0"/>
        <w:kinsoku/>
        <w:wordWrap/>
        <w:overflowPunct/>
        <w:topLinePunct w:val="0"/>
        <w:bidi w:val="0"/>
        <w:spacing w:line="360" w:lineRule="auto"/>
        <w:ind w:firstLine="562" w:firstLineChars="200"/>
        <w:rPr>
          <w:rFonts w:hint="default" w:ascii="Times New Roman" w:hAnsi="Times New Roman" w:cs="Times New Roman" w:eastAsiaTheme="minorEastAsia"/>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4、</w:t>
      </w:r>
      <w:r>
        <w:rPr>
          <w:rFonts w:hint="default" w:ascii="Times New Roman" w:hAnsi="Times New Roman" w:cs="Times New Roman" w:eastAsiaTheme="minorEastAsia"/>
          <w:b/>
          <w:bCs/>
          <w:color w:val="auto"/>
          <w:sz w:val="28"/>
          <w:szCs w:val="28"/>
          <w:highlight w:val="none"/>
          <w:lang w:val="en-US" w:eastAsia="zh-CN"/>
        </w:rPr>
        <w:t>资源保护措施</w:t>
      </w:r>
    </w:p>
    <w:p w14:paraId="7FC1C3CD">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为最大限度保护矿产资源、降低资源损耗、保障三率指标稳定达标，矿山制定完善资源保护管控措施：一是严格按照设计开采境界施工，坚决杜绝超范围开采，边坡预留资源永久保留不予开采，作为采场支护结构，避免边坡失稳压覆矿体、造成资源损失；二是采用自上而下分层台阶有序采掘方式，规范开采作业流程，减少矿体残留与人为资源丢失，将采矿损失率严格控制在5%以内；三是对未开采矿段设置隔离平台，做好施工防护，避免机械扰动、边坡坍塌破坏完整矿体；四是表层腐殖土、剥离废石分区围挡、规范堆存，防止水土流失造成可利用资源流失，实现各类资源分类保护、高效利用。</w:t>
      </w:r>
    </w:p>
    <w:p w14:paraId="300B4FF4">
      <w:pPr>
        <w:pStyle w:val="3"/>
        <w:pageBreakBefore w:val="0"/>
        <w:kinsoku/>
        <w:wordWrap/>
        <w:overflowPunct/>
        <w:topLinePunct w:val="0"/>
        <w:bidi w:val="0"/>
        <w:spacing w:before="0" w:after="0" w:line="360" w:lineRule="auto"/>
        <w:ind w:firstLine="602" w:firstLineChars="200"/>
        <w:rPr>
          <w:rFonts w:hint="eastAsia" w:ascii="Times New Roman" w:hAnsi="Times New Roman" w:cs="Times New Roman" w:eastAsiaTheme="minorEastAsia"/>
          <w:color w:val="auto"/>
          <w:sz w:val="30"/>
          <w:szCs w:val="30"/>
          <w:highlight w:val="none"/>
          <w:lang w:val="en-US" w:eastAsia="zh-CN"/>
        </w:rPr>
      </w:pPr>
      <w:bookmarkStart w:id="102" w:name="_Toc2134"/>
      <w:r>
        <w:rPr>
          <w:rFonts w:hint="eastAsia" w:ascii="Times New Roman" w:hAnsi="Times New Roman" w:cs="Times New Roman" w:eastAsiaTheme="minorEastAsia"/>
          <w:color w:val="auto"/>
          <w:sz w:val="30"/>
          <w:szCs w:val="30"/>
          <w:highlight w:val="none"/>
          <w:lang w:val="en-US" w:eastAsia="zh-CN"/>
        </w:rPr>
        <w:t>十二、项目用地专项设计</w:t>
      </w:r>
      <w:bookmarkEnd w:id="102"/>
    </w:p>
    <w:p w14:paraId="5FDFD536">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1、</w:t>
      </w:r>
      <w:r>
        <w:rPr>
          <w:rFonts w:hint="default" w:ascii="Times New Roman" w:hAnsi="Times New Roman" w:cs="Times New Roman"/>
          <w:b/>
          <w:bCs/>
          <w:color w:val="auto"/>
          <w:sz w:val="28"/>
          <w:szCs w:val="28"/>
          <w:highlight w:val="none"/>
          <w:lang w:val="en-US" w:eastAsia="zh-CN"/>
        </w:rPr>
        <w:t>用地范围与用地类型管控</w:t>
      </w:r>
    </w:p>
    <w:p w14:paraId="4D716D6B">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 xml:space="preserve">采矿许可用地严格限定拐点坐标圈定 </w:t>
      </w:r>
      <w:r>
        <w:rPr>
          <w:rFonts w:hint="eastAsia" w:cs="Times New Roman" w:eastAsiaTheme="minorEastAsia"/>
          <w:color w:val="auto"/>
          <w:sz w:val="28"/>
          <w:szCs w:val="28"/>
          <w:highlight w:val="none"/>
          <w:lang w:val="en-US" w:eastAsia="zh-CN"/>
        </w:rPr>
        <w:t>24287.2m</w:t>
      </w:r>
      <w:r>
        <w:rPr>
          <w:rFonts w:hint="eastAsia" w:cs="Times New Roman" w:eastAsiaTheme="minorEastAsia"/>
          <w:color w:val="auto"/>
          <w:sz w:val="28"/>
          <w:szCs w:val="28"/>
          <w:highlight w:val="none"/>
          <w:vertAlign w:val="superscript"/>
          <w:lang w:val="en-US" w:eastAsia="zh-CN"/>
        </w:rPr>
        <w:t>2</w:t>
      </w:r>
      <w:r>
        <w:rPr>
          <w:rFonts w:hint="default" w:ascii="Times New Roman" w:hAnsi="Times New Roman" w:cs="Times New Roman" w:eastAsiaTheme="minorEastAsia"/>
          <w:color w:val="auto"/>
          <w:sz w:val="28"/>
          <w:szCs w:val="28"/>
          <w:highlight w:val="none"/>
          <w:lang w:val="en-US" w:eastAsia="zh-CN"/>
        </w:rPr>
        <w:t xml:space="preserve"> 范围，无超范围占地规划；矿区现状地类为灌木林地，不含永久基本农田、耕地、湿地、天然林重点保护区。</w:t>
      </w:r>
    </w:p>
    <w:p w14:paraId="626C6329">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用地分区精准划分：露天采场区、破碎加工区、物料堆存区、</w:t>
      </w:r>
      <w:r>
        <w:rPr>
          <w:rFonts w:hint="eastAsia" w:cs="Times New Roman" w:eastAsiaTheme="minorEastAsia"/>
          <w:color w:val="auto"/>
          <w:sz w:val="28"/>
          <w:szCs w:val="28"/>
          <w:highlight w:val="none"/>
          <w:lang w:val="en-US" w:eastAsia="zh-CN"/>
        </w:rPr>
        <w:t>表土存储场</w:t>
      </w:r>
      <w:r>
        <w:rPr>
          <w:rFonts w:hint="default" w:ascii="Times New Roman" w:hAnsi="Times New Roman" w:cs="Times New Roman" w:eastAsiaTheme="minorEastAsia"/>
          <w:color w:val="auto"/>
          <w:sz w:val="28"/>
          <w:szCs w:val="28"/>
          <w:highlight w:val="none"/>
          <w:lang w:val="en-US" w:eastAsia="zh-CN"/>
        </w:rPr>
        <w:t>、办公辅助区、环保</w:t>
      </w:r>
      <w:r>
        <w:rPr>
          <w:rFonts w:hint="eastAsia" w:cs="Times New Roman" w:eastAsiaTheme="minorEastAsia"/>
          <w:color w:val="auto"/>
          <w:sz w:val="28"/>
          <w:szCs w:val="28"/>
          <w:highlight w:val="none"/>
          <w:lang w:val="en-US" w:eastAsia="zh-CN"/>
        </w:rPr>
        <w:t>设施区</w:t>
      </w:r>
      <w:r>
        <w:rPr>
          <w:rFonts w:hint="default" w:ascii="Times New Roman" w:hAnsi="Times New Roman" w:cs="Times New Roman" w:eastAsiaTheme="minorEastAsia"/>
          <w:color w:val="auto"/>
          <w:sz w:val="28"/>
          <w:szCs w:val="28"/>
          <w:highlight w:val="none"/>
          <w:lang w:val="en-US" w:eastAsia="zh-CN"/>
        </w:rPr>
        <w:t>、场内道路，分区边界采用围挡、界桩实地标定，总扰动面积与采矿证范围完全重合。</w:t>
      </w:r>
    </w:p>
    <w:p w14:paraId="510F84F6">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2、</w:t>
      </w:r>
      <w:r>
        <w:rPr>
          <w:rFonts w:hint="default" w:ascii="Times New Roman" w:hAnsi="Times New Roman" w:cs="Times New Roman"/>
          <w:b/>
          <w:bCs/>
          <w:color w:val="auto"/>
          <w:sz w:val="28"/>
          <w:szCs w:val="28"/>
          <w:highlight w:val="none"/>
          <w:lang w:val="en-US" w:eastAsia="zh-CN"/>
        </w:rPr>
        <w:t>林地占用与占补平衡方案</w:t>
      </w:r>
    </w:p>
    <w:p w14:paraId="057B91CA">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已同步启动使用林地前期核查，严格依据《森林法》《占用征收征用林地审核审批管理办法》办理林地占用许可，严禁未批先占、超占林地。</w:t>
      </w:r>
    </w:p>
    <w:p w14:paraId="7096B5A1">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林地占补平衡：按照 “占一补一、同质同量” 原则，在呼玛县属地选择同等灌木林地作为异地恢复地块，编制林地植被恢复方案，闭坑前完成补植验收，保证区域林地总面积不减少。</w:t>
      </w:r>
    </w:p>
    <w:p w14:paraId="7093CAEA">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表层腐殖土单独剥离、分区堆存防护，作为采场、排土场后期复垦专用覆土，减少外购种植土，节约土地资源。</w:t>
      </w:r>
    </w:p>
    <w:p w14:paraId="20CC1DD6">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3、</w:t>
      </w:r>
      <w:r>
        <w:rPr>
          <w:rFonts w:hint="default" w:ascii="Times New Roman" w:hAnsi="Times New Roman" w:cs="Times New Roman"/>
          <w:b/>
          <w:bCs/>
          <w:color w:val="auto"/>
          <w:sz w:val="28"/>
          <w:szCs w:val="28"/>
          <w:highlight w:val="none"/>
          <w:lang w:val="en-US" w:eastAsia="zh-CN"/>
        </w:rPr>
        <w:t>节约集约用地措施</w:t>
      </w:r>
    </w:p>
    <w:p w14:paraId="480C022A">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破碎、筛分、仓储设施集中连片布置，不分散占地；场内道路统一硬化复用，不新建永久性场外便道。</w:t>
      </w:r>
    </w:p>
    <w:p w14:paraId="3F3C7818">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不新建永久办公厂房，全部采用装配式板房临时设施，开采服务期满后全部拆除清运，不留永久性建构筑物。</w:t>
      </w:r>
    </w:p>
    <w:p w14:paraId="3272B8F4">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开采台阶、排土场竖向优化设计，利用原有自然高差减少土方开挖与场地平整，降低土地扰动强度。</w:t>
      </w:r>
    </w:p>
    <w:p w14:paraId="001546A8">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4、</w:t>
      </w:r>
      <w:r>
        <w:rPr>
          <w:rFonts w:hint="default" w:ascii="Times New Roman" w:hAnsi="Times New Roman" w:cs="Times New Roman"/>
          <w:b/>
          <w:bCs/>
          <w:color w:val="auto"/>
          <w:sz w:val="28"/>
          <w:szCs w:val="28"/>
          <w:highlight w:val="none"/>
          <w:lang w:val="en-US" w:eastAsia="zh-CN"/>
        </w:rPr>
        <w:t>土地复垦专项设计</w:t>
      </w:r>
    </w:p>
    <w:p w14:paraId="3E1D4775">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复垦责任主体：大兴安岭呼玛对俄经济贸易园区开发有限责任公司，同步编制《土地复垦方案》并足额缴存土地复垦保证金。</w:t>
      </w:r>
    </w:p>
    <w:p w14:paraId="5CD6DC48">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复垦时序：实行 “边开采、边复垦”，开采完毕单个台阶立即平整覆土、播撒乡土灌木、草籽；全矿山闭坑后统一全面复垦。</w:t>
      </w:r>
    </w:p>
    <w:p w14:paraId="10176F00">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复垦标准：恢复为林地，植被覆盖度不低于开采前现状，配套排水沟、固土格栅防治冻融水土流失，复垦后移交林业、自然资源主管部门验收。</w:t>
      </w:r>
    </w:p>
    <w:p w14:paraId="6AC74719">
      <w:pPr>
        <w:pStyle w:val="3"/>
        <w:pageBreakBefore w:val="0"/>
        <w:kinsoku/>
        <w:wordWrap/>
        <w:overflowPunct/>
        <w:topLinePunct w:val="0"/>
        <w:bidi w:val="0"/>
        <w:spacing w:before="0" w:after="0" w:line="360" w:lineRule="auto"/>
        <w:ind w:firstLine="602" w:firstLineChars="200"/>
        <w:rPr>
          <w:rFonts w:hint="eastAsia" w:ascii="Times New Roman" w:hAnsi="Times New Roman" w:cs="Times New Roman" w:eastAsiaTheme="minorEastAsia"/>
          <w:color w:val="auto"/>
          <w:sz w:val="30"/>
          <w:szCs w:val="30"/>
          <w:highlight w:val="none"/>
          <w:lang w:val="en-US" w:eastAsia="zh-CN"/>
        </w:rPr>
      </w:pPr>
      <w:bookmarkStart w:id="103" w:name="_Toc25355"/>
      <w:r>
        <w:rPr>
          <w:rFonts w:hint="eastAsia" w:ascii="Times New Roman" w:hAnsi="Times New Roman" w:cs="Times New Roman" w:eastAsiaTheme="minorEastAsia"/>
          <w:color w:val="auto"/>
          <w:sz w:val="30"/>
          <w:szCs w:val="30"/>
          <w:highlight w:val="none"/>
          <w:lang w:val="en-US" w:eastAsia="zh-CN"/>
        </w:rPr>
        <w:t>十三、绿色矿山专项设计</w:t>
      </w:r>
      <w:bookmarkEnd w:id="103"/>
    </w:p>
    <w:p w14:paraId="73E921F7">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依据自然资规〔2024〕1号、DZ/T 0316-2018 砂石行业绿色矿山规范，建立寒区林区小型露天采石场绿色矿山完整体系。</w:t>
      </w:r>
    </w:p>
    <w:p w14:paraId="69F09717">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1、</w:t>
      </w:r>
      <w:r>
        <w:rPr>
          <w:rFonts w:hint="default" w:ascii="Times New Roman" w:hAnsi="Times New Roman" w:cs="Times New Roman"/>
          <w:b/>
          <w:bCs/>
          <w:color w:val="auto"/>
          <w:sz w:val="28"/>
          <w:szCs w:val="28"/>
          <w:highlight w:val="none"/>
          <w:lang w:val="en-US" w:eastAsia="zh-CN"/>
        </w:rPr>
        <w:t>资源节约绿色开采体系</w:t>
      </w:r>
    </w:p>
    <w:p w14:paraId="159D28B2">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采用静态破碎替代爆破，减少粉尘、震动、林地扰动；台阶分层有序开采，回采率稳定95%以上，剥离物100% 资源化利用，无废弃固废外排。</w:t>
      </w:r>
    </w:p>
    <w:p w14:paraId="1A8599E1">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分级利用矿石：优质凝灰岩加工道路骨料、工程碎石；风化残土、小块废石用作路基回填、场地平整，实现分级全利用。</w:t>
      </w:r>
    </w:p>
    <w:p w14:paraId="7FC8DD49">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2、</w:t>
      </w:r>
      <w:r>
        <w:rPr>
          <w:rFonts w:hint="default" w:ascii="Times New Roman" w:hAnsi="Times New Roman" w:cs="Times New Roman"/>
          <w:b/>
          <w:bCs/>
          <w:color w:val="auto"/>
          <w:sz w:val="28"/>
          <w:szCs w:val="28"/>
          <w:highlight w:val="none"/>
          <w:lang w:val="en-US" w:eastAsia="zh-CN"/>
        </w:rPr>
        <w:t>矿区环境绿色管控体系</w:t>
      </w:r>
    </w:p>
    <w:p w14:paraId="1717258D">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封闭加工：破碎筛分系统全封闭彩钢棚，配套喷淋、负压除尘装置；成品料仓密闭围挡，全覆盖防尘网。</w:t>
      </w:r>
    </w:p>
    <w:p w14:paraId="296564C7">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水循环利用：三级沉淀池处理雨水、抑尘废水，全部回用于洒水降尘，生产废水零外排；生活污水防渗化粪池储存，定期清运处置。</w:t>
      </w:r>
    </w:p>
    <w:p w14:paraId="672DEDA1">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噪声管控：破碎机加装减震底座、隔音罩；划定作业时段，禁止 22:00—次日6:00高噪声破碎作业，远离林区植被敏感区。</w:t>
      </w:r>
    </w:p>
    <w:p w14:paraId="3CE205CF">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3、</w:t>
      </w:r>
      <w:r>
        <w:rPr>
          <w:rFonts w:hint="default" w:ascii="Times New Roman" w:hAnsi="Times New Roman" w:cs="Times New Roman"/>
          <w:b/>
          <w:bCs/>
          <w:color w:val="auto"/>
          <w:sz w:val="28"/>
          <w:szCs w:val="28"/>
          <w:highlight w:val="none"/>
          <w:lang w:val="en-US" w:eastAsia="zh-CN"/>
        </w:rPr>
        <w:t>生态保护与修复体系</w:t>
      </w:r>
    </w:p>
    <w:p w14:paraId="30F59B7D">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分区生态保护：矿区外围原生林地设置30m生态缓冲带，禁止任何开挖、碾压破坏；运输道路两侧种植乡土灌木防护。</w:t>
      </w:r>
    </w:p>
    <w:p w14:paraId="5702C53F">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动态修复机制：每开采完成一个台阶，及时清理浮石、覆盖腐殖土，种植乡土</w:t>
      </w:r>
      <w:r>
        <w:rPr>
          <w:rFonts w:hint="eastAsia" w:cs="Times New Roman" w:eastAsiaTheme="minorEastAsia"/>
          <w:color w:val="auto"/>
          <w:sz w:val="28"/>
          <w:szCs w:val="28"/>
          <w:highlight w:val="none"/>
          <w:lang w:val="en-US" w:eastAsia="zh-CN"/>
        </w:rPr>
        <w:t>植被</w:t>
      </w:r>
      <w:r>
        <w:rPr>
          <w:rFonts w:hint="default" w:ascii="Times New Roman" w:hAnsi="Times New Roman" w:cs="Times New Roman" w:eastAsiaTheme="minorEastAsia"/>
          <w:color w:val="auto"/>
          <w:sz w:val="28"/>
          <w:szCs w:val="28"/>
          <w:highlight w:val="none"/>
          <w:lang w:val="en-US" w:eastAsia="zh-CN"/>
        </w:rPr>
        <w:t>，同步养护，消除裸露采面。</w:t>
      </w:r>
    </w:p>
    <w:p w14:paraId="6551B98F">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水土保持绿色措施：采场环形截水沟、台阶横向排水沟、沉砂池全覆盖；堆土场分层碾压、边坡植草固土，防控寒区融雪冲刷水土流失。</w:t>
      </w:r>
    </w:p>
    <w:p w14:paraId="60593661">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4、</w:t>
      </w:r>
      <w:r>
        <w:rPr>
          <w:rFonts w:hint="default" w:ascii="Times New Roman" w:hAnsi="Times New Roman" w:cs="Times New Roman"/>
          <w:b/>
          <w:bCs/>
          <w:color w:val="auto"/>
          <w:sz w:val="28"/>
          <w:szCs w:val="28"/>
          <w:highlight w:val="none"/>
          <w:lang w:val="en-US" w:eastAsia="zh-CN"/>
        </w:rPr>
        <w:t>绿色矿山管理制度</w:t>
      </w:r>
    </w:p>
    <w:p w14:paraId="23BCCCBA">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建立绿色矿山专项台账，包含扬尘监测、植被养护、固废利用、水资源回用、复垦施工记录；足额计提矿山地质环境治理基金，保障生态修复资金稳定。</w:t>
      </w:r>
    </w:p>
    <w:p w14:paraId="6E9B8C34">
      <w:pPr>
        <w:pStyle w:val="3"/>
        <w:pageBreakBefore w:val="0"/>
        <w:kinsoku/>
        <w:wordWrap/>
        <w:overflowPunct/>
        <w:topLinePunct w:val="0"/>
        <w:bidi w:val="0"/>
        <w:spacing w:before="0" w:after="0" w:line="360" w:lineRule="auto"/>
        <w:ind w:firstLine="602" w:firstLineChars="200"/>
        <w:rPr>
          <w:rFonts w:hint="eastAsia" w:ascii="Times New Roman" w:hAnsi="Times New Roman" w:cs="Times New Roman" w:eastAsiaTheme="minorEastAsia"/>
          <w:color w:val="auto"/>
          <w:sz w:val="30"/>
          <w:szCs w:val="30"/>
          <w:highlight w:val="none"/>
          <w:lang w:val="en-US" w:eastAsia="zh-CN"/>
        </w:rPr>
      </w:pPr>
      <w:bookmarkStart w:id="104" w:name="_Toc20028"/>
      <w:r>
        <w:rPr>
          <w:rFonts w:hint="eastAsia" w:ascii="Times New Roman" w:hAnsi="Times New Roman" w:cs="Times New Roman" w:eastAsiaTheme="minorEastAsia"/>
          <w:color w:val="auto"/>
          <w:sz w:val="30"/>
          <w:szCs w:val="30"/>
          <w:highlight w:val="none"/>
          <w:lang w:val="en-US" w:eastAsia="zh-CN"/>
        </w:rPr>
        <w:t>十四、矿山智能化配套设计</w:t>
      </w:r>
      <w:bookmarkEnd w:id="104"/>
    </w:p>
    <w:p w14:paraId="67FC99AA">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结合小型露天矿建设标准，配置低成本、适配高寒林区的基础智能化管控系统。</w:t>
      </w:r>
    </w:p>
    <w:p w14:paraId="236FEC63">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1、</w:t>
      </w:r>
      <w:r>
        <w:rPr>
          <w:rFonts w:hint="default" w:ascii="Times New Roman" w:hAnsi="Times New Roman" w:cs="Times New Roman"/>
          <w:b/>
          <w:bCs/>
          <w:color w:val="auto"/>
          <w:sz w:val="28"/>
          <w:szCs w:val="28"/>
          <w:highlight w:val="none"/>
          <w:lang w:val="en-US" w:eastAsia="zh-CN"/>
        </w:rPr>
        <w:t>视频安防与边界智能监控</w:t>
      </w:r>
    </w:p>
    <w:p w14:paraId="17B1CE6A">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矿区出入口、采场边坡、破碎车间、堆料场布设高清红外监控摄像头，低温耐寒机型，实现24h实时画面存储、远程查看。</w:t>
      </w:r>
    </w:p>
    <w:p w14:paraId="00FDD7F3">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开采拐点边界布设界桩 + 视频联动监控，超范围开挖自动预警，杜绝越界开采。</w:t>
      </w:r>
    </w:p>
    <w:p w14:paraId="50685795">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2、</w:t>
      </w:r>
      <w:r>
        <w:rPr>
          <w:rFonts w:hint="default" w:ascii="Times New Roman" w:hAnsi="Times New Roman" w:cs="Times New Roman"/>
          <w:b/>
          <w:bCs/>
          <w:color w:val="auto"/>
          <w:sz w:val="28"/>
          <w:szCs w:val="28"/>
          <w:highlight w:val="none"/>
          <w:lang w:val="en-US" w:eastAsia="zh-CN"/>
        </w:rPr>
        <w:t>边坡智能在线监测系统</w:t>
      </w:r>
    </w:p>
    <w:p w14:paraId="54EDE0BC">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在终了边坡、破碎岩体区段布设一体化监测设备：位移监测桩、雨量传感器、冻融温湿度传感器。</w:t>
      </w:r>
    </w:p>
    <w:p w14:paraId="6DBB116E">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数据实时传输至值班室终端，位移、沉降超标自动声光报警，实现边坡隐患提前预判，适配大兴安岭季节性冻土冻融滑坡防控需求。</w:t>
      </w:r>
    </w:p>
    <w:p w14:paraId="12C80A3C">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3、</w:t>
      </w:r>
      <w:r>
        <w:rPr>
          <w:rFonts w:hint="default" w:ascii="Times New Roman" w:hAnsi="Times New Roman" w:cs="Times New Roman"/>
          <w:b/>
          <w:bCs/>
          <w:color w:val="auto"/>
          <w:sz w:val="28"/>
          <w:szCs w:val="28"/>
          <w:highlight w:val="none"/>
          <w:lang w:val="en-US" w:eastAsia="zh-CN"/>
        </w:rPr>
        <w:t>扬尘、噪声在线监测设备</w:t>
      </w:r>
    </w:p>
    <w:p w14:paraId="0A2FC1CA">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矿区上、下风向各布设1套扬尘噪声在线监测仪，数据实时公示，超标自动联动雾炮、洒水车自动喷淋抑尘。</w:t>
      </w:r>
    </w:p>
    <w:p w14:paraId="5BE14923">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4、</w:t>
      </w:r>
      <w:r>
        <w:rPr>
          <w:rFonts w:hint="default" w:ascii="Times New Roman" w:hAnsi="Times New Roman" w:cs="Times New Roman"/>
          <w:b/>
          <w:bCs/>
          <w:color w:val="auto"/>
          <w:sz w:val="28"/>
          <w:szCs w:val="28"/>
          <w:highlight w:val="none"/>
          <w:lang w:val="en-US" w:eastAsia="zh-CN"/>
        </w:rPr>
        <w:t>生产台账数字化管理</w:t>
      </w:r>
    </w:p>
    <w:p w14:paraId="1E025C87">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配备矿山生产管理终端，记录每日开采方量、设备运行、三率指标、环保运维、边坡巡查记录，实现开采全过程数字化留痕，便于自然资源部门动态核查。</w:t>
      </w:r>
    </w:p>
    <w:p w14:paraId="7DEF4188">
      <w:pPr>
        <w:pageBreakBefore w:val="0"/>
        <w:kinsoku/>
        <w:wordWrap/>
        <w:overflowPunct/>
        <w:topLinePunct w:val="0"/>
        <w:bidi w:val="0"/>
        <w:spacing w:line="360" w:lineRule="auto"/>
        <w:ind w:firstLine="562" w:firstLineChars="200"/>
        <w:rPr>
          <w:rFonts w:hint="default" w:ascii="Times New Roman" w:hAnsi="Times New Roman" w:cs="Times New Roman"/>
          <w:b/>
          <w:bCs/>
          <w:color w:val="auto"/>
          <w:sz w:val="28"/>
          <w:szCs w:val="28"/>
          <w:highlight w:val="none"/>
          <w:lang w:val="en-US" w:eastAsia="zh-CN"/>
        </w:rPr>
      </w:pPr>
      <w:r>
        <w:rPr>
          <w:rFonts w:hint="eastAsia" w:ascii="Times New Roman" w:hAnsi="Times New Roman" w:cs="Times New Roman"/>
          <w:b/>
          <w:bCs/>
          <w:color w:val="auto"/>
          <w:sz w:val="28"/>
          <w:szCs w:val="28"/>
          <w:highlight w:val="none"/>
          <w:lang w:val="en-US" w:eastAsia="zh-CN"/>
        </w:rPr>
        <w:t>5、</w:t>
      </w:r>
      <w:r>
        <w:rPr>
          <w:rFonts w:hint="default" w:ascii="Times New Roman" w:hAnsi="Times New Roman" w:cs="Times New Roman"/>
          <w:b/>
          <w:bCs/>
          <w:color w:val="auto"/>
          <w:sz w:val="28"/>
          <w:szCs w:val="28"/>
          <w:highlight w:val="none"/>
          <w:lang w:val="en-US" w:eastAsia="zh-CN"/>
        </w:rPr>
        <w:t>车辆智能管控</w:t>
      </w:r>
    </w:p>
    <w:p w14:paraId="784D50E8">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场内运输车辆安装定位终端，限定场内行驶路线、限速区间；出场车辆自动冲洗平台联动感应，无冲洗禁止驶出矿区，管控运输扬尘抛洒。</w:t>
      </w:r>
    </w:p>
    <w:p w14:paraId="5F1FEE2A">
      <w:pPr>
        <w:pStyle w:val="2"/>
        <w:pageBreakBefore w:val="0"/>
        <w:kinsoku/>
        <w:wordWrap/>
        <w:overflowPunct/>
        <w:topLinePunct w:val="0"/>
        <w:bidi w:val="0"/>
        <w:spacing w:beforeLines="50" w:afterLines="50" w:line="360" w:lineRule="auto"/>
        <w:jc w:val="center"/>
        <w:rPr>
          <w:rFonts w:hint="default" w:ascii="黑体" w:hAnsi="黑体" w:eastAsia="黑体" w:cs="黑体"/>
          <w:b w:val="0"/>
          <w:color w:val="auto"/>
          <w:sz w:val="32"/>
          <w:szCs w:val="32"/>
          <w:highlight w:val="none"/>
          <w:lang w:val="en-US" w:eastAsia="zh-CN"/>
        </w:rPr>
      </w:pPr>
      <w:bookmarkStart w:id="105" w:name="_Toc21225"/>
      <w:r>
        <w:rPr>
          <w:rFonts w:hint="default" w:ascii="黑体" w:hAnsi="黑体" w:eastAsia="黑体" w:cs="黑体"/>
          <w:b w:val="0"/>
          <w:color w:val="auto"/>
          <w:sz w:val="32"/>
          <w:szCs w:val="32"/>
          <w:highlight w:val="none"/>
          <w:lang w:val="en-US" w:eastAsia="zh-CN"/>
        </w:rPr>
        <w:t>第五章 结论</w:t>
      </w:r>
      <w:bookmarkEnd w:id="105"/>
    </w:p>
    <w:p w14:paraId="269802AD">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106" w:name="_Toc2454"/>
      <w:bookmarkStart w:id="107" w:name="_Toc19341"/>
      <w:bookmarkStart w:id="108" w:name="_Toc14024"/>
      <w:bookmarkStart w:id="109" w:name="_Toc13079"/>
      <w:bookmarkStart w:id="110" w:name="_Toc154564226"/>
      <w:r>
        <w:rPr>
          <w:rFonts w:hint="eastAsia" w:ascii="Times New Roman" w:hAnsi="Times New Roman" w:cs="Times New Roman" w:eastAsiaTheme="minorEastAsia"/>
          <w:color w:val="auto"/>
          <w:sz w:val="30"/>
          <w:szCs w:val="30"/>
          <w:highlight w:val="none"/>
          <w:lang w:val="en-US" w:eastAsia="zh-CN"/>
        </w:rPr>
        <w:t>一</w:t>
      </w:r>
      <w:r>
        <w:rPr>
          <w:rFonts w:hint="default" w:ascii="Times New Roman" w:hAnsi="Times New Roman" w:cs="Times New Roman" w:eastAsiaTheme="minorEastAsia"/>
          <w:color w:val="auto"/>
          <w:sz w:val="30"/>
          <w:szCs w:val="30"/>
          <w:highlight w:val="none"/>
          <w:lang w:val="en-US" w:eastAsia="zh-CN"/>
        </w:rPr>
        <w:t>、估算设计利用资源量和设计可采储量</w:t>
      </w:r>
      <w:bookmarkEnd w:id="106"/>
      <w:bookmarkEnd w:id="107"/>
      <w:bookmarkEnd w:id="108"/>
      <w:bookmarkEnd w:id="109"/>
    </w:p>
    <w:p w14:paraId="6CAD65AD">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根据资源量估算结果结合矿山实际，确定该矿山开采范围内矿山估算推断的总资源量为353504</w:t>
      </w:r>
      <w:r>
        <w:rPr>
          <w:rFonts w:hint="eastAsia" w:cs="Times New Roman" w:eastAsiaTheme="minorEastAsia"/>
          <w:color w:val="auto"/>
          <w:sz w:val="28"/>
          <w:szCs w:val="28"/>
          <w:highlight w:val="none"/>
          <w:lang w:val="en-US" w:eastAsia="zh-CN"/>
        </w:rPr>
        <w:t>立方米</w:t>
      </w:r>
      <w:r>
        <w:rPr>
          <w:rFonts w:hint="default" w:ascii="Times New Roman" w:hAnsi="Times New Roman" w:cs="Times New Roman" w:eastAsiaTheme="minorEastAsia"/>
          <w:color w:val="auto"/>
          <w:sz w:val="28"/>
          <w:szCs w:val="28"/>
          <w:highlight w:val="none"/>
          <w:lang w:val="en-US" w:eastAsia="zh-CN"/>
        </w:rPr>
        <w:t>，边坡保留资源量为39405</w:t>
      </w:r>
      <w:r>
        <w:rPr>
          <w:rFonts w:hint="eastAsia" w:cs="Times New Roman" w:eastAsiaTheme="minorEastAsia"/>
          <w:color w:val="auto"/>
          <w:sz w:val="28"/>
          <w:szCs w:val="28"/>
          <w:highlight w:val="none"/>
          <w:lang w:val="en-US" w:eastAsia="zh-CN"/>
        </w:rPr>
        <w:t>立方米</w:t>
      </w:r>
      <w:r>
        <w:rPr>
          <w:rFonts w:hint="default" w:ascii="Times New Roman" w:hAnsi="Times New Roman" w:cs="Times New Roman" w:eastAsiaTheme="minorEastAsia"/>
          <w:color w:val="auto"/>
          <w:sz w:val="28"/>
          <w:szCs w:val="28"/>
          <w:highlight w:val="none"/>
          <w:lang w:val="en-US" w:eastAsia="zh-CN"/>
        </w:rPr>
        <w:t>，边坡内资源量为314099</w:t>
      </w:r>
      <w:r>
        <w:rPr>
          <w:rFonts w:hint="eastAsia" w:cs="Times New Roman" w:eastAsiaTheme="minorEastAsia"/>
          <w:color w:val="auto"/>
          <w:sz w:val="28"/>
          <w:szCs w:val="28"/>
          <w:highlight w:val="none"/>
          <w:lang w:val="en-US" w:eastAsia="zh-CN"/>
        </w:rPr>
        <w:t>立方米</w:t>
      </w:r>
      <w:r>
        <w:rPr>
          <w:rFonts w:hint="default" w:ascii="Times New Roman" w:hAnsi="Times New Roman" w:cs="Times New Roman" w:eastAsiaTheme="minorEastAsia"/>
          <w:color w:val="auto"/>
          <w:sz w:val="28"/>
          <w:szCs w:val="28"/>
          <w:highlight w:val="none"/>
          <w:lang w:val="en-US" w:eastAsia="zh-CN"/>
        </w:rPr>
        <w:t>，可采资源量为298394</w:t>
      </w:r>
      <w:r>
        <w:rPr>
          <w:rFonts w:hint="eastAsia" w:cs="Times New Roman" w:eastAsiaTheme="minorEastAsia"/>
          <w:color w:val="auto"/>
          <w:sz w:val="28"/>
          <w:szCs w:val="28"/>
          <w:highlight w:val="none"/>
          <w:lang w:val="en-US" w:eastAsia="zh-CN"/>
        </w:rPr>
        <w:t>立方米</w:t>
      </w:r>
      <w:r>
        <w:rPr>
          <w:rFonts w:hint="default" w:ascii="Times New Roman" w:hAnsi="Times New Roman" w:cs="Times New Roman" w:eastAsiaTheme="minorEastAsia"/>
          <w:color w:val="auto"/>
          <w:sz w:val="28"/>
          <w:szCs w:val="28"/>
          <w:highlight w:val="none"/>
          <w:lang w:val="en-US" w:eastAsia="zh-CN"/>
        </w:rPr>
        <w:t>（采矿损失率按5%计算，损失量为15705</w:t>
      </w:r>
      <w:r>
        <w:rPr>
          <w:rFonts w:hint="eastAsia" w:cs="Times New Roman" w:eastAsiaTheme="minorEastAsia"/>
          <w:color w:val="auto"/>
          <w:sz w:val="28"/>
          <w:szCs w:val="28"/>
          <w:highlight w:val="none"/>
          <w:lang w:val="en-US" w:eastAsia="zh-CN"/>
        </w:rPr>
        <w:t>立方米</w:t>
      </w:r>
      <w:r>
        <w:rPr>
          <w:rFonts w:hint="default" w:ascii="Times New Roman" w:hAnsi="Times New Roman" w:cs="Times New Roman" w:eastAsiaTheme="minorEastAsia"/>
          <w:color w:val="auto"/>
          <w:sz w:val="28"/>
          <w:szCs w:val="28"/>
          <w:highlight w:val="none"/>
          <w:lang w:val="en-US" w:eastAsia="zh-CN"/>
        </w:rPr>
        <w:t>），矿山设计的生产规模为6.0万立方米/年，矿山服务年限约为5年。</w:t>
      </w:r>
    </w:p>
    <w:p w14:paraId="58A28185">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111" w:name="_Toc2139"/>
      <w:bookmarkStart w:id="112" w:name="_Toc167307755"/>
      <w:bookmarkStart w:id="113" w:name="_Toc10322"/>
      <w:bookmarkStart w:id="114" w:name="_Toc30072"/>
      <w:bookmarkStart w:id="115" w:name="_Toc4389"/>
      <w:r>
        <w:rPr>
          <w:rFonts w:hint="eastAsia" w:ascii="Times New Roman" w:hAnsi="Times New Roman" w:cs="Times New Roman" w:eastAsiaTheme="minorEastAsia"/>
          <w:color w:val="auto"/>
          <w:sz w:val="30"/>
          <w:szCs w:val="30"/>
          <w:highlight w:val="none"/>
          <w:lang w:val="en-US" w:eastAsia="zh-CN"/>
        </w:rPr>
        <w:t>二</w:t>
      </w:r>
      <w:r>
        <w:rPr>
          <w:rFonts w:hint="default" w:ascii="Times New Roman" w:hAnsi="Times New Roman" w:cs="Times New Roman" w:eastAsiaTheme="minorEastAsia"/>
          <w:color w:val="auto"/>
          <w:sz w:val="30"/>
          <w:szCs w:val="30"/>
          <w:highlight w:val="none"/>
          <w:lang w:val="en-US" w:eastAsia="zh-CN"/>
        </w:rPr>
        <w:t>、申请</w:t>
      </w:r>
      <w:bookmarkEnd w:id="111"/>
      <w:bookmarkEnd w:id="112"/>
      <w:bookmarkEnd w:id="113"/>
      <w:bookmarkEnd w:id="114"/>
      <w:r>
        <w:rPr>
          <w:rFonts w:hint="default" w:ascii="Times New Roman" w:hAnsi="Times New Roman" w:cs="Times New Roman" w:eastAsiaTheme="minorEastAsia"/>
          <w:color w:val="auto"/>
          <w:sz w:val="30"/>
          <w:szCs w:val="30"/>
          <w:highlight w:val="none"/>
          <w:lang w:val="en-US" w:eastAsia="zh-CN"/>
        </w:rPr>
        <w:t>开采区域</w:t>
      </w:r>
      <w:bookmarkEnd w:id="115"/>
    </w:p>
    <w:p w14:paraId="38F73E56">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申请采矿权矿区面积</w:t>
      </w:r>
      <w:r>
        <w:rPr>
          <w:rFonts w:hint="eastAsia" w:cs="Times New Roman" w:eastAsiaTheme="minorEastAsia"/>
          <w:color w:val="auto"/>
          <w:sz w:val="28"/>
          <w:szCs w:val="28"/>
          <w:highlight w:val="none"/>
          <w:lang w:val="en-US" w:eastAsia="zh-CN"/>
        </w:rPr>
        <w:t>24287.2m</w:t>
      </w:r>
      <w:r>
        <w:rPr>
          <w:rFonts w:hint="eastAsia" w:cs="Times New Roman" w:eastAsiaTheme="minorEastAsia"/>
          <w:color w:val="auto"/>
          <w:sz w:val="28"/>
          <w:szCs w:val="28"/>
          <w:highlight w:val="none"/>
          <w:vertAlign w:val="superscript"/>
          <w:lang w:val="en-US" w:eastAsia="zh-CN"/>
        </w:rPr>
        <w:t>2</w:t>
      </w:r>
      <w:r>
        <w:rPr>
          <w:rFonts w:hint="default" w:ascii="Times New Roman" w:hAnsi="Times New Roman" w:cs="Times New Roman" w:eastAsiaTheme="minorEastAsia"/>
          <w:color w:val="auto"/>
          <w:sz w:val="28"/>
          <w:szCs w:val="28"/>
          <w:highlight w:val="none"/>
          <w:lang w:val="en-US" w:eastAsia="zh-CN"/>
        </w:rPr>
        <w:t>，开采</w:t>
      </w:r>
      <w:r>
        <w:rPr>
          <w:rFonts w:hint="eastAsia" w:cs="Times New Roman" w:eastAsiaTheme="minorEastAsia"/>
          <w:color w:val="auto"/>
          <w:sz w:val="28"/>
          <w:szCs w:val="28"/>
          <w:highlight w:val="none"/>
          <w:lang w:val="en-US" w:eastAsia="zh-CN"/>
        </w:rPr>
        <w:t>顶</w:t>
      </w:r>
      <w:r>
        <w:rPr>
          <w:rFonts w:hint="default" w:ascii="Times New Roman" w:hAnsi="Times New Roman" w:cs="Times New Roman" w:eastAsiaTheme="minorEastAsia"/>
          <w:color w:val="auto"/>
          <w:sz w:val="28"/>
          <w:szCs w:val="28"/>
          <w:highlight w:val="none"/>
          <w:lang w:val="en-US" w:eastAsia="zh-CN"/>
        </w:rPr>
        <w:t>标高：332.5m，开采</w:t>
      </w:r>
      <w:r>
        <w:rPr>
          <w:rFonts w:hint="eastAsia" w:cs="Times New Roman" w:eastAsiaTheme="minorEastAsia"/>
          <w:color w:val="auto"/>
          <w:sz w:val="28"/>
          <w:szCs w:val="28"/>
          <w:highlight w:val="none"/>
          <w:lang w:val="en-US" w:eastAsia="zh-CN"/>
        </w:rPr>
        <w:t>底</w:t>
      </w:r>
      <w:r>
        <w:rPr>
          <w:rFonts w:hint="default" w:ascii="Times New Roman" w:hAnsi="Times New Roman" w:cs="Times New Roman" w:eastAsiaTheme="minorEastAsia"/>
          <w:color w:val="auto"/>
          <w:sz w:val="28"/>
          <w:szCs w:val="28"/>
          <w:highlight w:val="none"/>
          <w:lang w:val="en-US" w:eastAsia="zh-CN"/>
        </w:rPr>
        <w:t>标高：297m。</w:t>
      </w:r>
    </w:p>
    <w:p w14:paraId="322480A4">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116" w:name="_Toc21847"/>
      <w:bookmarkStart w:id="117" w:name="_Toc19104"/>
      <w:bookmarkStart w:id="118" w:name="_Toc154564227"/>
      <w:bookmarkStart w:id="119" w:name="_Toc13734"/>
      <w:bookmarkStart w:id="120" w:name="_Toc31182"/>
      <w:bookmarkStart w:id="121" w:name="_Toc167307756"/>
      <w:r>
        <w:rPr>
          <w:rFonts w:hint="eastAsia" w:ascii="Times New Roman" w:hAnsi="Times New Roman" w:cs="Times New Roman" w:eastAsiaTheme="minorEastAsia"/>
          <w:color w:val="auto"/>
          <w:sz w:val="30"/>
          <w:szCs w:val="30"/>
          <w:highlight w:val="none"/>
          <w:lang w:val="en-US" w:eastAsia="zh-CN"/>
        </w:rPr>
        <w:t>三</w:t>
      </w:r>
      <w:r>
        <w:rPr>
          <w:rFonts w:hint="default" w:ascii="Times New Roman" w:hAnsi="Times New Roman" w:cs="Times New Roman" w:eastAsiaTheme="minorEastAsia"/>
          <w:color w:val="auto"/>
          <w:sz w:val="30"/>
          <w:szCs w:val="30"/>
          <w:highlight w:val="none"/>
          <w:lang w:val="en-US" w:eastAsia="zh-CN"/>
        </w:rPr>
        <w:t>、开采矿种</w:t>
      </w:r>
      <w:bookmarkEnd w:id="116"/>
      <w:bookmarkEnd w:id="117"/>
      <w:bookmarkEnd w:id="118"/>
      <w:bookmarkEnd w:id="119"/>
      <w:bookmarkEnd w:id="120"/>
      <w:bookmarkEnd w:id="121"/>
    </w:p>
    <w:p w14:paraId="5FA0C1EC">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开采矿种为建筑用凝灰岩。</w:t>
      </w:r>
    </w:p>
    <w:p w14:paraId="36BE58EF">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122" w:name="_Toc32373"/>
      <w:bookmarkStart w:id="123" w:name="_Toc633"/>
      <w:bookmarkStart w:id="124" w:name="_Toc29927"/>
      <w:bookmarkStart w:id="125" w:name="_Toc167307757"/>
      <w:bookmarkStart w:id="126" w:name="_Toc24205"/>
      <w:r>
        <w:rPr>
          <w:rFonts w:hint="eastAsia" w:ascii="Times New Roman" w:hAnsi="Times New Roman" w:cs="Times New Roman" w:eastAsiaTheme="minorEastAsia"/>
          <w:color w:val="auto"/>
          <w:sz w:val="30"/>
          <w:szCs w:val="30"/>
          <w:highlight w:val="none"/>
          <w:lang w:val="en-US" w:eastAsia="zh-CN"/>
        </w:rPr>
        <w:t>四、</w:t>
      </w:r>
      <w:r>
        <w:rPr>
          <w:rFonts w:hint="default" w:ascii="Times New Roman" w:hAnsi="Times New Roman" w:cs="Times New Roman" w:eastAsiaTheme="minorEastAsia"/>
          <w:color w:val="auto"/>
          <w:sz w:val="30"/>
          <w:szCs w:val="30"/>
          <w:highlight w:val="none"/>
          <w:lang w:val="en-US" w:eastAsia="zh-CN"/>
        </w:rPr>
        <w:t>开采方式、开采顺序、采矿方法</w:t>
      </w:r>
      <w:bookmarkEnd w:id="122"/>
      <w:bookmarkEnd w:id="123"/>
      <w:bookmarkEnd w:id="124"/>
      <w:bookmarkEnd w:id="125"/>
      <w:bookmarkEnd w:id="126"/>
    </w:p>
    <w:p w14:paraId="0171F3DE">
      <w:pPr>
        <w:pageBreakBefore w:val="0"/>
        <w:kinsoku/>
        <w:wordWrap/>
        <w:overflowPunct/>
        <w:topLinePunct w:val="0"/>
        <w:bidi w:val="0"/>
        <w:spacing w:line="360" w:lineRule="auto"/>
        <w:ind w:firstLine="560" w:firstLineChars="200"/>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根据矿山实际情况，确定采用露天开采方式；采用沿山坡由高向低、自上而下分段台阶式开采顺序；采用台阶轮流机械挖掘采矿方法。</w:t>
      </w:r>
    </w:p>
    <w:p w14:paraId="59BDB88A">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127" w:name="_Toc154564228"/>
      <w:bookmarkStart w:id="128" w:name="_Toc4748"/>
      <w:bookmarkStart w:id="129" w:name="_Toc27174"/>
      <w:bookmarkStart w:id="130" w:name="_Toc5024"/>
      <w:bookmarkStart w:id="131" w:name="_Toc167307758"/>
      <w:bookmarkStart w:id="132" w:name="_Toc23644"/>
      <w:r>
        <w:rPr>
          <w:rFonts w:hint="eastAsia" w:ascii="Times New Roman" w:hAnsi="Times New Roman" w:cs="Times New Roman" w:eastAsiaTheme="minorEastAsia"/>
          <w:color w:val="auto"/>
          <w:sz w:val="30"/>
          <w:szCs w:val="30"/>
          <w:highlight w:val="none"/>
          <w:lang w:val="en-US" w:eastAsia="zh-CN"/>
        </w:rPr>
        <w:t>五</w:t>
      </w:r>
      <w:r>
        <w:rPr>
          <w:rFonts w:hint="default" w:ascii="Times New Roman" w:hAnsi="Times New Roman" w:cs="Times New Roman" w:eastAsiaTheme="minorEastAsia"/>
          <w:color w:val="auto"/>
          <w:sz w:val="30"/>
          <w:szCs w:val="30"/>
          <w:highlight w:val="none"/>
          <w:lang w:val="en-US" w:eastAsia="zh-CN"/>
        </w:rPr>
        <w:t>、拟建生产规模、矿山服务年限</w:t>
      </w:r>
      <w:bookmarkEnd w:id="127"/>
      <w:bookmarkEnd w:id="128"/>
      <w:bookmarkEnd w:id="129"/>
      <w:bookmarkEnd w:id="130"/>
      <w:bookmarkEnd w:id="131"/>
      <w:bookmarkEnd w:id="132"/>
    </w:p>
    <w:p w14:paraId="45613E43">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矿山设计的生产规模为6.0万立方米/年，矿山服务年限约为5年。</w:t>
      </w:r>
    </w:p>
    <w:p w14:paraId="17F08468">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133" w:name="_Toc29650"/>
      <w:bookmarkStart w:id="134" w:name="_Toc154564231"/>
      <w:bookmarkStart w:id="135" w:name="_Toc23075"/>
      <w:bookmarkStart w:id="136" w:name="_Toc18015"/>
      <w:bookmarkStart w:id="137" w:name="_Toc27686"/>
      <w:bookmarkStart w:id="138" w:name="_Toc167307759"/>
      <w:r>
        <w:rPr>
          <w:rFonts w:hint="eastAsia" w:ascii="Times New Roman" w:hAnsi="Times New Roman" w:cs="Times New Roman" w:eastAsiaTheme="minorEastAsia"/>
          <w:color w:val="auto"/>
          <w:sz w:val="30"/>
          <w:szCs w:val="30"/>
          <w:highlight w:val="none"/>
          <w:lang w:val="en-US" w:eastAsia="zh-CN"/>
        </w:rPr>
        <w:t>六</w:t>
      </w:r>
      <w:r>
        <w:rPr>
          <w:rFonts w:hint="default" w:ascii="Times New Roman" w:hAnsi="Times New Roman" w:cs="Times New Roman" w:eastAsiaTheme="minorEastAsia"/>
          <w:color w:val="auto"/>
          <w:sz w:val="30"/>
          <w:szCs w:val="30"/>
          <w:highlight w:val="none"/>
          <w:lang w:val="en-US" w:eastAsia="zh-CN"/>
        </w:rPr>
        <w:t>、资源综合利用</w:t>
      </w:r>
      <w:bookmarkEnd w:id="133"/>
      <w:bookmarkEnd w:id="134"/>
      <w:bookmarkEnd w:id="135"/>
      <w:bookmarkEnd w:id="136"/>
      <w:bookmarkEnd w:id="137"/>
      <w:bookmarkEnd w:id="138"/>
    </w:p>
    <w:p w14:paraId="0819E61A">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default" w:ascii="Times New Roman" w:hAnsi="Times New Roman" w:cs="Times New Roman" w:eastAsiaTheme="minorEastAsia"/>
          <w:color w:val="auto"/>
          <w:sz w:val="28"/>
          <w:szCs w:val="28"/>
          <w:highlight w:val="none"/>
          <w:lang w:val="en-US" w:eastAsia="zh-CN"/>
        </w:rPr>
        <w:t>本矿为建筑用凝灰岩开采，仅需破碎、筛分加工，无选矿工序。矿区无工业价值共伴生矿产，剥离腐殖土全部用于复垦，废石可综合利用，剥离物利用率100%。开采严格按设计境界分层有序作业，落实矿体保护措施，控制采矿损失率在5%以内，有效保障矿产资源合理开发利用。</w:t>
      </w:r>
    </w:p>
    <w:bookmarkEnd w:id="110"/>
    <w:p w14:paraId="385D39A6">
      <w:pPr>
        <w:pStyle w:val="3"/>
        <w:pageBreakBefore w:val="0"/>
        <w:kinsoku/>
        <w:wordWrap/>
        <w:overflowPunct/>
        <w:topLinePunct w:val="0"/>
        <w:bidi w:val="0"/>
        <w:spacing w:before="0" w:after="0" w:line="360" w:lineRule="auto"/>
        <w:ind w:firstLine="602" w:firstLineChars="200"/>
        <w:rPr>
          <w:rFonts w:hint="default" w:ascii="Times New Roman" w:hAnsi="Times New Roman" w:cs="Times New Roman" w:eastAsiaTheme="minorEastAsia"/>
          <w:color w:val="auto"/>
          <w:sz w:val="30"/>
          <w:szCs w:val="30"/>
          <w:highlight w:val="none"/>
          <w:lang w:val="en-US" w:eastAsia="zh-CN"/>
        </w:rPr>
      </w:pPr>
      <w:bookmarkStart w:id="139" w:name="_Toc477"/>
      <w:bookmarkStart w:id="140" w:name="_Toc20945_WPSOffice_Level2"/>
      <w:bookmarkStart w:id="141" w:name="_Toc10179"/>
      <w:bookmarkStart w:id="142" w:name="_Toc29311_WPSOffice_Level2"/>
      <w:bookmarkStart w:id="143" w:name="_Toc25539_WPSOffice_Level2"/>
      <w:bookmarkStart w:id="144" w:name="_Toc15431_WPSOffice_Level2"/>
      <w:r>
        <w:rPr>
          <w:rFonts w:hint="eastAsia" w:ascii="Times New Roman" w:hAnsi="Times New Roman" w:cs="Times New Roman" w:eastAsiaTheme="minorEastAsia"/>
          <w:color w:val="auto"/>
          <w:sz w:val="30"/>
          <w:szCs w:val="30"/>
          <w:highlight w:val="none"/>
          <w:lang w:val="en-US" w:eastAsia="zh-CN"/>
        </w:rPr>
        <w:t>七</w:t>
      </w:r>
      <w:r>
        <w:rPr>
          <w:rFonts w:hint="default" w:ascii="Times New Roman" w:hAnsi="Times New Roman" w:cs="Times New Roman" w:eastAsiaTheme="minorEastAsia"/>
          <w:color w:val="auto"/>
          <w:sz w:val="30"/>
          <w:szCs w:val="30"/>
          <w:highlight w:val="none"/>
          <w:lang w:val="en-US" w:eastAsia="zh-CN"/>
        </w:rPr>
        <w:t>、建议</w:t>
      </w:r>
      <w:bookmarkEnd w:id="139"/>
    </w:p>
    <w:p w14:paraId="32B8EB10">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eastAsia" w:cs="Times New Roman" w:eastAsiaTheme="minorEastAsia"/>
          <w:color w:val="auto"/>
          <w:sz w:val="28"/>
          <w:szCs w:val="28"/>
          <w:highlight w:val="none"/>
          <w:lang w:val="en-US" w:eastAsia="zh-CN"/>
        </w:rPr>
        <w:t>1）</w:t>
      </w:r>
      <w:r>
        <w:rPr>
          <w:rFonts w:hint="default" w:ascii="Times New Roman" w:hAnsi="Times New Roman" w:cs="Times New Roman" w:eastAsiaTheme="minorEastAsia"/>
          <w:color w:val="auto"/>
          <w:sz w:val="28"/>
          <w:szCs w:val="28"/>
          <w:highlight w:val="none"/>
          <w:lang w:val="en-US" w:eastAsia="zh-CN"/>
        </w:rPr>
        <w:t>本开采方案依据矿区矿产资源储量检测报告、现场勘查成果及同类矿山开采经验编制，结合矿山现有采掘设备配置条件开展设计，对部分内容予以简化。矿山生产过程中，若发现矿体赋存条件、矿石质量发生变化，应及时优化、调整开采方案，确保矿产资源开发科学、合理、高效。</w:t>
      </w:r>
    </w:p>
    <w:p w14:paraId="3CAFBFED">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eastAsia" w:cs="Times New Roman" w:eastAsiaTheme="minorEastAsia"/>
          <w:color w:val="auto"/>
          <w:sz w:val="28"/>
          <w:szCs w:val="28"/>
          <w:highlight w:val="none"/>
          <w:lang w:val="en-US" w:eastAsia="zh-CN"/>
        </w:rPr>
        <w:t>2）</w:t>
      </w:r>
      <w:r>
        <w:rPr>
          <w:rFonts w:hint="default" w:ascii="Times New Roman" w:hAnsi="Times New Roman" w:cs="Times New Roman" w:eastAsiaTheme="minorEastAsia"/>
          <w:color w:val="auto"/>
          <w:sz w:val="28"/>
          <w:szCs w:val="28"/>
          <w:highlight w:val="none"/>
          <w:lang w:val="en-US" w:eastAsia="zh-CN"/>
        </w:rPr>
        <w:t xml:space="preserve"> 本方案采场边坡角按照规范常规参数取值确定，矿山开采期间需结合现场岩体实际情况，动态优化调整边坡设计参数。针对岩体破碎、稳定性较差的区段，及时落实固坡防护治理措施，持续保障采场边坡整体稳定及矿山公路运输安全。</w:t>
      </w:r>
    </w:p>
    <w:p w14:paraId="4E4FA47A">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eastAsia" w:cs="Times New Roman" w:eastAsiaTheme="minorEastAsia"/>
          <w:color w:val="auto"/>
          <w:sz w:val="28"/>
          <w:szCs w:val="28"/>
          <w:highlight w:val="none"/>
          <w:lang w:val="en-US" w:eastAsia="zh-CN"/>
        </w:rPr>
        <w:t>3）</w:t>
      </w:r>
      <w:r>
        <w:rPr>
          <w:rFonts w:hint="default" w:ascii="Times New Roman" w:hAnsi="Times New Roman" w:cs="Times New Roman" w:eastAsiaTheme="minorEastAsia"/>
          <w:color w:val="auto"/>
          <w:sz w:val="28"/>
          <w:szCs w:val="28"/>
          <w:highlight w:val="none"/>
          <w:lang w:val="en-US" w:eastAsia="zh-CN"/>
        </w:rPr>
        <w:t>矿山开采全过程严格管控作业范围，尽量减少林地占用和地表植被损毁，切实保护区域土地资源，有效防治水土流失。严格遵照国家相关规范及政策要求，全面落实矿山环境治理、水土保持、土地复垦等各项工作。</w:t>
      </w:r>
    </w:p>
    <w:p w14:paraId="1FF07515">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eastAsia" w:cs="Times New Roman" w:eastAsiaTheme="minorEastAsia"/>
          <w:color w:val="auto"/>
          <w:sz w:val="28"/>
          <w:szCs w:val="28"/>
          <w:highlight w:val="none"/>
          <w:lang w:val="en-US" w:eastAsia="zh-CN"/>
        </w:rPr>
        <w:t>4）</w:t>
      </w:r>
      <w:r>
        <w:rPr>
          <w:rFonts w:hint="default" w:ascii="Times New Roman" w:hAnsi="Times New Roman" w:cs="Times New Roman" w:eastAsiaTheme="minorEastAsia"/>
          <w:color w:val="auto"/>
          <w:sz w:val="28"/>
          <w:szCs w:val="28"/>
          <w:highlight w:val="none"/>
          <w:lang w:val="en-US" w:eastAsia="zh-CN"/>
        </w:rPr>
        <w:t>矿山生产期间严格落实扬尘、噪声污染防控工作，常态化采取洒水降尘、设备降噪等环保治理措施，最大限度降低开采作业对周边生态环境的影响，实现绿色、环保、标准化开采。</w:t>
      </w:r>
    </w:p>
    <w:p w14:paraId="7D965E8D">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r>
        <w:rPr>
          <w:rFonts w:hint="eastAsia" w:cs="Times New Roman" w:eastAsiaTheme="minorEastAsia"/>
          <w:color w:val="auto"/>
          <w:sz w:val="28"/>
          <w:szCs w:val="28"/>
          <w:highlight w:val="none"/>
          <w:lang w:val="en-US" w:eastAsia="zh-CN"/>
        </w:rPr>
        <w:t>5）</w:t>
      </w:r>
      <w:r>
        <w:rPr>
          <w:rFonts w:hint="default" w:ascii="Times New Roman" w:hAnsi="Times New Roman" w:cs="Times New Roman" w:eastAsiaTheme="minorEastAsia"/>
          <w:color w:val="auto"/>
          <w:sz w:val="28"/>
          <w:szCs w:val="28"/>
          <w:highlight w:val="none"/>
          <w:lang w:val="en-US" w:eastAsia="zh-CN"/>
        </w:rPr>
        <w:t>本次矿区前期地质工作程度有限，未开展专项工程</w:t>
      </w:r>
      <w:r>
        <w:rPr>
          <w:rFonts w:hint="eastAsia" w:ascii="Times New Roman" w:hAnsi="Times New Roman" w:cs="Times New Roman" w:eastAsiaTheme="minorEastAsia"/>
          <w:color w:val="auto"/>
          <w:sz w:val="28"/>
          <w:szCs w:val="28"/>
          <w:highlight w:val="none"/>
          <w:lang w:val="en-US" w:eastAsia="zh-CN"/>
        </w:rPr>
        <w:t>勘查</w:t>
      </w:r>
      <w:r>
        <w:rPr>
          <w:rFonts w:hint="default" w:ascii="Times New Roman" w:hAnsi="Times New Roman" w:cs="Times New Roman" w:eastAsiaTheme="minorEastAsia"/>
          <w:color w:val="auto"/>
          <w:sz w:val="28"/>
          <w:szCs w:val="28"/>
          <w:highlight w:val="none"/>
          <w:lang w:val="en-US" w:eastAsia="zh-CN"/>
        </w:rPr>
        <w:t>，开采深度依据现有地质资料及现场踏勘情况综合推测。后续矿山生产过程中，需加强现场地质跟踪核查工作，及时完善开采技术资料，为矿山安全生产、规范开采提供可靠的技术指导。</w:t>
      </w:r>
    </w:p>
    <w:p w14:paraId="739FFCB8">
      <w:pPr>
        <w:pStyle w:val="8"/>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cs="Times New Roman" w:eastAsiaTheme="minorEastAsia"/>
          <w:color w:val="auto"/>
          <w:sz w:val="28"/>
          <w:szCs w:val="28"/>
          <w:highlight w:val="none"/>
          <w:lang w:val="en-US" w:eastAsia="zh-CN"/>
        </w:rPr>
      </w:pPr>
    </w:p>
    <w:p w14:paraId="16A077C0">
      <w:pPr>
        <w:pageBreakBefore w:val="0"/>
        <w:kinsoku/>
        <w:wordWrap/>
        <w:overflowPunct/>
        <w:topLinePunct w:val="0"/>
        <w:bidi w:val="0"/>
        <w:spacing w:line="360" w:lineRule="auto"/>
        <w:ind w:firstLine="420" w:firstLineChars="200"/>
        <w:rPr>
          <w:rFonts w:hint="default" w:ascii="Times New Roman" w:hAnsi="Times New Roman" w:cs="Times New Roman" w:eastAsiaTheme="minorEastAsia"/>
          <w:color w:val="auto"/>
          <w:highlight w:val="none"/>
        </w:rPr>
        <w:sectPr>
          <w:footerReference r:id="rId10" w:type="default"/>
          <w:pgSz w:w="11906" w:h="16838"/>
          <w:pgMar w:top="1440" w:right="1800" w:bottom="1440" w:left="1800" w:header="851" w:footer="992" w:gutter="0"/>
          <w:pgNumType w:fmt="decimal" w:start="1"/>
          <w:cols w:space="720" w:num="1"/>
          <w:docGrid w:type="lines" w:linePitch="312" w:charSpace="0"/>
        </w:sectPr>
      </w:pPr>
    </w:p>
    <w:bookmarkEnd w:id="140"/>
    <w:bookmarkEnd w:id="141"/>
    <w:bookmarkEnd w:id="142"/>
    <w:bookmarkEnd w:id="143"/>
    <w:bookmarkEnd w:id="144"/>
    <w:p w14:paraId="767A3B10">
      <w:pPr>
        <w:pageBreakBefore w:val="0"/>
        <w:widowControl w:val="0"/>
        <w:numPr>
          <w:ilvl w:val="0"/>
          <w:numId w:val="0"/>
        </w:numPr>
        <w:kinsoku/>
        <w:wordWrap/>
        <w:overflowPunct/>
        <w:topLinePunct w:val="0"/>
        <w:bidi w:val="0"/>
        <w:spacing w:line="360" w:lineRule="auto"/>
        <w:jc w:val="both"/>
        <w:outlineLvl w:val="1"/>
        <w:rPr>
          <w:rFonts w:hint="default" w:ascii="Times New Roman" w:hAnsi="Times New Roman" w:cs="Times New Roman"/>
          <w:color w:val="auto"/>
          <w:sz w:val="28"/>
          <w:szCs w:val="28"/>
          <w:highlight w:val="none"/>
          <w:lang w:val="en-US" w:eastAsia="zh-CN"/>
        </w:rPr>
      </w:pPr>
      <w:bookmarkStart w:id="145" w:name="_GoBack"/>
      <w:bookmarkEnd w:id="145"/>
    </w:p>
    <w:sectPr>
      <w:pgSz w:w="11906" w:h="16838"/>
      <w:pgMar w:top="1440" w:right="1841"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D7998BA-84FF-40A5-9F0D-4B3C1D888A3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86D3C607-7AFA-4450-BB90-A3AA9B35B238}"/>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BBF19">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57C1A">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end"/>
    </w:r>
  </w:p>
  <w:p w14:paraId="31C9779D">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87281">
    <w:pPr>
      <w:pStyle w:val="13"/>
      <w:ind w:right="360" w:firstLine="56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A8AEF">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end"/>
    </w:r>
  </w:p>
  <w:p w14:paraId="6E014ADF">
    <w:pPr>
      <w:pStyle w:val="13"/>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1DE14">
    <w:pPr>
      <w:pStyle w:val="13"/>
      <w:jc w:val="center"/>
      <w:rPr>
        <w:rFonts w:ascii="Times New Roman" w:hAnsi="Times New Roman"/>
        <w:sz w:val="21"/>
        <w:szCs w:val="2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58471">
    <w:pPr>
      <w:pStyle w:val="13"/>
      <w:jc w:val="center"/>
      <w:rPr>
        <w:rFonts w:ascii="Times New Roman" w:hAnsi="Times New Roman"/>
        <w:sz w:val="21"/>
        <w:szCs w:val="21"/>
      </w:rPr>
    </w:pPr>
    <w:r>
      <w:rPr>
        <w:sz w:val="21"/>
      </w:rPr>
      <w:pict>
        <v:shape id="_x0000_s1029" o:spid="_x0000_s102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5908C0F6">
                <w:pPr>
                  <w:pStyle w:val="13"/>
                  <w:jc w:val="center"/>
                </w:pPr>
                <w:r>
                  <w:rPr>
                    <w:rFonts w:ascii="Times New Roman" w:hAnsi="Times New Roman"/>
                    <w:sz w:val="21"/>
                    <w:szCs w:val="21"/>
                  </w:rPr>
                  <w:fldChar w:fldCharType="begin"/>
                </w:r>
                <w:r>
                  <w:rPr>
                    <w:rFonts w:ascii="Times New Roman" w:hAnsi="Times New Roman"/>
                    <w:sz w:val="21"/>
                    <w:szCs w:val="21"/>
                  </w:rPr>
                  <w:instrText xml:space="preserve">PAGE   \* MERGEFORMAT</w:instrText>
                </w:r>
                <w:r>
                  <w:rPr>
                    <w:rFonts w:ascii="Times New Roman" w:hAnsi="Times New Roman"/>
                    <w:sz w:val="21"/>
                    <w:szCs w:val="21"/>
                  </w:rPr>
                  <w:fldChar w:fldCharType="separate"/>
                </w:r>
                <w:r>
                  <w:rPr>
                    <w:rFonts w:ascii="Times New Roman" w:hAnsi="Times New Roman"/>
                    <w:sz w:val="21"/>
                    <w:szCs w:val="21"/>
                    <w:lang w:val="zh-CN"/>
                  </w:rPr>
                  <w:t>19</w:t>
                </w:r>
                <w:r>
                  <w:rPr>
                    <w:rFonts w:ascii="Times New Roman" w:hAnsi="Times New Roman"/>
                    <w:sz w:val="21"/>
                    <w:szCs w:val="21"/>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93C2E">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9610C">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761786"/>
    <w:rsid w:val="00097C16"/>
    <w:rsid w:val="000C51A7"/>
    <w:rsid w:val="000D25BD"/>
    <w:rsid w:val="00114A2C"/>
    <w:rsid w:val="001226A2"/>
    <w:rsid w:val="00125E1F"/>
    <w:rsid w:val="00187BC3"/>
    <w:rsid w:val="001A279D"/>
    <w:rsid w:val="001A5FB5"/>
    <w:rsid w:val="001B36B8"/>
    <w:rsid w:val="001F2B9B"/>
    <w:rsid w:val="002341C2"/>
    <w:rsid w:val="0025570A"/>
    <w:rsid w:val="00287459"/>
    <w:rsid w:val="0031156F"/>
    <w:rsid w:val="00363B17"/>
    <w:rsid w:val="003A6E3A"/>
    <w:rsid w:val="003B7AF3"/>
    <w:rsid w:val="003F0392"/>
    <w:rsid w:val="0049054C"/>
    <w:rsid w:val="004C411D"/>
    <w:rsid w:val="004E07AD"/>
    <w:rsid w:val="005867C3"/>
    <w:rsid w:val="005C0FBD"/>
    <w:rsid w:val="005D743A"/>
    <w:rsid w:val="005E3D03"/>
    <w:rsid w:val="00601EAE"/>
    <w:rsid w:val="00606C98"/>
    <w:rsid w:val="00671B9B"/>
    <w:rsid w:val="00761786"/>
    <w:rsid w:val="007B3CC9"/>
    <w:rsid w:val="007E3111"/>
    <w:rsid w:val="008323F2"/>
    <w:rsid w:val="008330A9"/>
    <w:rsid w:val="00835110"/>
    <w:rsid w:val="008402DE"/>
    <w:rsid w:val="008A044B"/>
    <w:rsid w:val="008F08BE"/>
    <w:rsid w:val="009A131A"/>
    <w:rsid w:val="00A06A03"/>
    <w:rsid w:val="00AE2F71"/>
    <w:rsid w:val="00B51142"/>
    <w:rsid w:val="00BF306A"/>
    <w:rsid w:val="00BF5B46"/>
    <w:rsid w:val="00C156D3"/>
    <w:rsid w:val="00C35859"/>
    <w:rsid w:val="00C538A9"/>
    <w:rsid w:val="00D32B11"/>
    <w:rsid w:val="00D9686B"/>
    <w:rsid w:val="00E10F7E"/>
    <w:rsid w:val="00FE7692"/>
    <w:rsid w:val="01FD609D"/>
    <w:rsid w:val="02160CDD"/>
    <w:rsid w:val="02980A79"/>
    <w:rsid w:val="03367AB9"/>
    <w:rsid w:val="034E3E75"/>
    <w:rsid w:val="0471795D"/>
    <w:rsid w:val="05D47115"/>
    <w:rsid w:val="05D709B3"/>
    <w:rsid w:val="05E04552"/>
    <w:rsid w:val="061D6D0E"/>
    <w:rsid w:val="062360CE"/>
    <w:rsid w:val="08077EB1"/>
    <w:rsid w:val="08AC50C1"/>
    <w:rsid w:val="09540384"/>
    <w:rsid w:val="09EA6F07"/>
    <w:rsid w:val="0A6A44EC"/>
    <w:rsid w:val="0B03361E"/>
    <w:rsid w:val="0B7B2948"/>
    <w:rsid w:val="0BF46660"/>
    <w:rsid w:val="0C8F023A"/>
    <w:rsid w:val="0D553D53"/>
    <w:rsid w:val="0F0207CC"/>
    <w:rsid w:val="0F582B65"/>
    <w:rsid w:val="0F670FFA"/>
    <w:rsid w:val="0F9F69E6"/>
    <w:rsid w:val="0FE60171"/>
    <w:rsid w:val="0FEB698D"/>
    <w:rsid w:val="10D601E5"/>
    <w:rsid w:val="10E70644"/>
    <w:rsid w:val="11571DD5"/>
    <w:rsid w:val="11665A0D"/>
    <w:rsid w:val="1173012A"/>
    <w:rsid w:val="11B176E2"/>
    <w:rsid w:val="11E64458"/>
    <w:rsid w:val="122B27B2"/>
    <w:rsid w:val="12F157AA"/>
    <w:rsid w:val="13BC00EE"/>
    <w:rsid w:val="141A663B"/>
    <w:rsid w:val="1441022D"/>
    <w:rsid w:val="16000C4D"/>
    <w:rsid w:val="16704C38"/>
    <w:rsid w:val="16E55626"/>
    <w:rsid w:val="17885FB1"/>
    <w:rsid w:val="17C76AD9"/>
    <w:rsid w:val="185C1842"/>
    <w:rsid w:val="18FB5265"/>
    <w:rsid w:val="19E91B97"/>
    <w:rsid w:val="1A207976"/>
    <w:rsid w:val="1B767581"/>
    <w:rsid w:val="1C0A3439"/>
    <w:rsid w:val="1C376D48"/>
    <w:rsid w:val="1C4B624A"/>
    <w:rsid w:val="1CBD494F"/>
    <w:rsid w:val="1CC84A99"/>
    <w:rsid w:val="1CE75528"/>
    <w:rsid w:val="1D07144E"/>
    <w:rsid w:val="1D401163"/>
    <w:rsid w:val="1D60103D"/>
    <w:rsid w:val="1D755AF3"/>
    <w:rsid w:val="1DD71A40"/>
    <w:rsid w:val="1E58492F"/>
    <w:rsid w:val="1EB83620"/>
    <w:rsid w:val="1F114ADE"/>
    <w:rsid w:val="1F3507CD"/>
    <w:rsid w:val="1F7F413E"/>
    <w:rsid w:val="1FB57B5F"/>
    <w:rsid w:val="1FE45B94"/>
    <w:rsid w:val="203842DC"/>
    <w:rsid w:val="203D2CAD"/>
    <w:rsid w:val="20765541"/>
    <w:rsid w:val="207A6477"/>
    <w:rsid w:val="20A65ECB"/>
    <w:rsid w:val="20E04207"/>
    <w:rsid w:val="20E13B3C"/>
    <w:rsid w:val="2129610F"/>
    <w:rsid w:val="213C08B9"/>
    <w:rsid w:val="21A32365"/>
    <w:rsid w:val="21DC5877"/>
    <w:rsid w:val="227D2BB6"/>
    <w:rsid w:val="22C16DF5"/>
    <w:rsid w:val="24507587"/>
    <w:rsid w:val="2457750D"/>
    <w:rsid w:val="24B65F1C"/>
    <w:rsid w:val="24F279F0"/>
    <w:rsid w:val="252B4B4C"/>
    <w:rsid w:val="253C76A7"/>
    <w:rsid w:val="25522094"/>
    <w:rsid w:val="255614AE"/>
    <w:rsid w:val="25B54415"/>
    <w:rsid w:val="262C38E5"/>
    <w:rsid w:val="271A3E03"/>
    <w:rsid w:val="271D3F31"/>
    <w:rsid w:val="285236EE"/>
    <w:rsid w:val="285B7624"/>
    <w:rsid w:val="28E868B0"/>
    <w:rsid w:val="28F16B15"/>
    <w:rsid w:val="29CB06AB"/>
    <w:rsid w:val="2AF8764E"/>
    <w:rsid w:val="2BA81B0F"/>
    <w:rsid w:val="2BFD08C4"/>
    <w:rsid w:val="2CFA151E"/>
    <w:rsid w:val="2D143B7D"/>
    <w:rsid w:val="2DB1541F"/>
    <w:rsid w:val="2DD37B2E"/>
    <w:rsid w:val="2E913546"/>
    <w:rsid w:val="2EE1627B"/>
    <w:rsid w:val="2F666780"/>
    <w:rsid w:val="301937F3"/>
    <w:rsid w:val="305B3E0B"/>
    <w:rsid w:val="3069477A"/>
    <w:rsid w:val="309335A5"/>
    <w:rsid w:val="316B424F"/>
    <w:rsid w:val="31B31705"/>
    <w:rsid w:val="32262846"/>
    <w:rsid w:val="322F448A"/>
    <w:rsid w:val="3293788C"/>
    <w:rsid w:val="32B13421"/>
    <w:rsid w:val="32B75C71"/>
    <w:rsid w:val="32ED1B36"/>
    <w:rsid w:val="32FA1B77"/>
    <w:rsid w:val="32FD11AA"/>
    <w:rsid w:val="3328091C"/>
    <w:rsid w:val="332D5F33"/>
    <w:rsid w:val="334B63B9"/>
    <w:rsid w:val="339A574D"/>
    <w:rsid w:val="33B05B52"/>
    <w:rsid w:val="33C57F19"/>
    <w:rsid w:val="33C73725"/>
    <w:rsid w:val="35026F4B"/>
    <w:rsid w:val="35261991"/>
    <w:rsid w:val="353A4937"/>
    <w:rsid w:val="353E60E6"/>
    <w:rsid w:val="35412F59"/>
    <w:rsid w:val="35A53936"/>
    <w:rsid w:val="35D07049"/>
    <w:rsid w:val="362D1DA6"/>
    <w:rsid w:val="363322EC"/>
    <w:rsid w:val="364A6DFC"/>
    <w:rsid w:val="369C2757"/>
    <w:rsid w:val="36C60954"/>
    <w:rsid w:val="37005141"/>
    <w:rsid w:val="370B0AAF"/>
    <w:rsid w:val="37885CE8"/>
    <w:rsid w:val="37C8447C"/>
    <w:rsid w:val="37F76B0F"/>
    <w:rsid w:val="387A63F8"/>
    <w:rsid w:val="38FE2A10"/>
    <w:rsid w:val="39313240"/>
    <w:rsid w:val="3A086DB2"/>
    <w:rsid w:val="3A5E3DFF"/>
    <w:rsid w:val="3B5D4BDB"/>
    <w:rsid w:val="3BF43750"/>
    <w:rsid w:val="3C4542ED"/>
    <w:rsid w:val="3CAD3C40"/>
    <w:rsid w:val="3D2F28A7"/>
    <w:rsid w:val="3DE95A11"/>
    <w:rsid w:val="3E4E31BD"/>
    <w:rsid w:val="3F1B7587"/>
    <w:rsid w:val="3F8A64BB"/>
    <w:rsid w:val="3F9D7F9C"/>
    <w:rsid w:val="417D7802"/>
    <w:rsid w:val="418F78A7"/>
    <w:rsid w:val="41AC1CF5"/>
    <w:rsid w:val="42446DF5"/>
    <w:rsid w:val="426F7589"/>
    <w:rsid w:val="427A6373"/>
    <w:rsid w:val="42D261AF"/>
    <w:rsid w:val="42FC19C5"/>
    <w:rsid w:val="436C6603"/>
    <w:rsid w:val="43805653"/>
    <w:rsid w:val="43880753"/>
    <w:rsid w:val="43BF1C3C"/>
    <w:rsid w:val="43E53CC0"/>
    <w:rsid w:val="442E1B0B"/>
    <w:rsid w:val="44E93819"/>
    <w:rsid w:val="44F15A48"/>
    <w:rsid w:val="453B2A72"/>
    <w:rsid w:val="45434332"/>
    <w:rsid w:val="45D52D37"/>
    <w:rsid w:val="46B91335"/>
    <w:rsid w:val="47971775"/>
    <w:rsid w:val="47DC3BFE"/>
    <w:rsid w:val="480B7385"/>
    <w:rsid w:val="48154D46"/>
    <w:rsid w:val="48D76415"/>
    <w:rsid w:val="490177EE"/>
    <w:rsid w:val="491A7BB9"/>
    <w:rsid w:val="492B486B"/>
    <w:rsid w:val="49571214"/>
    <w:rsid w:val="4AAC44E4"/>
    <w:rsid w:val="4AED34F0"/>
    <w:rsid w:val="4AF34F14"/>
    <w:rsid w:val="4B2C6678"/>
    <w:rsid w:val="4C170C08"/>
    <w:rsid w:val="4C35155C"/>
    <w:rsid w:val="4C3B3017"/>
    <w:rsid w:val="4C444A5A"/>
    <w:rsid w:val="4C9820A1"/>
    <w:rsid w:val="4CC0176E"/>
    <w:rsid w:val="4D622825"/>
    <w:rsid w:val="4DA644C0"/>
    <w:rsid w:val="4DA7412E"/>
    <w:rsid w:val="4E9133C2"/>
    <w:rsid w:val="4F740094"/>
    <w:rsid w:val="4F8B5CA7"/>
    <w:rsid w:val="5010778A"/>
    <w:rsid w:val="512247A5"/>
    <w:rsid w:val="51AB6549"/>
    <w:rsid w:val="5231452A"/>
    <w:rsid w:val="528B1ED6"/>
    <w:rsid w:val="52DC6D36"/>
    <w:rsid w:val="53937294"/>
    <w:rsid w:val="5406215C"/>
    <w:rsid w:val="544B35ED"/>
    <w:rsid w:val="54C62AC5"/>
    <w:rsid w:val="550377DB"/>
    <w:rsid w:val="550B10E8"/>
    <w:rsid w:val="55B654BC"/>
    <w:rsid w:val="568472DD"/>
    <w:rsid w:val="57083EB5"/>
    <w:rsid w:val="574D1E50"/>
    <w:rsid w:val="57AE0B41"/>
    <w:rsid w:val="57D460CD"/>
    <w:rsid w:val="584414A5"/>
    <w:rsid w:val="588E0972"/>
    <w:rsid w:val="595E3178"/>
    <w:rsid w:val="5A3E3CD2"/>
    <w:rsid w:val="5A7140A7"/>
    <w:rsid w:val="5AFE6825"/>
    <w:rsid w:val="5B081542"/>
    <w:rsid w:val="5B9C5154"/>
    <w:rsid w:val="5C273A3B"/>
    <w:rsid w:val="5C3A04D7"/>
    <w:rsid w:val="5D375134"/>
    <w:rsid w:val="5EC54D36"/>
    <w:rsid w:val="5F677827"/>
    <w:rsid w:val="5F6D4136"/>
    <w:rsid w:val="5FBF1411"/>
    <w:rsid w:val="604E2B21"/>
    <w:rsid w:val="606A3A73"/>
    <w:rsid w:val="60996106"/>
    <w:rsid w:val="614F6934"/>
    <w:rsid w:val="62157A0E"/>
    <w:rsid w:val="621C0D9D"/>
    <w:rsid w:val="62397BA1"/>
    <w:rsid w:val="62B965EC"/>
    <w:rsid w:val="62EC4C13"/>
    <w:rsid w:val="63660521"/>
    <w:rsid w:val="6379750C"/>
    <w:rsid w:val="644D62FC"/>
    <w:rsid w:val="64BD6867"/>
    <w:rsid w:val="64DA58EB"/>
    <w:rsid w:val="652E1513"/>
    <w:rsid w:val="659853ED"/>
    <w:rsid w:val="660B715E"/>
    <w:rsid w:val="667A42E4"/>
    <w:rsid w:val="67CB22F2"/>
    <w:rsid w:val="67CD5013"/>
    <w:rsid w:val="681B1F88"/>
    <w:rsid w:val="69030CFD"/>
    <w:rsid w:val="697B45FB"/>
    <w:rsid w:val="698600A1"/>
    <w:rsid w:val="69EC72A7"/>
    <w:rsid w:val="6A386990"/>
    <w:rsid w:val="6B6739EF"/>
    <w:rsid w:val="6B99345E"/>
    <w:rsid w:val="6C136D6D"/>
    <w:rsid w:val="6C6837CB"/>
    <w:rsid w:val="6C6A6132"/>
    <w:rsid w:val="6CD01102"/>
    <w:rsid w:val="6D5C458C"/>
    <w:rsid w:val="6D7C0AE9"/>
    <w:rsid w:val="6ECE13F8"/>
    <w:rsid w:val="6F8F4715"/>
    <w:rsid w:val="6FAF12FA"/>
    <w:rsid w:val="6FF2313D"/>
    <w:rsid w:val="70D0347E"/>
    <w:rsid w:val="71AD06C2"/>
    <w:rsid w:val="72966949"/>
    <w:rsid w:val="72FC49FE"/>
    <w:rsid w:val="73DE2356"/>
    <w:rsid w:val="745443C6"/>
    <w:rsid w:val="74A44B49"/>
    <w:rsid w:val="74B51309"/>
    <w:rsid w:val="7544443B"/>
    <w:rsid w:val="756A25F5"/>
    <w:rsid w:val="757956D1"/>
    <w:rsid w:val="75BB5D14"/>
    <w:rsid w:val="75DE488F"/>
    <w:rsid w:val="75F23E97"/>
    <w:rsid w:val="75FE53CA"/>
    <w:rsid w:val="765421BF"/>
    <w:rsid w:val="76B4797B"/>
    <w:rsid w:val="772162AE"/>
    <w:rsid w:val="776B5101"/>
    <w:rsid w:val="77BD436E"/>
    <w:rsid w:val="77D73344"/>
    <w:rsid w:val="783E0129"/>
    <w:rsid w:val="78770683"/>
    <w:rsid w:val="78C7785D"/>
    <w:rsid w:val="78F72A2D"/>
    <w:rsid w:val="78FB3062"/>
    <w:rsid w:val="792C5912"/>
    <w:rsid w:val="792E3438"/>
    <w:rsid w:val="79537342"/>
    <w:rsid w:val="795A247F"/>
    <w:rsid w:val="797150B9"/>
    <w:rsid w:val="79773031"/>
    <w:rsid w:val="79EB1329"/>
    <w:rsid w:val="7A2B7203"/>
    <w:rsid w:val="7A3A47B9"/>
    <w:rsid w:val="7B580C40"/>
    <w:rsid w:val="7BFA1CF7"/>
    <w:rsid w:val="7C444D20"/>
    <w:rsid w:val="7CF130FA"/>
    <w:rsid w:val="7D376633"/>
    <w:rsid w:val="7E6671D0"/>
    <w:rsid w:val="7EBA266F"/>
    <w:rsid w:val="7EC4740D"/>
    <w:rsid w:val="7EC7418B"/>
    <w:rsid w:val="7F475253"/>
    <w:rsid w:val="7FF134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nhideWhenUsed="0" w:uiPriority="99" w:semiHidden="0" w:name="heading 5"/>
    <w:lsdException w:qFormat="1" w:uiPriority="1"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6"/>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7"/>
    <w:qFormat/>
    <w:uiPriority w:val="0"/>
    <w:pPr>
      <w:keepNext/>
      <w:keepLines/>
      <w:spacing w:before="260" w:after="260" w:line="415" w:lineRule="auto"/>
      <w:outlineLvl w:val="1"/>
    </w:pPr>
    <w:rPr>
      <w:rFonts w:ascii="Arial" w:hAnsi="Arial" w:eastAsia="黑体" w:cs="Times New Roman"/>
      <w:b/>
      <w:bCs/>
      <w:kern w:val="0"/>
      <w:sz w:val="32"/>
      <w:szCs w:val="32"/>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6">
    <w:name w:val="heading 5"/>
    <w:basedOn w:val="1"/>
    <w:next w:val="1"/>
    <w:link w:val="33"/>
    <w:qFormat/>
    <w:uiPriority w:val="99"/>
    <w:pPr>
      <w:keepNext/>
      <w:keepLines/>
      <w:spacing w:before="40" w:after="50" w:line="372" w:lineRule="auto"/>
      <w:jc w:val="center"/>
      <w:outlineLvl w:val="4"/>
    </w:pPr>
    <w:rPr>
      <w:rFonts w:ascii="Times New Roman" w:hAnsi="Times New Roman" w:eastAsia="黑体" w:cs="Times New Roman"/>
      <w:bCs/>
      <w:kern w:val="0"/>
      <w:sz w:val="21"/>
      <w:szCs w:val="24"/>
    </w:rPr>
  </w:style>
  <w:style w:type="paragraph" w:styleId="7">
    <w:name w:val="heading 6"/>
    <w:basedOn w:val="1"/>
    <w:unhideWhenUsed/>
    <w:qFormat/>
    <w:uiPriority w:val="1"/>
    <w:pPr>
      <w:spacing w:beforeLines="0" w:afterLines="0"/>
      <w:ind w:left="780"/>
      <w:outlineLvl w:val="5"/>
    </w:pPr>
    <w:rPr>
      <w:rFonts w:hint="eastAsia" w:ascii="宋体" w:hAnsi="宋体" w:eastAsia="宋体"/>
      <w:sz w:val="30"/>
      <w:szCs w:val="24"/>
    </w:rPr>
  </w:style>
  <w:style w:type="character" w:default="1" w:styleId="20">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8">
    <w:name w:val="Body Text"/>
    <w:basedOn w:val="1"/>
    <w:link w:val="30"/>
    <w:qFormat/>
    <w:uiPriority w:val="0"/>
    <w:rPr>
      <w:rFonts w:ascii="Times New Roman" w:hAnsi="Times New Roman" w:eastAsia="宋体" w:cs="Times New Roman"/>
      <w:sz w:val="24"/>
      <w:szCs w:val="24"/>
    </w:rPr>
  </w:style>
  <w:style w:type="paragraph" w:styleId="9">
    <w:name w:val="Body Text Indent"/>
    <w:basedOn w:val="1"/>
    <w:qFormat/>
    <w:uiPriority w:val="0"/>
    <w:pPr>
      <w:spacing w:after="120"/>
      <w:ind w:left="420" w:leftChars="200"/>
    </w:pPr>
  </w:style>
  <w:style w:type="paragraph" w:styleId="10">
    <w:name w:val="toc 3"/>
    <w:basedOn w:val="1"/>
    <w:next w:val="1"/>
    <w:semiHidden/>
    <w:unhideWhenUsed/>
    <w:qFormat/>
    <w:uiPriority w:val="39"/>
    <w:pPr>
      <w:ind w:left="840" w:leftChars="400"/>
    </w:pPr>
  </w:style>
  <w:style w:type="paragraph" w:styleId="11">
    <w:name w:val="Date"/>
    <w:basedOn w:val="1"/>
    <w:next w:val="1"/>
    <w:link w:val="31"/>
    <w:qFormat/>
    <w:uiPriority w:val="99"/>
    <w:pPr>
      <w:ind w:left="100" w:leftChars="2500"/>
    </w:pPr>
    <w:rPr>
      <w:rFonts w:ascii="Times New Roman" w:hAnsi="Times New Roman" w:eastAsia="宋体" w:cs="Times New Roman"/>
      <w:b/>
      <w:bCs/>
      <w:kern w:val="0"/>
      <w:sz w:val="36"/>
      <w:szCs w:val="36"/>
    </w:rPr>
  </w:style>
  <w:style w:type="paragraph" w:styleId="12">
    <w:name w:val="Balloon Text"/>
    <w:basedOn w:val="1"/>
    <w:link w:val="29"/>
    <w:semiHidden/>
    <w:unhideWhenUsed/>
    <w:qFormat/>
    <w:uiPriority w:val="99"/>
    <w:rPr>
      <w:sz w:val="18"/>
      <w:szCs w:val="18"/>
    </w:rPr>
  </w:style>
  <w:style w:type="paragraph" w:styleId="13">
    <w:name w:val="footer"/>
    <w:basedOn w:val="1"/>
    <w:link w:val="25"/>
    <w:unhideWhenUsed/>
    <w:qFormat/>
    <w:uiPriority w:val="99"/>
    <w:pPr>
      <w:tabs>
        <w:tab w:val="center" w:pos="4153"/>
        <w:tab w:val="right" w:pos="8306"/>
      </w:tabs>
      <w:snapToGrid w:val="0"/>
      <w:jc w:val="left"/>
    </w:pPr>
    <w:rPr>
      <w:sz w:val="18"/>
      <w:szCs w:val="18"/>
    </w:rPr>
  </w:style>
  <w:style w:type="paragraph" w:styleId="14">
    <w:name w:val="header"/>
    <w:basedOn w:val="1"/>
    <w:link w:val="2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widowControl/>
      <w:spacing w:after="100" w:line="276" w:lineRule="auto"/>
      <w:jc w:val="left"/>
    </w:pPr>
    <w:rPr>
      <w:rFonts w:ascii="Calibri" w:hAnsi="Calibri" w:eastAsia="宋体" w:cs="Times New Roman"/>
      <w:kern w:val="0"/>
      <w:sz w:val="22"/>
    </w:rPr>
  </w:style>
  <w:style w:type="paragraph" w:styleId="16">
    <w:name w:val="toc 2"/>
    <w:basedOn w:val="1"/>
    <w:next w:val="1"/>
    <w:qFormat/>
    <w:uiPriority w:val="39"/>
    <w:pPr>
      <w:widowControl/>
      <w:spacing w:after="100" w:line="276" w:lineRule="auto"/>
      <w:ind w:left="220"/>
      <w:jc w:val="left"/>
    </w:pPr>
    <w:rPr>
      <w:rFonts w:ascii="Calibri" w:hAnsi="Calibri" w:eastAsia="宋体" w:cs="Times New Roman"/>
      <w:kern w:val="0"/>
      <w:sz w:val="22"/>
    </w:rPr>
  </w:style>
  <w:style w:type="paragraph" w:styleId="17">
    <w:name w:val="Body Text First Indent"/>
    <w:basedOn w:val="8"/>
    <w:next w:val="18"/>
    <w:unhideWhenUsed/>
    <w:qFormat/>
    <w:uiPriority w:val="99"/>
    <w:pPr>
      <w:spacing w:line="240" w:lineRule="auto"/>
      <w:ind w:firstLine="420" w:firstLineChars="100"/>
    </w:pPr>
    <w:rPr>
      <w:rFonts w:ascii="Calibri" w:hAnsi="Calibri" w:eastAsia="宋体"/>
      <w:sz w:val="21"/>
      <w:szCs w:val="22"/>
    </w:rPr>
  </w:style>
  <w:style w:type="paragraph" w:styleId="18">
    <w:name w:val="Body Text First Indent 2"/>
    <w:basedOn w:val="9"/>
    <w:qFormat/>
    <w:uiPriority w:val="0"/>
    <w:pPr>
      <w:ind w:firstLine="420" w:firstLineChars="200"/>
    </w:pPr>
  </w:style>
  <w:style w:type="character" w:styleId="21">
    <w:name w:val="Strong"/>
    <w:basedOn w:val="20"/>
    <w:qFormat/>
    <w:uiPriority w:val="22"/>
    <w:rPr>
      <w:b/>
    </w:rPr>
  </w:style>
  <w:style w:type="character" w:styleId="22">
    <w:name w:val="page number"/>
    <w:basedOn w:val="20"/>
    <w:qFormat/>
    <w:uiPriority w:val="0"/>
  </w:style>
  <w:style w:type="character" w:styleId="23">
    <w:name w:val="Hyperlink"/>
    <w:qFormat/>
    <w:uiPriority w:val="99"/>
    <w:rPr>
      <w:color w:val="0563C1"/>
      <w:u w:val="single"/>
    </w:rPr>
  </w:style>
  <w:style w:type="character" w:customStyle="1" w:styleId="24">
    <w:name w:val="页眉 Char"/>
    <w:basedOn w:val="20"/>
    <w:link w:val="14"/>
    <w:semiHidden/>
    <w:qFormat/>
    <w:uiPriority w:val="99"/>
    <w:rPr>
      <w:sz w:val="18"/>
      <w:szCs w:val="18"/>
    </w:rPr>
  </w:style>
  <w:style w:type="character" w:customStyle="1" w:styleId="25">
    <w:name w:val="页脚 Char"/>
    <w:basedOn w:val="20"/>
    <w:link w:val="13"/>
    <w:qFormat/>
    <w:uiPriority w:val="99"/>
    <w:rPr>
      <w:sz w:val="18"/>
      <w:szCs w:val="18"/>
    </w:rPr>
  </w:style>
  <w:style w:type="character" w:customStyle="1" w:styleId="26">
    <w:name w:val="标题 1 Char"/>
    <w:basedOn w:val="20"/>
    <w:link w:val="2"/>
    <w:qFormat/>
    <w:uiPriority w:val="0"/>
    <w:rPr>
      <w:rFonts w:ascii="Calibri" w:hAnsi="Calibri" w:eastAsia="宋体" w:cs="Times New Roman"/>
      <w:b/>
      <w:bCs/>
      <w:kern w:val="44"/>
      <w:sz w:val="44"/>
      <w:szCs w:val="44"/>
    </w:rPr>
  </w:style>
  <w:style w:type="character" w:customStyle="1" w:styleId="27">
    <w:name w:val="标题 2 Char"/>
    <w:basedOn w:val="20"/>
    <w:link w:val="3"/>
    <w:qFormat/>
    <w:uiPriority w:val="0"/>
    <w:rPr>
      <w:rFonts w:ascii="Arial" w:hAnsi="Arial" w:eastAsia="黑体" w:cs="Times New Roman"/>
      <w:b/>
      <w:bCs/>
      <w:kern w:val="0"/>
      <w:sz w:val="32"/>
      <w:szCs w:val="32"/>
    </w:rPr>
  </w:style>
  <w:style w:type="paragraph" w:customStyle="1" w:styleId="28">
    <w:name w:val="WPSOffice手动目录 2"/>
    <w:qFormat/>
    <w:uiPriority w:val="0"/>
    <w:pPr>
      <w:ind w:left="200" w:leftChars="200"/>
    </w:pPr>
    <w:rPr>
      <w:rFonts w:ascii="Calibri" w:hAnsi="Calibri" w:eastAsia="宋体" w:cs="Times New Roman"/>
      <w:kern w:val="0"/>
      <w:sz w:val="20"/>
      <w:szCs w:val="20"/>
      <w:lang w:val="en-US" w:eastAsia="zh-CN" w:bidi="ar-SA"/>
    </w:rPr>
  </w:style>
  <w:style w:type="character" w:customStyle="1" w:styleId="29">
    <w:name w:val="批注框文本 Char"/>
    <w:basedOn w:val="20"/>
    <w:link w:val="12"/>
    <w:semiHidden/>
    <w:qFormat/>
    <w:uiPriority w:val="99"/>
    <w:rPr>
      <w:sz w:val="18"/>
      <w:szCs w:val="18"/>
    </w:rPr>
  </w:style>
  <w:style w:type="character" w:customStyle="1" w:styleId="30">
    <w:name w:val="正文文本 Char"/>
    <w:basedOn w:val="20"/>
    <w:link w:val="8"/>
    <w:qFormat/>
    <w:uiPriority w:val="0"/>
    <w:rPr>
      <w:rFonts w:ascii="Times New Roman" w:hAnsi="Times New Roman" w:eastAsia="宋体" w:cs="Times New Roman"/>
      <w:sz w:val="24"/>
      <w:szCs w:val="24"/>
    </w:rPr>
  </w:style>
  <w:style w:type="character" w:customStyle="1" w:styleId="31">
    <w:name w:val="日期 Char"/>
    <w:basedOn w:val="20"/>
    <w:link w:val="11"/>
    <w:qFormat/>
    <w:uiPriority w:val="99"/>
    <w:rPr>
      <w:rFonts w:ascii="Times New Roman" w:hAnsi="Times New Roman" w:eastAsia="宋体" w:cs="Times New Roman"/>
      <w:b/>
      <w:bCs/>
      <w:kern w:val="0"/>
      <w:sz w:val="36"/>
      <w:szCs w:val="36"/>
    </w:rPr>
  </w:style>
  <w:style w:type="paragraph" w:customStyle="1" w:styleId="32">
    <w:name w:val="Table Paragraph"/>
    <w:basedOn w:val="1"/>
    <w:unhideWhenUsed/>
    <w:qFormat/>
    <w:uiPriority w:val="1"/>
    <w:pPr>
      <w:spacing w:beforeLines="0" w:afterLines="0"/>
    </w:pPr>
    <w:rPr>
      <w:rFonts w:hint="default"/>
      <w:sz w:val="24"/>
      <w:szCs w:val="24"/>
    </w:rPr>
  </w:style>
  <w:style w:type="character" w:customStyle="1" w:styleId="33">
    <w:name w:val="标题 5 字符"/>
    <w:link w:val="6"/>
    <w:qFormat/>
    <w:locked/>
    <w:uiPriority w:val="99"/>
    <w:rPr>
      <w:rFonts w:ascii="Times New Roman" w:hAnsi="Times New Roman" w:eastAsia="黑体" w:cs="Times New Roman"/>
      <w:bCs/>
      <w:kern w:val="0"/>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5.png"/><Relationship Id="rId15" Type="http://schemas.openxmlformats.org/officeDocument/2006/relationships/image" Target="media/image4.jpeg"/><Relationship Id="rId14" Type="http://schemas.openxmlformats.org/officeDocument/2006/relationships/image" Target="media/image3.png"/><Relationship Id="rId13" Type="http://schemas.openxmlformats.org/officeDocument/2006/relationships/image" Target="media/image2.jpe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8192</Words>
  <Characters>9073</Characters>
  <Lines>1</Lines>
  <Paragraphs>1</Paragraphs>
  <TotalTime>27</TotalTime>
  <ScaleCrop>false</ScaleCrop>
  <LinksUpToDate>false</LinksUpToDate>
  <CharactersWithSpaces>9520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2024-11-18T06:54:00Z</dcterms:created>
  <dc:creator>admin</dc:creator>
  <cp:lastModifiedBy>Cap</cp:lastModifiedBy>
  <dcterms:modified xsi:type="dcterms:W3CDTF">2026-11-04T08:52:50Z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eyJoZGlkIjoiN2Y2ZjNjOTVkNzk3NmExOWQ5YzlkMzY5Yjg2YzlhYmQiLCJ1c2VySWQiOiIyMjc1MTk3NzQifQ==</vt:lpwstr>
  </property>
  <property fmtid="{D5CDD505-2E9C-101B-9397-08002B2CF9AE}" pid="3" name="KSOProductBuildVer">
    <vt:lpwstr>2052-12.1.0.28505</vt:lpwstr>
  </property>
  <property fmtid="{D5CDD505-2E9C-101B-9397-08002B2CF9AE}" pid="4" name="ICV">
    <vt:lpwstr>811CB791BE8443C2953047773C965544_12</vt:lpwstr>
  </property>
</Properties>
</file>